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A48DE" w14:textId="77777777" w:rsidR="00F976E8" w:rsidRPr="005266AD" w:rsidRDefault="00F976E8" w:rsidP="000D02CF">
      <w:pPr>
        <w:spacing w:line="240" w:lineRule="auto"/>
        <w:jc w:val="center"/>
        <w:outlineLvl w:val="0"/>
        <w:rPr>
          <w:b/>
          <w:bCs/>
        </w:rPr>
      </w:pPr>
    </w:p>
    <w:p w14:paraId="17AA741F" w14:textId="77777777" w:rsidR="00F976E8" w:rsidRPr="005266AD" w:rsidRDefault="00F976E8" w:rsidP="000D02CF">
      <w:pPr>
        <w:spacing w:line="240" w:lineRule="auto"/>
        <w:jc w:val="center"/>
        <w:outlineLvl w:val="0"/>
        <w:rPr>
          <w:b/>
          <w:bCs/>
        </w:rPr>
      </w:pPr>
    </w:p>
    <w:p w14:paraId="01358C54" w14:textId="77777777" w:rsidR="00F976E8" w:rsidRPr="005266AD" w:rsidRDefault="00F976E8" w:rsidP="000D02CF">
      <w:pPr>
        <w:spacing w:line="240" w:lineRule="auto"/>
        <w:jc w:val="center"/>
        <w:outlineLvl w:val="0"/>
        <w:rPr>
          <w:b/>
          <w:bCs/>
        </w:rPr>
      </w:pPr>
    </w:p>
    <w:p w14:paraId="7E55156E" w14:textId="77777777" w:rsidR="00F976E8" w:rsidRPr="005266AD" w:rsidRDefault="00F976E8" w:rsidP="000D02CF">
      <w:pPr>
        <w:spacing w:line="240" w:lineRule="auto"/>
        <w:jc w:val="center"/>
        <w:outlineLvl w:val="0"/>
        <w:rPr>
          <w:b/>
          <w:bCs/>
        </w:rPr>
      </w:pPr>
    </w:p>
    <w:p w14:paraId="21240F88" w14:textId="77777777" w:rsidR="00F976E8" w:rsidRPr="005266AD" w:rsidRDefault="00F976E8" w:rsidP="000D02CF">
      <w:pPr>
        <w:spacing w:line="240" w:lineRule="auto"/>
        <w:jc w:val="center"/>
        <w:outlineLvl w:val="0"/>
        <w:rPr>
          <w:b/>
          <w:bCs/>
        </w:rPr>
      </w:pPr>
    </w:p>
    <w:p w14:paraId="7F748914" w14:textId="77777777" w:rsidR="00F976E8" w:rsidRPr="005266AD" w:rsidRDefault="00F976E8" w:rsidP="000D02CF">
      <w:pPr>
        <w:spacing w:line="240" w:lineRule="auto"/>
        <w:jc w:val="center"/>
        <w:outlineLvl w:val="0"/>
        <w:rPr>
          <w:b/>
          <w:bCs/>
        </w:rPr>
      </w:pPr>
    </w:p>
    <w:p w14:paraId="34BBB8B5" w14:textId="77777777" w:rsidR="00F976E8" w:rsidRPr="005266AD" w:rsidRDefault="00F976E8" w:rsidP="000D02CF">
      <w:pPr>
        <w:spacing w:line="240" w:lineRule="auto"/>
        <w:jc w:val="center"/>
        <w:outlineLvl w:val="0"/>
        <w:rPr>
          <w:b/>
          <w:bCs/>
        </w:rPr>
      </w:pPr>
    </w:p>
    <w:p w14:paraId="20A9B5B9" w14:textId="77777777" w:rsidR="00F976E8" w:rsidRPr="005266AD" w:rsidRDefault="00F976E8" w:rsidP="000D02CF">
      <w:pPr>
        <w:spacing w:line="240" w:lineRule="auto"/>
        <w:jc w:val="center"/>
        <w:outlineLvl w:val="0"/>
        <w:rPr>
          <w:b/>
          <w:bCs/>
        </w:rPr>
      </w:pPr>
    </w:p>
    <w:p w14:paraId="29AD3600" w14:textId="77777777" w:rsidR="00F976E8" w:rsidRPr="005266AD" w:rsidRDefault="00F976E8" w:rsidP="000D02CF">
      <w:pPr>
        <w:spacing w:line="240" w:lineRule="auto"/>
        <w:jc w:val="center"/>
        <w:outlineLvl w:val="0"/>
        <w:rPr>
          <w:b/>
          <w:bCs/>
        </w:rPr>
      </w:pPr>
    </w:p>
    <w:p w14:paraId="74FD75E3" w14:textId="77777777" w:rsidR="00F976E8" w:rsidRPr="005266AD" w:rsidRDefault="00F976E8" w:rsidP="000D02CF">
      <w:pPr>
        <w:spacing w:line="240" w:lineRule="auto"/>
        <w:jc w:val="center"/>
        <w:outlineLvl w:val="0"/>
        <w:rPr>
          <w:b/>
          <w:bCs/>
        </w:rPr>
      </w:pPr>
    </w:p>
    <w:p w14:paraId="3AA08824" w14:textId="77777777" w:rsidR="00F976E8" w:rsidRPr="005266AD" w:rsidRDefault="00F976E8" w:rsidP="000D02CF">
      <w:pPr>
        <w:spacing w:line="240" w:lineRule="auto"/>
        <w:jc w:val="center"/>
        <w:outlineLvl w:val="0"/>
        <w:rPr>
          <w:b/>
          <w:bCs/>
        </w:rPr>
      </w:pPr>
    </w:p>
    <w:p w14:paraId="3B939E87" w14:textId="77777777" w:rsidR="00F976E8" w:rsidRPr="005266AD" w:rsidRDefault="00F976E8" w:rsidP="000D02CF">
      <w:pPr>
        <w:spacing w:line="240" w:lineRule="auto"/>
        <w:jc w:val="center"/>
        <w:outlineLvl w:val="0"/>
        <w:rPr>
          <w:b/>
          <w:bCs/>
        </w:rPr>
      </w:pPr>
    </w:p>
    <w:p w14:paraId="29356587" w14:textId="77777777" w:rsidR="00F976E8" w:rsidRPr="005266AD" w:rsidRDefault="00F976E8" w:rsidP="000D02CF">
      <w:pPr>
        <w:spacing w:line="240" w:lineRule="auto"/>
        <w:jc w:val="center"/>
        <w:outlineLvl w:val="0"/>
        <w:rPr>
          <w:b/>
          <w:bCs/>
        </w:rPr>
      </w:pPr>
    </w:p>
    <w:p w14:paraId="0084C6A3" w14:textId="77777777" w:rsidR="00F976E8" w:rsidRPr="005266AD" w:rsidRDefault="00F976E8" w:rsidP="000D02CF">
      <w:pPr>
        <w:spacing w:line="240" w:lineRule="auto"/>
        <w:jc w:val="center"/>
        <w:outlineLvl w:val="0"/>
        <w:rPr>
          <w:b/>
          <w:bCs/>
        </w:rPr>
      </w:pPr>
    </w:p>
    <w:p w14:paraId="00C4FF7C" w14:textId="77777777" w:rsidR="00F976E8" w:rsidRPr="005266AD" w:rsidRDefault="00F976E8" w:rsidP="000D02CF">
      <w:pPr>
        <w:spacing w:line="240" w:lineRule="auto"/>
        <w:jc w:val="center"/>
        <w:outlineLvl w:val="0"/>
        <w:rPr>
          <w:b/>
          <w:bCs/>
        </w:rPr>
      </w:pPr>
    </w:p>
    <w:p w14:paraId="2089E83B" w14:textId="77777777" w:rsidR="00F976E8" w:rsidRPr="005266AD" w:rsidRDefault="00F976E8" w:rsidP="000D02CF">
      <w:pPr>
        <w:spacing w:line="240" w:lineRule="auto"/>
        <w:jc w:val="center"/>
        <w:outlineLvl w:val="0"/>
        <w:rPr>
          <w:b/>
          <w:bCs/>
        </w:rPr>
      </w:pPr>
    </w:p>
    <w:p w14:paraId="659ED68A" w14:textId="77777777" w:rsidR="00F976E8" w:rsidRPr="005266AD" w:rsidRDefault="00F976E8" w:rsidP="000D02CF">
      <w:pPr>
        <w:spacing w:line="240" w:lineRule="auto"/>
        <w:jc w:val="center"/>
        <w:outlineLvl w:val="0"/>
        <w:rPr>
          <w:b/>
          <w:bCs/>
        </w:rPr>
      </w:pPr>
    </w:p>
    <w:p w14:paraId="1999590B" w14:textId="77777777" w:rsidR="00F976E8" w:rsidRPr="005266AD" w:rsidRDefault="00F976E8" w:rsidP="000D02CF">
      <w:pPr>
        <w:spacing w:line="240" w:lineRule="auto"/>
        <w:jc w:val="center"/>
        <w:outlineLvl w:val="0"/>
        <w:rPr>
          <w:b/>
          <w:bCs/>
        </w:rPr>
      </w:pPr>
    </w:p>
    <w:p w14:paraId="2AF9C22E" w14:textId="77777777" w:rsidR="00F976E8" w:rsidRPr="005266AD" w:rsidRDefault="00F976E8" w:rsidP="000D02CF">
      <w:pPr>
        <w:spacing w:line="240" w:lineRule="auto"/>
        <w:jc w:val="center"/>
        <w:outlineLvl w:val="0"/>
        <w:rPr>
          <w:b/>
          <w:bCs/>
        </w:rPr>
      </w:pPr>
    </w:p>
    <w:p w14:paraId="4A9B279E" w14:textId="77777777" w:rsidR="00F976E8" w:rsidRPr="005266AD" w:rsidRDefault="00F976E8" w:rsidP="000D02CF">
      <w:pPr>
        <w:spacing w:line="240" w:lineRule="auto"/>
        <w:jc w:val="center"/>
        <w:outlineLvl w:val="0"/>
        <w:rPr>
          <w:b/>
          <w:bCs/>
        </w:rPr>
      </w:pPr>
    </w:p>
    <w:p w14:paraId="3D4BA81F" w14:textId="77777777" w:rsidR="00F976E8" w:rsidRPr="005266AD" w:rsidRDefault="00F976E8" w:rsidP="000A093B">
      <w:pPr>
        <w:spacing w:line="240" w:lineRule="auto"/>
        <w:jc w:val="center"/>
        <w:outlineLvl w:val="0"/>
        <w:rPr>
          <w:b/>
          <w:bCs/>
        </w:rPr>
      </w:pPr>
    </w:p>
    <w:p w14:paraId="1A7D914B" w14:textId="77777777" w:rsidR="00F976E8" w:rsidRPr="005266AD" w:rsidRDefault="00F976E8" w:rsidP="000A093B">
      <w:pPr>
        <w:spacing w:line="240" w:lineRule="auto"/>
        <w:jc w:val="center"/>
        <w:outlineLvl w:val="0"/>
        <w:rPr>
          <w:b/>
          <w:bCs/>
        </w:rPr>
      </w:pPr>
    </w:p>
    <w:p w14:paraId="5E3BB087" w14:textId="77777777" w:rsidR="003A347B" w:rsidRPr="005266AD" w:rsidRDefault="003A347B" w:rsidP="000D02CF">
      <w:pPr>
        <w:suppressLineNumbers/>
        <w:tabs>
          <w:tab w:val="left" w:pos="-1440"/>
          <w:tab w:val="left" w:pos="-720"/>
        </w:tabs>
        <w:spacing w:line="240" w:lineRule="auto"/>
        <w:jc w:val="center"/>
        <w:rPr>
          <w:b/>
          <w:bCs/>
        </w:rPr>
      </w:pPr>
    </w:p>
    <w:p w14:paraId="32F0136B" w14:textId="77777777" w:rsidR="00F976E8" w:rsidRPr="00A808AC" w:rsidRDefault="005A3D7D" w:rsidP="000D02CF">
      <w:pPr>
        <w:suppressLineNumbers/>
        <w:tabs>
          <w:tab w:val="left" w:pos="-1440"/>
          <w:tab w:val="left" w:pos="-720"/>
        </w:tabs>
        <w:spacing w:line="240" w:lineRule="auto"/>
        <w:jc w:val="center"/>
      </w:pPr>
      <w:r w:rsidRPr="00A808AC">
        <w:rPr>
          <w:b/>
          <w:bCs/>
        </w:rPr>
        <w:t>ANNEX I</w:t>
      </w:r>
    </w:p>
    <w:p w14:paraId="3F25CAAF" w14:textId="77777777" w:rsidR="00F976E8" w:rsidRPr="00A808AC" w:rsidRDefault="00F976E8" w:rsidP="000D02CF">
      <w:pPr>
        <w:suppressLineNumbers/>
        <w:tabs>
          <w:tab w:val="left" w:pos="-1440"/>
          <w:tab w:val="left" w:pos="-720"/>
        </w:tabs>
        <w:spacing w:line="240" w:lineRule="auto"/>
        <w:jc w:val="center"/>
      </w:pPr>
    </w:p>
    <w:p w14:paraId="27DD7B1C" w14:textId="77777777" w:rsidR="00F976E8" w:rsidRPr="00A808AC" w:rsidRDefault="005A3D7D" w:rsidP="00BA47B4">
      <w:pPr>
        <w:pStyle w:val="TitleA"/>
        <w:outlineLvl w:val="9"/>
      </w:pPr>
      <w:r w:rsidRPr="00A808AC">
        <w:t>SUMMARY OF PRODUCT CHARACTERISTICS</w:t>
      </w:r>
    </w:p>
    <w:p w14:paraId="76C8AB59" w14:textId="77777777" w:rsidR="00F976E8" w:rsidRPr="00A808AC" w:rsidRDefault="00F976E8" w:rsidP="000D02CF">
      <w:pPr>
        <w:suppressLineNumbers/>
        <w:tabs>
          <w:tab w:val="left" w:pos="-1440"/>
          <w:tab w:val="left" w:pos="-720"/>
        </w:tabs>
        <w:spacing w:line="240" w:lineRule="auto"/>
        <w:jc w:val="center"/>
        <w:rPr>
          <w:b/>
          <w:bCs/>
        </w:rPr>
      </w:pPr>
    </w:p>
    <w:p w14:paraId="0B626ECB" w14:textId="77777777" w:rsidR="00F976E8" w:rsidRPr="00A808AC" w:rsidRDefault="00F976E8" w:rsidP="000D02CF">
      <w:pPr>
        <w:suppressLineNumbers/>
        <w:tabs>
          <w:tab w:val="left" w:pos="-1440"/>
          <w:tab w:val="left" w:pos="-720"/>
        </w:tabs>
        <w:spacing w:line="240" w:lineRule="auto"/>
        <w:rPr>
          <w:bCs/>
          <w:i/>
        </w:rPr>
      </w:pPr>
    </w:p>
    <w:p w14:paraId="5A412628" w14:textId="77777777" w:rsidR="00F976E8" w:rsidRPr="000A093B" w:rsidRDefault="005A3D7D" w:rsidP="00D571E2">
      <w:pPr>
        <w:pStyle w:val="Heading1"/>
        <w:spacing w:before="0" w:after="0"/>
        <w:rPr>
          <w:rFonts w:ascii="Times New Roman" w:hAnsi="Times New Roman"/>
          <w:sz w:val="22"/>
        </w:rPr>
      </w:pPr>
      <w:r w:rsidRPr="00A808AC">
        <w:br w:type="page"/>
      </w:r>
      <w:r w:rsidRPr="00BA47B4">
        <w:rPr>
          <w:rFonts w:ascii="Times New Roman" w:hAnsi="Times New Roman"/>
          <w:sz w:val="22"/>
        </w:rPr>
        <w:t>1.</w:t>
      </w:r>
      <w:r w:rsidRPr="00BA47B4">
        <w:rPr>
          <w:rFonts w:ascii="Times New Roman" w:hAnsi="Times New Roman"/>
          <w:sz w:val="22"/>
        </w:rPr>
        <w:tab/>
        <w:t>NAME OF THE MEDICINAL PRODUCT</w:t>
      </w:r>
    </w:p>
    <w:p w14:paraId="1061A028" w14:textId="77777777" w:rsidR="00F976E8" w:rsidRPr="003E6EA8" w:rsidRDefault="00F976E8" w:rsidP="000A093B">
      <w:pPr>
        <w:keepNext/>
        <w:tabs>
          <w:tab w:val="left" w:pos="2070"/>
        </w:tabs>
        <w:autoSpaceDE w:val="0"/>
        <w:autoSpaceDN w:val="0"/>
        <w:adjustRightInd w:val="0"/>
        <w:spacing w:line="240" w:lineRule="auto"/>
        <w:jc w:val="both"/>
      </w:pPr>
    </w:p>
    <w:p w14:paraId="0C49C6EC" w14:textId="77777777" w:rsidR="00F976E8" w:rsidRPr="003E6EA8" w:rsidRDefault="005A3D7D" w:rsidP="000A093B">
      <w:pPr>
        <w:keepNext/>
        <w:widowControl w:val="0"/>
        <w:spacing w:line="240" w:lineRule="auto"/>
      </w:pPr>
      <w:r w:rsidRPr="00A808AC">
        <w:t>Kalydeco 150 mg film</w:t>
      </w:r>
      <w:r w:rsidRPr="00A808AC">
        <w:noBreakHyphen/>
        <w:t>coated tablets</w:t>
      </w:r>
    </w:p>
    <w:p w14:paraId="0560FB8B" w14:textId="77777777" w:rsidR="00F976E8" w:rsidRPr="003E6EA8" w:rsidRDefault="00F976E8" w:rsidP="00FE2944">
      <w:pPr>
        <w:tabs>
          <w:tab w:val="left" w:pos="2070"/>
        </w:tabs>
        <w:autoSpaceDE w:val="0"/>
        <w:autoSpaceDN w:val="0"/>
        <w:adjustRightInd w:val="0"/>
        <w:spacing w:line="240" w:lineRule="auto"/>
        <w:jc w:val="both"/>
      </w:pPr>
    </w:p>
    <w:p w14:paraId="749EB2A0" w14:textId="77777777" w:rsidR="00F976E8" w:rsidRPr="003E6EA8" w:rsidRDefault="00F976E8" w:rsidP="00FE2944">
      <w:pPr>
        <w:tabs>
          <w:tab w:val="left" w:pos="2070"/>
        </w:tabs>
        <w:autoSpaceDE w:val="0"/>
        <w:autoSpaceDN w:val="0"/>
        <w:adjustRightInd w:val="0"/>
        <w:spacing w:line="240" w:lineRule="auto"/>
        <w:jc w:val="both"/>
      </w:pPr>
    </w:p>
    <w:p w14:paraId="073787A2" w14:textId="77777777" w:rsidR="00F976E8" w:rsidRPr="007B0741" w:rsidRDefault="005A3D7D" w:rsidP="002B22E8">
      <w:pPr>
        <w:pStyle w:val="Heading1"/>
        <w:spacing w:before="0" w:after="0" w:line="240" w:lineRule="auto"/>
        <w:rPr>
          <w:color w:val="000000"/>
          <w:sz w:val="22"/>
          <w:szCs w:val="22"/>
        </w:rPr>
      </w:pPr>
      <w:r w:rsidRPr="0044589F">
        <w:rPr>
          <w:rFonts w:ascii="Times New Roman" w:hAnsi="Times New Roman"/>
          <w:color w:val="000000"/>
          <w:sz w:val="22"/>
          <w:szCs w:val="22"/>
        </w:rPr>
        <w:t>2.</w:t>
      </w:r>
      <w:r w:rsidRPr="0044589F">
        <w:rPr>
          <w:rFonts w:ascii="Times New Roman" w:hAnsi="Times New Roman"/>
          <w:color w:val="000000"/>
          <w:sz w:val="22"/>
          <w:szCs w:val="22"/>
        </w:rPr>
        <w:tab/>
        <w:t>QUALITATIVE AND QUANTITATIVE COMPOSITION</w:t>
      </w:r>
    </w:p>
    <w:p w14:paraId="785B0DB7" w14:textId="77777777" w:rsidR="00F976E8" w:rsidRPr="003E6EA8" w:rsidRDefault="00F976E8" w:rsidP="000A093B">
      <w:pPr>
        <w:keepNext/>
        <w:widowControl w:val="0"/>
        <w:spacing w:line="240" w:lineRule="auto"/>
      </w:pPr>
    </w:p>
    <w:p w14:paraId="582A2AB4" w14:textId="77777777" w:rsidR="00F976E8" w:rsidRPr="003E6EA8" w:rsidRDefault="005A3D7D" w:rsidP="000A093B">
      <w:pPr>
        <w:keepNext/>
        <w:widowControl w:val="0"/>
        <w:spacing w:line="240" w:lineRule="auto"/>
      </w:pPr>
      <w:r w:rsidRPr="00A808AC">
        <w:t>Each film</w:t>
      </w:r>
      <w:r w:rsidRPr="00A808AC">
        <w:noBreakHyphen/>
        <w:t xml:space="preserve">coated tablet </w:t>
      </w:r>
      <w:r w:rsidRPr="00A808AC">
        <w:t>contains 150 mg of ivacaftor.</w:t>
      </w:r>
    </w:p>
    <w:p w14:paraId="64B513BB" w14:textId="77777777" w:rsidR="00F976E8" w:rsidRPr="003E6EA8" w:rsidRDefault="00F976E8" w:rsidP="000A093B">
      <w:pPr>
        <w:keepNext/>
        <w:widowControl w:val="0"/>
        <w:spacing w:line="240" w:lineRule="auto"/>
        <w:rPr>
          <w:u w:val="single"/>
        </w:rPr>
      </w:pPr>
    </w:p>
    <w:p w14:paraId="11C2CCB2" w14:textId="77777777" w:rsidR="00B20DF3" w:rsidRPr="000A093B" w:rsidRDefault="005A3D7D" w:rsidP="000A093B">
      <w:pPr>
        <w:keepNext/>
        <w:widowControl w:val="0"/>
        <w:spacing w:line="240" w:lineRule="auto"/>
        <w:rPr>
          <w:u w:val="single"/>
        </w:rPr>
      </w:pPr>
      <w:r w:rsidRPr="003E6EA8">
        <w:rPr>
          <w:u w:val="single"/>
        </w:rPr>
        <w:t>Excipient with known effect</w:t>
      </w:r>
    </w:p>
    <w:p w14:paraId="79338162" w14:textId="77777777" w:rsidR="007D375E" w:rsidRPr="003E6EA8" w:rsidRDefault="007D375E" w:rsidP="000A093B">
      <w:pPr>
        <w:keepNext/>
        <w:widowControl w:val="0"/>
        <w:spacing w:line="240" w:lineRule="auto"/>
      </w:pPr>
    </w:p>
    <w:p w14:paraId="47F779B2" w14:textId="586BE34F" w:rsidR="00F976E8" w:rsidRPr="003E6EA8" w:rsidRDefault="005A3D7D" w:rsidP="000A093B">
      <w:pPr>
        <w:keepNext/>
        <w:widowControl w:val="0"/>
        <w:spacing w:line="240" w:lineRule="auto"/>
      </w:pPr>
      <w:r w:rsidRPr="003E6EA8">
        <w:t>Each film</w:t>
      </w:r>
      <w:r w:rsidRPr="003E6EA8">
        <w:noBreakHyphen/>
        <w:t>coated tablet contains 167.2 mg of lactose monohydrate</w:t>
      </w:r>
      <w:r w:rsidR="007D375E">
        <w:t>.</w:t>
      </w:r>
    </w:p>
    <w:p w14:paraId="7C048D7C" w14:textId="77777777" w:rsidR="00F976E8" w:rsidRPr="003E6EA8" w:rsidRDefault="00F976E8" w:rsidP="000A093B">
      <w:pPr>
        <w:keepNext/>
        <w:widowControl w:val="0"/>
        <w:spacing w:line="240" w:lineRule="auto"/>
      </w:pPr>
    </w:p>
    <w:p w14:paraId="55B4B67F" w14:textId="77777777" w:rsidR="00F976E8" w:rsidRPr="003E6EA8" w:rsidRDefault="005A3D7D" w:rsidP="000A093B">
      <w:pPr>
        <w:keepNext/>
        <w:widowControl w:val="0"/>
        <w:spacing w:line="240" w:lineRule="auto"/>
      </w:pPr>
      <w:r w:rsidRPr="003E6EA8">
        <w:t>For the full list of excipients, see section</w:t>
      </w:r>
      <w:r w:rsidR="008540CC" w:rsidRPr="003E6EA8">
        <w:t> </w:t>
      </w:r>
      <w:r w:rsidRPr="003E6EA8">
        <w:t>6.1.</w:t>
      </w:r>
    </w:p>
    <w:p w14:paraId="10CA0812" w14:textId="77777777" w:rsidR="0085385B" w:rsidRPr="003E6EA8" w:rsidRDefault="0085385B" w:rsidP="009857AE">
      <w:pPr>
        <w:tabs>
          <w:tab w:val="clear" w:pos="567"/>
        </w:tabs>
        <w:autoSpaceDE w:val="0"/>
        <w:autoSpaceDN w:val="0"/>
        <w:adjustRightInd w:val="0"/>
        <w:spacing w:line="240" w:lineRule="auto"/>
      </w:pPr>
    </w:p>
    <w:p w14:paraId="31A45D87" w14:textId="77777777" w:rsidR="00F976E8" w:rsidRPr="003E6EA8" w:rsidRDefault="00F976E8" w:rsidP="00FE2944">
      <w:pPr>
        <w:tabs>
          <w:tab w:val="left" w:pos="2070"/>
        </w:tabs>
        <w:autoSpaceDE w:val="0"/>
        <w:autoSpaceDN w:val="0"/>
        <w:adjustRightInd w:val="0"/>
        <w:spacing w:line="240" w:lineRule="auto"/>
        <w:jc w:val="both"/>
      </w:pPr>
    </w:p>
    <w:p w14:paraId="09A4C65C" w14:textId="77777777" w:rsidR="00F976E8" w:rsidRPr="007B0741" w:rsidRDefault="005A3D7D" w:rsidP="00A0798C">
      <w:pPr>
        <w:pStyle w:val="Heading1"/>
        <w:spacing w:before="0" w:after="0" w:line="240" w:lineRule="auto"/>
        <w:rPr>
          <w:caps/>
          <w:sz w:val="22"/>
          <w:szCs w:val="22"/>
        </w:rPr>
      </w:pPr>
      <w:r w:rsidRPr="0044589F">
        <w:rPr>
          <w:rFonts w:ascii="Times New Roman" w:hAnsi="Times New Roman"/>
          <w:sz w:val="22"/>
          <w:szCs w:val="22"/>
        </w:rPr>
        <w:t>3.</w:t>
      </w:r>
      <w:r w:rsidRPr="0044589F">
        <w:rPr>
          <w:rFonts w:ascii="Times New Roman" w:hAnsi="Times New Roman"/>
          <w:sz w:val="22"/>
          <w:szCs w:val="22"/>
        </w:rPr>
        <w:tab/>
        <w:t>PHARMACEUTICAL FORM</w:t>
      </w:r>
    </w:p>
    <w:p w14:paraId="115A6163" w14:textId="77777777" w:rsidR="00F976E8" w:rsidRPr="003E6EA8" w:rsidRDefault="00F976E8" w:rsidP="000A093B">
      <w:pPr>
        <w:keepNext/>
        <w:tabs>
          <w:tab w:val="left" w:pos="2070"/>
        </w:tabs>
        <w:autoSpaceDE w:val="0"/>
        <w:autoSpaceDN w:val="0"/>
        <w:adjustRightInd w:val="0"/>
        <w:spacing w:line="240" w:lineRule="auto"/>
        <w:jc w:val="both"/>
      </w:pPr>
    </w:p>
    <w:p w14:paraId="5356BBA6" w14:textId="77777777" w:rsidR="00F976E8" w:rsidRPr="003E6EA8" w:rsidRDefault="005A3D7D" w:rsidP="000A093B">
      <w:pPr>
        <w:keepNext/>
        <w:tabs>
          <w:tab w:val="left" w:pos="2070"/>
        </w:tabs>
        <w:autoSpaceDE w:val="0"/>
        <w:autoSpaceDN w:val="0"/>
        <w:adjustRightInd w:val="0"/>
        <w:spacing w:line="240" w:lineRule="auto"/>
        <w:jc w:val="both"/>
      </w:pPr>
      <w:r w:rsidRPr="003E6EA8">
        <w:t>Film</w:t>
      </w:r>
      <w:r w:rsidRPr="003E6EA8">
        <w:noBreakHyphen/>
        <w:t>coated tablet (tablet)</w:t>
      </w:r>
    </w:p>
    <w:p w14:paraId="4169C159" w14:textId="77777777" w:rsidR="00F976E8" w:rsidRPr="003E6EA8" w:rsidRDefault="00F976E8" w:rsidP="000A093B">
      <w:pPr>
        <w:keepNext/>
        <w:spacing w:line="240" w:lineRule="auto"/>
      </w:pPr>
    </w:p>
    <w:p w14:paraId="112B3858" w14:textId="77777777" w:rsidR="00F976E8" w:rsidRPr="003E6EA8" w:rsidRDefault="005A3D7D" w:rsidP="00FE2944">
      <w:pPr>
        <w:spacing w:line="240" w:lineRule="auto"/>
      </w:pPr>
      <w:r w:rsidRPr="003E6EA8">
        <w:t>Light blue</w:t>
      </w:r>
      <w:r w:rsidR="00256E30" w:rsidRPr="003E6EA8">
        <w:t>,</w:t>
      </w:r>
      <w:r w:rsidRPr="003E6EA8">
        <w:t xml:space="preserve"> capsule</w:t>
      </w:r>
      <w:r w:rsidRPr="003E6EA8">
        <w:noBreakHyphen/>
        <w:t>shaped</w:t>
      </w:r>
      <w:r w:rsidR="0085385B" w:rsidRPr="003E6EA8">
        <w:t xml:space="preserve"> film</w:t>
      </w:r>
      <w:r w:rsidR="008540CC" w:rsidRPr="003E6EA8">
        <w:noBreakHyphen/>
      </w:r>
      <w:r w:rsidR="0085385B" w:rsidRPr="003E6EA8">
        <w:t>coated</w:t>
      </w:r>
      <w:r w:rsidRPr="003E6EA8">
        <w:t xml:space="preserve"> tablets, printed with “V 150” in black ink on one side and plain on the other</w:t>
      </w:r>
      <w:r w:rsidRPr="003E6EA8">
        <w:rPr>
          <w:rFonts w:eastAsia="MS Mincho"/>
          <w:lang w:eastAsia="ja-JP"/>
        </w:rPr>
        <w:t xml:space="preserve"> (16.5 mm x 8.4 mm in modified </w:t>
      </w:r>
      <w:r w:rsidR="0085385B" w:rsidRPr="003E6EA8">
        <w:rPr>
          <w:rFonts w:eastAsia="MS Mincho"/>
          <w:lang w:eastAsia="ja-JP"/>
        </w:rPr>
        <w:t xml:space="preserve">tablet </w:t>
      </w:r>
      <w:r w:rsidRPr="003E6EA8">
        <w:rPr>
          <w:rFonts w:eastAsia="MS Mincho"/>
          <w:lang w:eastAsia="ja-JP"/>
        </w:rPr>
        <w:t>shape).</w:t>
      </w:r>
    </w:p>
    <w:p w14:paraId="421D469C" w14:textId="77777777" w:rsidR="00F976E8" w:rsidRPr="003E6EA8" w:rsidRDefault="00F976E8" w:rsidP="00FE2944">
      <w:pPr>
        <w:tabs>
          <w:tab w:val="left" w:pos="2070"/>
        </w:tabs>
        <w:autoSpaceDE w:val="0"/>
        <w:autoSpaceDN w:val="0"/>
        <w:adjustRightInd w:val="0"/>
        <w:spacing w:line="240" w:lineRule="auto"/>
        <w:jc w:val="both"/>
      </w:pPr>
    </w:p>
    <w:p w14:paraId="782AA2D0" w14:textId="77777777" w:rsidR="00F976E8" w:rsidRPr="003E6EA8" w:rsidRDefault="00F976E8" w:rsidP="00FE2944">
      <w:pPr>
        <w:tabs>
          <w:tab w:val="left" w:pos="2070"/>
        </w:tabs>
        <w:autoSpaceDE w:val="0"/>
        <w:autoSpaceDN w:val="0"/>
        <w:adjustRightInd w:val="0"/>
        <w:spacing w:line="240" w:lineRule="auto"/>
        <w:jc w:val="both"/>
      </w:pPr>
    </w:p>
    <w:p w14:paraId="16B50518" w14:textId="77777777" w:rsidR="00F976E8" w:rsidRPr="007B0741" w:rsidRDefault="005A3D7D" w:rsidP="00A0798C">
      <w:pPr>
        <w:pStyle w:val="Heading1"/>
        <w:spacing w:before="0" w:after="0" w:line="240" w:lineRule="auto"/>
        <w:rPr>
          <w:caps/>
          <w:sz w:val="22"/>
          <w:szCs w:val="22"/>
        </w:rPr>
      </w:pPr>
      <w:r w:rsidRPr="0044589F">
        <w:rPr>
          <w:rFonts w:ascii="Times New Roman" w:hAnsi="Times New Roman"/>
          <w:caps/>
          <w:sz w:val="22"/>
          <w:szCs w:val="22"/>
        </w:rPr>
        <w:t>4.</w:t>
      </w:r>
      <w:r w:rsidRPr="0044589F">
        <w:rPr>
          <w:rFonts w:ascii="Times New Roman" w:hAnsi="Times New Roman"/>
          <w:caps/>
          <w:sz w:val="22"/>
          <w:szCs w:val="22"/>
        </w:rPr>
        <w:tab/>
      </w:r>
      <w:r w:rsidRPr="0044589F">
        <w:rPr>
          <w:rFonts w:ascii="Times New Roman" w:hAnsi="Times New Roman"/>
          <w:sz w:val="22"/>
          <w:szCs w:val="22"/>
        </w:rPr>
        <w:t>CLINICAL PARTICULARS</w:t>
      </w:r>
    </w:p>
    <w:p w14:paraId="39912331" w14:textId="77777777" w:rsidR="00F976E8" w:rsidRPr="003E6EA8" w:rsidRDefault="00F976E8" w:rsidP="000A093B">
      <w:pPr>
        <w:keepNext/>
        <w:tabs>
          <w:tab w:val="left" w:pos="2070"/>
        </w:tabs>
        <w:autoSpaceDE w:val="0"/>
        <w:autoSpaceDN w:val="0"/>
        <w:adjustRightInd w:val="0"/>
        <w:spacing w:line="240" w:lineRule="auto"/>
        <w:jc w:val="both"/>
      </w:pPr>
    </w:p>
    <w:p w14:paraId="0FFFCE7E" w14:textId="77777777" w:rsidR="00F976E8" w:rsidRPr="00A808AC" w:rsidRDefault="005A3D7D" w:rsidP="000A093B">
      <w:pPr>
        <w:keepNext/>
        <w:suppressLineNumbers/>
        <w:spacing w:line="240" w:lineRule="auto"/>
        <w:ind w:left="567" w:hanging="567"/>
        <w:outlineLvl w:val="1"/>
      </w:pPr>
      <w:r w:rsidRPr="00A808AC">
        <w:rPr>
          <w:b/>
          <w:bCs/>
        </w:rPr>
        <w:t>4.1</w:t>
      </w:r>
      <w:r w:rsidRPr="00A808AC">
        <w:rPr>
          <w:b/>
          <w:bCs/>
        </w:rPr>
        <w:tab/>
        <w:t>Therapeutic indications</w:t>
      </w:r>
    </w:p>
    <w:p w14:paraId="63A17A62" w14:textId="77777777" w:rsidR="00F976E8" w:rsidRPr="00A808AC" w:rsidRDefault="00F976E8" w:rsidP="000A093B">
      <w:pPr>
        <w:keepNext/>
        <w:tabs>
          <w:tab w:val="left" w:pos="2070"/>
        </w:tabs>
        <w:autoSpaceDE w:val="0"/>
        <w:autoSpaceDN w:val="0"/>
        <w:adjustRightInd w:val="0"/>
        <w:spacing w:line="240" w:lineRule="auto"/>
        <w:jc w:val="both"/>
      </w:pPr>
    </w:p>
    <w:p w14:paraId="44E0EDCC" w14:textId="77777777" w:rsidR="007D375E" w:rsidRDefault="005A3D7D" w:rsidP="00943F75">
      <w:pPr>
        <w:pStyle w:val="labeltext"/>
        <w:keepNext/>
        <w:rPr>
          <w:sz w:val="22"/>
          <w:szCs w:val="22"/>
          <w:lang w:val="en-GB"/>
        </w:rPr>
      </w:pPr>
      <w:r w:rsidRPr="00A808AC">
        <w:rPr>
          <w:sz w:val="22"/>
          <w:szCs w:val="22"/>
          <w:lang w:val="en-GB"/>
        </w:rPr>
        <w:t>Kalydeco tablets are indicated</w:t>
      </w:r>
      <w:r>
        <w:rPr>
          <w:sz w:val="22"/>
          <w:szCs w:val="22"/>
          <w:lang w:val="en-GB"/>
        </w:rPr>
        <w:t xml:space="preserve">: </w:t>
      </w:r>
    </w:p>
    <w:p w14:paraId="040F900B" w14:textId="3DFC3AA6" w:rsidR="00F976E8" w:rsidRPr="00A808AC" w:rsidRDefault="005A3D7D" w:rsidP="000A093B">
      <w:pPr>
        <w:pStyle w:val="labeltext"/>
        <w:numPr>
          <w:ilvl w:val="0"/>
          <w:numId w:val="67"/>
        </w:numPr>
        <w:ind w:left="567"/>
        <w:rPr>
          <w:sz w:val="22"/>
          <w:szCs w:val="22"/>
          <w:lang w:val="en-GB"/>
        </w:rPr>
      </w:pPr>
      <w:r>
        <w:rPr>
          <w:sz w:val="22"/>
          <w:szCs w:val="22"/>
          <w:lang w:val="en-GB"/>
        </w:rPr>
        <w:t xml:space="preserve">As monotherapy </w:t>
      </w:r>
      <w:r w:rsidR="00D43E48" w:rsidRPr="00A808AC">
        <w:rPr>
          <w:sz w:val="22"/>
          <w:szCs w:val="22"/>
          <w:lang w:val="en-GB"/>
        </w:rPr>
        <w:t xml:space="preserve">for the treatment of </w:t>
      </w:r>
      <w:r w:rsidR="00EA4462">
        <w:rPr>
          <w:sz w:val="22"/>
          <w:szCs w:val="22"/>
          <w:lang w:val="en-GB"/>
        </w:rPr>
        <w:t>adults, adolescents, and children</w:t>
      </w:r>
      <w:r w:rsidR="00D43E48" w:rsidRPr="00A808AC">
        <w:rPr>
          <w:sz w:val="22"/>
          <w:szCs w:val="22"/>
          <w:lang w:val="en-GB"/>
        </w:rPr>
        <w:t xml:space="preserve"> aged 6 years and older and weighing 25 kg or more </w:t>
      </w:r>
      <w:r w:rsidR="00EA4462">
        <w:rPr>
          <w:sz w:val="22"/>
          <w:szCs w:val="22"/>
          <w:lang w:val="en-GB"/>
        </w:rPr>
        <w:t xml:space="preserve">with cystic fibrosis (CF) </w:t>
      </w:r>
      <w:r w:rsidR="00D43E48" w:rsidRPr="00A808AC">
        <w:rPr>
          <w:sz w:val="22"/>
          <w:szCs w:val="22"/>
          <w:lang w:val="en-GB"/>
        </w:rPr>
        <w:t xml:space="preserve">who have </w:t>
      </w:r>
      <w:r w:rsidR="005C3799">
        <w:rPr>
          <w:sz w:val="22"/>
          <w:szCs w:val="22"/>
          <w:lang w:val="en-GB"/>
        </w:rPr>
        <w:t xml:space="preserve">an </w:t>
      </w:r>
      <w:r w:rsidR="005C3799" w:rsidRPr="005C3799">
        <w:rPr>
          <w:i/>
          <w:iCs/>
          <w:sz w:val="22"/>
          <w:szCs w:val="22"/>
          <w:lang w:val="en-GB"/>
        </w:rPr>
        <w:t>R117H CFTR</w:t>
      </w:r>
      <w:r w:rsidR="005C3799">
        <w:rPr>
          <w:sz w:val="22"/>
          <w:szCs w:val="22"/>
          <w:lang w:val="en-GB"/>
        </w:rPr>
        <w:t xml:space="preserve"> mutation or </w:t>
      </w:r>
      <w:r w:rsidR="00D43E48" w:rsidRPr="00A808AC">
        <w:rPr>
          <w:sz w:val="22"/>
          <w:szCs w:val="22"/>
          <w:lang w:val="en-GB"/>
        </w:rPr>
        <w:t xml:space="preserve">one of the following gating (class III) mutations in the </w:t>
      </w:r>
      <w:r w:rsidR="004727A0">
        <w:rPr>
          <w:sz w:val="22"/>
          <w:szCs w:val="22"/>
          <w:lang w:val="en-GB"/>
        </w:rPr>
        <w:t>cystic fibrosis transmembrane conductance regulator (</w:t>
      </w:r>
      <w:r w:rsidR="00D43E48" w:rsidRPr="00A808AC">
        <w:rPr>
          <w:i/>
          <w:iCs/>
          <w:sz w:val="22"/>
          <w:szCs w:val="22"/>
          <w:lang w:val="en-GB"/>
        </w:rPr>
        <w:t>CFTR</w:t>
      </w:r>
      <w:r w:rsidR="004727A0">
        <w:rPr>
          <w:i/>
          <w:iCs/>
          <w:sz w:val="22"/>
          <w:szCs w:val="22"/>
          <w:lang w:val="en-GB"/>
        </w:rPr>
        <w:t>)</w:t>
      </w:r>
      <w:r w:rsidR="00D43E48" w:rsidRPr="00A808AC">
        <w:rPr>
          <w:sz w:val="22"/>
          <w:szCs w:val="22"/>
          <w:lang w:val="en-GB"/>
        </w:rPr>
        <w:t xml:space="preserve"> gene: </w:t>
      </w:r>
      <w:r w:rsidR="00D43E48" w:rsidRPr="00A808AC">
        <w:rPr>
          <w:i/>
          <w:sz w:val="22"/>
          <w:szCs w:val="22"/>
          <w:lang w:val="en-GB"/>
        </w:rPr>
        <w:t>G551D</w:t>
      </w:r>
      <w:r w:rsidR="00D43E48" w:rsidRPr="00A808AC">
        <w:rPr>
          <w:sz w:val="22"/>
          <w:szCs w:val="22"/>
          <w:lang w:val="en-GB"/>
        </w:rPr>
        <w:t xml:space="preserve">, </w:t>
      </w:r>
      <w:r w:rsidR="00D43E48" w:rsidRPr="00A808AC">
        <w:rPr>
          <w:i/>
          <w:sz w:val="22"/>
          <w:szCs w:val="22"/>
          <w:lang w:val="en-GB"/>
        </w:rPr>
        <w:t>G1244E</w:t>
      </w:r>
      <w:r w:rsidR="00D43E48" w:rsidRPr="00A808AC">
        <w:rPr>
          <w:sz w:val="22"/>
          <w:szCs w:val="22"/>
          <w:lang w:val="en-GB"/>
        </w:rPr>
        <w:t xml:space="preserve">, </w:t>
      </w:r>
      <w:r w:rsidR="00D43E48" w:rsidRPr="00A808AC">
        <w:rPr>
          <w:i/>
          <w:sz w:val="22"/>
          <w:szCs w:val="22"/>
          <w:lang w:val="en-GB"/>
        </w:rPr>
        <w:t>G1349D</w:t>
      </w:r>
      <w:r w:rsidR="00D43E48" w:rsidRPr="00A808AC">
        <w:rPr>
          <w:sz w:val="22"/>
          <w:szCs w:val="22"/>
          <w:lang w:val="en-GB"/>
        </w:rPr>
        <w:t xml:space="preserve">, </w:t>
      </w:r>
      <w:r w:rsidR="00D43E48" w:rsidRPr="00A808AC">
        <w:rPr>
          <w:i/>
          <w:sz w:val="22"/>
          <w:szCs w:val="22"/>
          <w:lang w:val="en-GB"/>
        </w:rPr>
        <w:t>G178R</w:t>
      </w:r>
      <w:r w:rsidR="00D43E48" w:rsidRPr="00A808AC">
        <w:rPr>
          <w:sz w:val="22"/>
          <w:szCs w:val="22"/>
          <w:lang w:val="en-GB"/>
        </w:rPr>
        <w:t xml:space="preserve">, </w:t>
      </w:r>
      <w:r w:rsidR="00D43E48" w:rsidRPr="00A808AC">
        <w:rPr>
          <w:i/>
          <w:sz w:val="22"/>
          <w:szCs w:val="22"/>
          <w:lang w:val="en-GB"/>
        </w:rPr>
        <w:t>G551S</w:t>
      </w:r>
      <w:r w:rsidR="00D43E48" w:rsidRPr="00A808AC">
        <w:rPr>
          <w:sz w:val="22"/>
          <w:szCs w:val="22"/>
          <w:lang w:val="en-GB"/>
        </w:rPr>
        <w:t xml:space="preserve">, </w:t>
      </w:r>
      <w:r w:rsidR="00D43E48" w:rsidRPr="00A808AC">
        <w:rPr>
          <w:i/>
          <w:sz w:val="22"/>
          <w:szCs w:val="22"/>
          <w:lang w:val="en-GB"/>
        </w:rPr>
        <w:t>S1251N</w:t>
      </w:r>
      <w:r w:rsidR="00D43E48" w:rsidRPr="00A808AC">
        <w:rPr>
          <w:sz w:val="22"/>
          <w:szCs w:val="22"/>
          <w:lang w:val="en-GB"/>
        </w:rPr>
        <w:t xml:space="preserve">, </w:t>
      </w:r>
      <w:r w:rsidR="00D43E48" w:rsidRPr="00A808AC">
        <w:rPr>
          <w:i/>
          <w:sz w:val="22"/>
          <w:szCs w:val="22"/>
          <w:lang w:val="en-GB"/>
        </w:rPr>
        <w:t>S1255P</w:t>
      </w:r>
      <w:r w:rsidR="00D43E48" w:rsidRPr="00A808AC">
        <w:rPr>
          <w:sz w:val="22"/>
          <w:szCs w:val="22"/>
          <w:lang w:val="en-GB"/>
        </w:rPr>
        <w:t xml:space="preserve">, </w:t>
      </w:r>
      <w:r w:rsidR="00D43E48" w:rsidRPr="00A808AC">
        <w:rPr>
          <w:i/>
          <w:sz w:val="22"/>
          <w:szCs w:val="22"/>
          <w:lang w:val="en-GB"/>
        </w:rPr>
        <w:t>S549N</w:t>
      </w:r>
      <w:r w:rsidR="00D43E48" w:rsidRPr="00A808AC">
        <w:rPr>
          <w:sz w:val="22"/>
          <w:szCs w:val="22"/>
          <w:lang w:val="en-GB"/>
        </w:rPr>
        <w:t xml:space="preserve"> </w:t>
      </w:r>
      <w:r w:rsidR="00D43E48" w:rsidRPr="00A808AC">
        <w:rPr>
          <w:iCs/>
          <w:sz w:val="22"/>
          <w:szCs w:val="22"/>
          <w:lang w:val="en-GB"/>
        </w:rPr>
        <w:t>or</w:t>
      </w:r>
      <w:r w:rsidR="00D43E48" w:rsidRPr="00A808AC">
        <w:rPr>
          <w:sz w:val="22"/>
          <w:szCs w:val="22"/>
          <w:lang w:val="en-GB"/>
        </w:rPr>
        <w:t xml:space="preserve"> </w:t>
      </w:r>
      <w:r w:rsidR="00D43E48" w:rsidRPr="00A808AC">
        <w:rPr>
          <w:i/>
          <w:sz w:val="22"/>
          <w:szCs w:val="22"/>
          <w:lang w:val="en-GB"/>
        </w:rPr>
        <w:t>S549R</w:t>
      </w:r>
      <w:r w:rsidR="00D43E48" w:rsidRPr="00A808AC">
        <w:rPr>
          <w:sz w:val="22"/>
          <w:szCs w:val="22"/>
          <w:lang w:val="en-GB"/>
        </w:rPr>
        <w:t xml:space="preserve"> (see sections 4.4 and 5.1).</w:t>
      </w:r>
    </w:p>
    <w:p w14:paraId="64159CCF" w14:textId="77777777" w:rsidR="00F976E8" w:rsidRPr="00A808AC" w:rsidRDefault="00F976E8" w:rsidP="000A093B">
      <w:pPr>
        <w:tabs>
          <w:tab w:val="left" w:pos="2070"/>
        </w:tabs>
        <w:autoSpaceDE w:val="0"/>
        <w:autoSpaceDN w:val="0"/>
        <w:adjustRightInd w:val="0"/>
        <w:spacing w:line="240" w:lineRule="auto"/>
        <w:ind w:left="567"/>
        <w:jc w:val="both"/>
        <w:rPr>
          <w:lang w:val="en-US"/>
        </w:rPr>
      </w:pPr>
    </w:p>
    <w:p w14:paraId="2C2D8E7D" w14:textId="1062B54B" w:rsidR="00E27195" w:rsidRDefault="005A3D7D" w:rsidP="000A093B">
      <w:pPr>
        <w:pStyle w:val="ListParagraph"/>
        <w:numPr>
          <w:ilvl w:val="0"/>
          <w:numId w:val="67"/>
        </w:numPr>
        <w:tabs>
          <w:tab w:val="left" w:pos="2070"/>
        </w:tabs>
        <w:autoSpaceDE w:val="0"/>
        <w:autoSpaceDN w:val="0"/>
        <w:adjustRightInd w:val="0"/>
        <w:ind w:left="567"/>
      </w:pPr>
      <w:r>
        <w:t>I</w:t>
      </w:r>
      <w:r w:rsidR="009B1867" w:rsidRPr="00B0604D">
        <w:t xml:space="preserve">n a combination regimen with tezacaftor 100 mg/ivacaftor 150 mg tablets for the treatment of </w:t>
      </w:r>
      <w:r w:rsidR="00B666D3">
        <w:t>adults and adolescents</w:t>
      </w:r>
      <w:r w:rsidR="00B666D3" w:rsidRPr="00B0604D">
        <w:t xml:space="preserve"> </w:t>
      </w:r>
      <w:r w:rsidR="009B1867" w:rsidRPr="00B0604D">
        <w:t xml:space="preserve">aged 12 years and older </w:t>
      </w:r>
      <w:r w:rsidR="00B666D3">
        <w:t xml:space="preserve">with cystic fibrosis (CF) </w:t>
      </w:r>
      <w:r w:rsidR="009B1867" w:rsidRPr="00B0604D">
        <w:t xml:space="preserve">who are homozygous for the </w:t>
      </w:r>
      <w:r w:rsidR="009B1867" w:rsidRPr="007D375E">
        <w:rPr>
          <w:i/>
        </w:rPr>
        <w:t xml:space="preserve">F508del </w:t>
      </w:r>
      <w:r w:rsidR="009B1867" w:rsidRPr="00B0604D">
        <w:t xml:space="preserve">mutation or who are heterozygous for the </w:t>
      </w:r>
      <w:r w:rsidR="009B1867" w:rsidRPr="007D375E">
        <w:rPr>
          <w:i/>
        </w:rPr>
        <w:t>F508del</w:t>
      </w:r>
      <w:r w:rsidR="009B1867" w:rsidRPr="00B0604D">
        <w:t xml:space="preserve"> mutation and </w:t>
      </w:r>
      <w:r w:rsidR="009B1867">
        <w:t xml:space="preserve">have </w:t>
      </w:r>
      <w:r w:rsidR="009B1867" w:rsidRPr="00B0604D">
        <w:t xml:space="preserve">one of the following mutations in the </w:t>
      </w:r>
      <w:r w:rsidR="009B1867" w:rsidRPr="007D375E">
        <w:rPr>
          <w:i/>
          <w:iCs/>
        </w:rPr>
        <w:t>CFTR</w:t>
      </w:r>
      <w:r w:rsidR="009B1867" w:rsidRPr="00B0604D">
        <w:t xml:space="preserve"> gene: </w:t>
      </w:r>
      <w:r w:rsidR="009B1867" w:rsidRPr="007D375E">
        <w:rPr>
          <w:i/>
        </w:rPr>
        <w:t>P67L, R117C, L206W, R352Q, A455E, D579G, 711+3A→G, S945L, S977F, R1070W, D1152H, 2789+5G→A, 3272</w:t>
      </w:r>
      <w:r w:rsidR="009B1867" w:rsidRPr="007D375E">
        <w:rPr>
          <w:i/>
        </w:rPr>
        <w:noBreakHyphen/>
        <w:t xml:space="preserve">26A→G, </w:t>
      </w:r>
      <w:r w:rsidR="009B1867" w:rsidRPr="000A6534">
        <w:t>and</w:t>
      </w:r>
      <w:r w:rsidR="009B1867" w:rsidRPr="007D375E">
        <w:rPr>
          <w:i/>
        </w:rPr>
        <w:t xml:space="preserve"> 3849+10kbC→T</w:t>
      </w:r>
      <w:r w:rsidR="009B1867">
        <w:t>.</w:t>
      </w:r>
    </w:p>
    <w:p w14:paraId="6AC00A5A" w14:textId="77777777" w:rsidR="00FC15AD" w:rsidRDefault="00FC15AD" w:rsidP="0039407A">
      <w:pPr>
        <w:tabs>
          <w:tab w:val="left" w:pos="2070"/>
        </w:tabs>
        <w:autoSpaceDE w:val="0"/>
        <w:autoSpaceDN w:val="0"/>
        <w:adjustRightInd w:val="0"/>
        <w:spacing w:line="240" w:lineRule="auto"/>
        <w:ind w:left="567"/>
      </w:pPr>
    </w:p>
    <w:p w14:paraId="645A20B2" w14:textId="77777777" w:rsidR="00FC15AD" w:rsidRDefault="005A3D7D" w:rsidP="0039407A">
      <w:pPr>
        <w:pStyle w:val="ListParagraph"/>
        <w:numPr>
          <w:ilvl w:val="0"/>
          <w:numId w:val="67"/>
        </w:numPr>
        <w:tabs>
          <w:tab w:val="left" w:pos="2070"/>
        </w:tabs>
        <w:autoSpaceDE w:val="0"/>
        <w:autoSpaceDN w:val="0"/>
        <w:adjustRightInd w:val="0"/>
        <w:ind w:left="567"/>
      </w:pPr>
      <w:bookmarkStart w:id="0" w:name="_Hlk36013910"/>
      <w:r>
        <w:t>I</w:t>
      </w:r>
      <w:r w:rsidR="001B1A8F">
        <w:t xml:space="preserve">n a combination regimen with </w:t>
      </w:r>
      <w:r>
        <w:t>ivacaftor</w:t>
      </w:r>
      <w:r w:rsidR="00175194">
        <w:t> </w:t>
      </w:r>
      <w:r>
        <w:t>75</w:t>
      </w:r>
      <w:r w:rsidR="00175194">
        <w:t> </w:t>
      </w:r>
      <w:r>
        <w:t>mg/tezacaftor</w:t>
      </w:r>
      <w:r w:rsidR="00175194">
        <w:t> </w:t>
      </w:r>
      <w:r w:rsidR="00853822">
        <w:t>50</w:t>
      </w:r>
      <w:r w:rsidR="00175194">
        <w:t> </w:t>
      </w:r>
      <w:r>
        <w:t>mg/</w:t>
      </w:r>
      <w:r w:rsidR="001B1A8F">
        <w:t>elexacaftor</w:t>
      </w:r>
      <w:r w:rsidR="00175194">
        <w:t> </w:t>
      </w:r>
      <w:r w:rsidR="00AF1E75">
        <w:t>100</w:t>
      </w:r>
      <w:r w:rsidR="00175194">
        <w:t> </w:t>
      </w:r>
      <w:r w:rsidR="00AF1E75">
        <w:t xml:space="preserve">mg tablets for the treatment </w:t>
      </w:r>
      <w:r w:rsidR="00AF1E75" w:rsidRPr="00341C5B">
        <w:t xml:space="preserve">of </w:t>
      </w:r>
      <w:r w:rsidR="00163268" w:rsidRPr="00341C5B">
        <w:t xml:space="preserve">adults and adolescents aged </w:t>
      </w:r>
      <w:r w:rsidR="00AF1E75" w:rsidRPr="00341C5B">
        <w:t>12</w:t>
      </w:r>
      <w:r w:rsidR="008208A6">
        <w:t> </w:t>
      </w:r>
      <w:r w:rsidR="00AF1E75" w:rsidRPr="00341C5B">
        <w:t>years and older</w:t>
      </w:r>
      <w:r w:rsidR="005A513C">
        <w:t xml:space="preserve"> with cystic fibrosis (CF)</w:t>
      </w:r>
      <w:r>
        <w:t xml:space="preserve"> who are homozygous for the </w:t>
      </w:r>
      <w:r w:rsidR="00AF1E75" w:rsidRPr="007D375E">
        <w:rPr>
          <w:i/>
          <w:iCs/>
        </w:rPr>
        <w:t>F508del</w:t>
      </w:r>
      <w:r w:rsidR="00AF1E75">
        <w:t xml:space="preserve"> mutation in the </w:t>
      </w:r>
      <w:r w:rsidR="00CF125F" w:rsidRPr="00243206">
        <w:rPr>
          <w:i/>
          <w:iCs/>
        </w:rPr>
        <w:t>CFTR</w:t>
      </w:r>
      <w:r w:rsidR="00CF125F">
        <w:t xml:space="preserve"> gene</w:t>
      </w:r>
      <w:r>
        <w:t xml:space="preserve"> or heterozygous for </w:t>
      </w:r>
      <w:r w:rsidRPr="007D375E">
        <w:rPr>
          <w:i/>
          <w:iCs/>
        </w:rPr>
        <w:t>F508del</w:t>
      </w:r>
      <w:r>
        <w:t xml:space="preserve"> in the </w:t>
      </w:r>
      <w:r w:rsidRPr="00243206">
        <w:rPr>
          <w:i/>
          <w:iCs/>
        </w:rPr>
        <w:t>CFTR</w:t>
      </w:r>
      <w:r>
        <w:t xml:space="preserve"> gene with a minimal function (MF) mutation (see section</w:t>
      </w:r>
      <w:r>
        <w:t xml:space="preserve"> 5.1)</w:t>
      </w:r>
      <w:r w:rsidR="004C4FC4">
        <w:t>.</w:t>
      </w:r>
    </w:p>
    <w:p w14:paraId="70A52C1F" w14:textId="77777777" w:rsidR="006A6025" w:rsidRDefault="006A6025" w:rsidP="000A093B">
      <w:pPr>
        <w:pStyle w:val="ListParagraph"/>
      </w:pPr>
    </w:p>
    <w:bookmarkEnd w:id="0"/>
    <w:p w14:paraId="0B9A8AD7" w14:textId="77777777" w:rsidR="00F976E8" w:rsidRPr="00A808AC" w:rsidRDefault="005A3D7D" w:rsidP="000A093B">
      <w:pPr>
        <w:keepNext/>
        <w:suppressLineNumbers/>
        <w:spacing w:line="240" w:lineRule="auto"/>
        <w:outlineLvl w:val="1"/>
        <w:rPr>
          <w:b/>
          <w:bCs/>
        </w:rPr>
      </w:pPr>
      <w:r w:rsidRPr="00A808AC">
        <w:rPr>
          <w:b/>
          <w:bCs/>
        </w:rPr>
        <w:t>4.2</w:t>
      </w:r>
      <w:r w:rsidRPr="00A808AC">
        <w:rPr>
          <w:b/>
          <w:bCs/>
        </w:rPr>
        <w:tab/>
        <w:t>Posology and method of administration</w:t>
      </w:r>
    </w:p>
    <w:p w14:paraId="42CD0B09" w14:textId="77777777" w:rsidR="00F976E8" w:rsidRPr="00A808AC" w:rsidRDefault="00F976E8" w:rsidP="000A093B">
      <w:pPr>
        <w:keepNext/>
        <w:tabs>
          <w:tab w:val="left" w:pos="2070"/>
        </w:tabs>
        <w:autoSpaceDE w:val="0"/>
        <w:autoSpaceDN w:val="0"/>
        <w:adjustRightInd w:val="0"/>
        <w:spacing w:line="240" w:lineRule="auto"/>
        <w:jc w:val="both"/>
        <w:rPr>
          <w:bCs/>
          <w:iCs/>
        </w:rPr>
      </w:pPr>
    </w:p>
    <w:p w14:paraId="4F2D2332" w14:textId="77777777" w:rsidR="00F976E8" w:rsidRPr="00A808AC" w:rsidRDefault="005A3D7D" w:rsidP="000A093B">
      <w:pPr>
        <w:keepNext/>
        <w:tabs>
          <w:tab w:val="left" w:pos="2070"/>
        </w:tabs>
        <w:autoSpaceDE w:val="0"/>
        <w:autoSpaceDN w:val="0"/>
        <w:adjustRightInd w:val="0"/>
        <w:spacing w:line="240" w:lineRule="auto"/>
        <w:rPr>
          <w:bCs/>
          <w:iCs/>
        </w:rPr>
      </w:pPr>
      <w:r w:rsidRPr="00A808AC">
        <w:rPr>
          <w:bCs/>
          <w:iCs/>
        </w:rPr>
        <w:t>Kalydeco should only be prescribed by physicians with experience in the treatment of cystic fibrosis. If the patient's genotype is unknown, an accurate and validated genotyping method should be performed before starting treatment to confirm the presence of</w:t>
      </w:r>
      <w:r w:rsidRPr="00A808AC">
        <w:rPr>
          <w:bCs/>
          <w:iCs/>
        </w:rPr>
        <w:t xml:space="preserve"> </w:t>
      </w:r>
      <w:r>
        <w:rPr>
          <w:bCs/>
          <w:iCs/>
        </w:rPr>
        <w:t xml:space="preserve">an indicated </w:t>
      </w:r>
      <w:r w:rsidRPr="00A808AC">
        <w:rPr>
          <w:bCs/>
          <w:iCs/>
        </w:rPr>
        <w:t xml:space="preserve">mutation </w:t>
      </w:r>
      <w:r w:rsidRPr="00443D61">
        <w:rPr>
          <w:bCs/>
          <w:iCs/>
        </w:rPr>
        <w:t xml:space="preserve">in the </w:t>
      </w:r>
      <w:r w:rsidRPr="00443D61">
        <w:rPr>
          <w:bCs/>
          <w:i/>
          <w:iCs/>
        </w:rPr>
        <w:t>CFTR</w:t>
      </w:r>
      <w:r w:rsidRPr="00443D61">
        <w:rPr>
          <w:bCs/>
          <w:iCs/>
        </w:rPr>
        <w:t xml:space="preserve"> gene (see section 4.1).</w:t>
      </w:r>
      <w:r w:rsidRPr="00A808AC">
        <w:rPr>
          <w:bCs/>
          <w:iCs/>
        </w:rPr>
        <w:t xml:space="preserve"> The phase of the poly</w:t>
      </w:r>
      <w:r w:rsidRPr="00A808AC">
        <w:rPr>
          <w:bCs/>
          <w:iCs/>
        </w:rPr>
        <w:noBreakHyphen/>
        <w:t xml:space="preserve">T variant identified with the </w:t>
      </w:r>
      <w:r w:rsidRPr="00A808AC">
        <w:rPr>
          <w:bCs/>
          <w:i/>
          <w:iCs/>
        </w:rPr>
        <w:t>R117H</w:t>
      </w:r>
      <w:r w:rsidRPr="00A808AC">
        <w:rPr>
          <w:bCs/>
          <w:iCs/>
        </w:rPr>
        <w:t xml:space="preserve"> mutation should be determined in accordance with local clinical recommendations.</w:t>
      </w:r>
    </w:p>
    <w:p w14:paraId="11AC2795" w14:textId="77777777" w:rsidR="00F976E8" w:rsidRPr="00A808AC" w:rsidRDefault="00F976E8" w:rsidP="00FE2944">
      <w:pPr>
        <w:tabs>
          <w:tab w:val="left" w:pos="2070"/>
        </w:tabs>
        <w:autoSpaceDE w:val="0"/>
        <w:autoSpaceDN w:val="0"/>
        <w:adjustRightInd w:val="0"/>
        <w:spacing w:line="240" w:lineRule="auto"/>
        <w:jc w:val="both"/>
        <w:rPr>
          <w:bCs/>
          <w:iCs/>
        </w:rPr>
      </w:pPr>
      <w:bookmarkStart w:id="1" w:name="paragraph00000061"/>
      <w:bookmarkEnd w:id="1"/>
    </w:p>
    <w:p w14:paraId="1477409F" w14:textId="77777777" w:rsidR="00F976E8" w:rsidRPr="00A808AC" w:rsidRDefault="005A3D7D" w:rsidP="000A093B">
      <w:pPr>
        <w:keepNext/>
        <w:keepLines/>
        <w:suppressLineNumbers/>
        <w:spacing w:line="240" w:lineRule="auto"/>
        <w:rPr>
          <w:u w:val="single"/>
        </w:rPr>
      </w:pPr>
      <w:r w:rsidRPr="00A808AC">
        <w:rPr>
          <w:u w:val="single"/>
        </w:rPr>
        <w:t>Posology</w:t>
      </w:r>
    </w:p>
    <w:p w14:paraId="3DF6BDCC" w14:textId="77777777" w:rsidR="003D3177" w:rsidRDefault="003D3177" w:rsidP="000A093B">
      <w:pPr>
        <w:keepNext/>
        <w:keepLines/>
        <w:spacing w:line="240" w:lineRule="auto"/>
        <w:rPr>
          <w:iCs/>
          <w:u w:val="single"/>
        </w:rPr>
      </w:pPr>
    </w:p>
    <w:p w14:paraId="3DDC1121" w14:textId="059B976F" w:rsidR="00753C20" w:rsidRPr="000A093B" w:rsidRDefault="005A3D7D" w:rsidP="000A093B">
      <w:pPr>
        <w:pStyle w:val="labeltext"/>
        <w:keepNext/>
        <w:keepLines/>
      </w:pPr>
      <w:r w:rsidRPr="005D1E57">
        <w:rPr>
          <w:iCs/>
          <w:sz w:val="22"/>
          <w:szCs w:val="22"/>
        </w:rPr>
        <w:t>Adults</w:t>
      </w:r>
      <w:r w:rsidRPr="000A093B">
        <w:rPr>
          <w:sz w:val="22"/>
        </w:rPr>
        <w:t>, adolescents and children aged 6</w:t>
      </w:r>
      <w:r w:rsidR="00025ADA" w:rsidRPr="000A093B">
        <w:rPr>
          <w:sz w:val="22"/>
        </w:rPr>
        <w:t> </w:t>
      </w:r>
      <w:r w:rsidRPr="000A093B">
        <w:rPr>
          <w:sz w:val="22"/>
        </w:rPr>
        <w:t xml:space="preserve">years and older </w:t>
      </w:r>
      <w:r w:rsidRPr="005D1E57">
        <w:rPr>
          <w:iCs/>
          <w:sz w:val="22"/>
          <w:szCs w:val="22"/>
        </w:rPr>
        <w:t>should be dosed according to Table</w:t>
      </w:r>
      <w:r w:rsidR="0094286F">
        <w:rPr>
          <w:iCs/>
          <w:sz w:val="22"/>
          <w:szCs w:val="22"/>
        </w:rPr>
        <w:t> </w:t>
      </w:r>
      <w:r w:rsidRPr="005D1E57">
        <w:rPr>
          <w:iCs/>
          <w:sz w:val="22"/>
          <w:szCs w:val="22"/>
        </w:rPr>
        <w:t xml:space="preserve">1. </w:t>
      </w:r>
    </w:p>
    <w:p w14:paraId="3E89E68C" w14:textId="77777777" w:rsidR="00753C20" w:rsidRDefault="00753C20" w:rsidP="00802A13">
      <w:pPr>
        <w:pStyle w:val="labeltext"/>
        <w:keepNext/>
        <w:keepLines/>
        <w:rPr>
          <w:i/>
          <w:sz w:val="22"/>
          <w:szCs w:val="22"/>
        </w:rPr>
      </w:pPr>
    </w:p>
    <w:p w14:paraId="4B5E4E3E" w14:textId="77777777" w:rsidR="00753C20" w:rsidRPr="005D1E57" w:rsidRDefault="005A3D7D" w:rsidP="00802A13">
      <w:pPr>
        <w:pStyle w:val="labeltext"/>
        <w:keepNext/>
        <w:keepLines/>
        <w:spacing w:after="120"/>
        <w:rPr>
          <w:b/>
          <w:sz w:val="22"/>
          <w:szCs w:val="22"/>
        </w:rPr>
      </w:pPr>
      <w:r w:rsidRPr="005D1E57">
        <w:rPr>
          <w:b/>
          <w:sz w:val="22"/>
          <w:szCs w:val="22"/>
        </w:rPr>
        <w:t>Table 1: Dosing recommendations</w:t>
      </w:r>
    </w:p>
    <w:tbl>
      <w:tblPr>
        <w:tblStyle w:val="TableGrid"/>
        <w:tblW w:w="9392" w:type="dxa"/>
        <w:tblInd w:w="-5" w:type="dxa"/>
        <w:tblLayout w:type="fixed"/>
        <w:tblLook w:val="04A0" w:firstRow="1" w:lastRow="0" w:firstColumn="1" w:lastColumn="0" w:noHBand="0" w:noVBand="1"/>
      </w:tblPr>
      <w:tblGrid>
        <w:gridCol w:w="2268"/>
        <w:gridCol w:w="4678"/>
        <w:gridCol w:w="2446"/>
      </w:tblGrid>
      <w:tr w:rsidR="00476058" w14:paraId="08733C1A" w14:textId="77777777" w:rsidTr="002D7778">
        <w:trPr>
          <w:trHeight w:val="325"/>
        </w:trPr>
        <w:tc>
          <w:tcPr>
            <w:tcW w:w="2268" w:type="dxa"/>
            <w:vAlign w:val="center"/>
          </w:tcPr>
          <w:p w14:paraId="7BEC8200" w14:textId="77777777" w:rsidR="00753C20" w:rsidRPr="00475296" w:rsidRDefault="00753C20" w:rsidP="00E327DD">
            <w:pPr>
              <w:pStyle w:val="labeltext"/>
              <w:keepNext/>
              <w:rPr>
                <w:b/>
                <w:bCs/>
                <w:iCs/>
                <w:sz w:val="22"/>
                <w:szCs w:val="22"/>
              </w:rPr>
            </w:pPr>
          </w:p>
        </w:tc>
        <w:tc>
          <w:tcPr>
            <w:tcW w:w="4678" w:type="dxa"/>
            <w:vAlign w:val="center"/>
          </w:tcPr>
          <w:p w14:paraId="3B444644" w14:textId="77777777" w:rsidR="00753C20" w:rsidRPr="00475296" w:rsidRDefault="005A3D7D" w:rsidP="00E327DD">
            <w:pPr>
              <w:pStyle w:val="labeltext"/>
              <w:keepNext/>
              <w:jc w:val="center"/>
              <w:rPr>
                <w:b/>
                <w:bCs/>
                <w:iCs/>
                <w:sz w:val="22"/>
                <w:szCs w:val="22"/>
              </w:rPr>
            </w:pPr>
            <w:r w:rsidRPr="00475296">
              <w:rPr>
                <w:b/>
                <w:bCs/>
                <w:iCs/>
                <w:sz w:val="22"/>
                <w:szCs w:val="22"/>
              </w:rPr>
              <w:t>Morning</w:t>
            </w:r>
          </w:p>
        </w:tc>
        <w:tc>
          <w:tcPr>
            <w:tcW w:w="2446" w:type="dxa"/>
            <w:vAlign w:val="center"/>
          </w:tcPr>
          <w:p w14:paraId="454879BE" w14:textId="77777777" w:rsidR="00753C20" w:rsidRPr="00475296" w:rsidRDefault="005A3D7D" w:rsidP="00E327DD">
            <w:pPr>
              <w:pStyle w:val="labeltext"/>
              <w:keepNext/>
              <w:jc w:val="center"/>
              <w:rPr>
                <w:b/>
                <w:bCs/>
                <w:iCs/>
                <w:sz w:val="22"/>
                <w:szCs w:val="22"/>
              </w:rPr>
            </w:pPr>
            <w:r w:rsidRPr="00475296">
              <w:rPr>
                <w:b/>
                <w:bCs/>
                <w:iCs/>
                <w:sz w:val="22"/>
                <w:szCs w:val="22"/>
              </w:rPr>
              <w:t>Evening</w:t>
            </w:r>
          </w:p>
        </w:tc>
      </w:tr>
      <w:tr w:rsidR="00476058" w14:paraId="621A318F" w14:textId="77777777" w:rsidTr="00581CA2">
        <w:trPr>
          <w:trHeight w:val="306"/>
        </w:trPr>
        <w:tc>
          <w:tcPr>
            <w:tcW w:w="9392" w:type="dxa"/>
            <w:gridSpan w:val="3"/>
            <w:vAlign w:val="center"/>
          </w:tcPr>
          <w:p w14:paraId="47D56F43" w14:textId="77777777" w:rsidR="00753C20" w:rsidRPr="00475296" w:rsidRDefault="005A3D7D" w:rsidP="00E327DD">
            <w:pPr>
              <w:pStyle w:val="labeltext"/>
              <w:keepNext/>
              <w:rPr>
                <w:b/>
                <w:bCs/>
                <w:iCs/>
                <w:sz w:val="22"/>
                <w:szCs w:val="22"/>
              </w:rPr>
            </w:pPr>
            <w:r>
              <w:rPr>
                <w:b/>
                <w:bCs/>
                <w:iCs/>
                <w:sz w:val="22"/>
                <w:szCs w:val="22"/>
              </w:rPr>
              <w:t>Ivacaftor</w:t>
            </w:r>
            <w:r w:rsidRPr="00475296">
              <w:rPr>
                <w:b/>
                <w:bCs/>
                <w:iCs/>
                <w:sz w:val="22"/>
                <w:szCs w:val="22"/>
              </w:rPr>
              <w:t xml:space="preserve"> as monotherapy</w:t>
            </w:r>
          </w:p>
        </w:tc>
      </w:tr>
      <w:tr w:rsidR="00476058" w14:paraId="1F8FC4A8" w14:textId="77777777" w:rsidTr="002D7778">
        <w:trPr>
          <w:trHeight w:val="325"/>
        </w:trPr>
        <w:tc>
          <w:tcPr>
            <w:tcW w:w="2268" w:type="dxa"/>
            <w:vAlign w:val="center"/>
          </w:tcPr>
          <w:p w14:paraId="21EC1B16" w14:textId="77777777" w:rsidR="00753C20" w:rsidRPr="00475296" w:rsidRDefault="005A3D7D" w:rsidP="00E327DD">
            <w:pPr>
              <w:pStyle w:val="labeltext"/>
              <w:keepNext/>
              <w:rPr>
                <w:iCs/>
                <w:sz w:val="22"/>
                <w:szCs w:val="22"/>
              </w:rPr>
            </w:pPr>
            <w:r w:rsidRPr="00475296">
              <w:rPr>
                <w:iCs/>
                <w:sz w:val="22"/>
                <w:szCs w:val="22"/>
              </w:rPr>
              <w:t>6</w:t>
            </w:r>
            <w:r w:rsidR="008208A6">
              <w:rPr>
                <w:iCs/>
                <w:sz w:val="22"/>
                <w:szCs w:val="22"/>
              </w:rPr>
              <w:t> </w:t>
            </w:r>
            <w:r w:rsidRPr="00475296">
              <w:rPr>
                <w:iCs/>
                <w:sz w:val="22"/>
                <w:szCs w:val="22"/>
              </w:rPr>
              <w:t>years and older, ≥25</w:t>
            </w:r>
            <w:r w:rsidR="008208A6">
              <w:rPr>
                <w:iCs/>
                <w:sz w:val="22"/>
                <w:szCs w:val="22"/>
              </w:rPr>
              <w:t> </w:t>
            </w:r>
            <w:r w:rsidRPr="00475296">
              <w:rPr>
                <w:iCs/>
                <w:sz w:val="22"/>
                <w:szCs w:val="22"/>
              </w:rPr>
              <w:t>kg</w:t>
            </w:r>
          </w:p>
        </w:tc>
        <w:tc>
          <w:tcPr>
            <w:tcW w:w="4678" w:type="dxa"/>
            <w:vAlign w:val="center"/>
          </w:tcPr>
          <w:p w14:paraId="79D7D030" w14:textId="77777777" w:rsidR="00753C20" w:rsidRPr="00475296" w:rsidRDefault="005A3D7D" w:rsidP="00E327DD">
            <w:pPr>
              <w:pStyle w:val="labeltext"/>
              <w:keepNext/>
              <w:rPr>
                <w:iCs/>
                <w:sz w:val="22"/>
                <w:szCs w:val="22"/>
              </w:rPr>
            </w:pPr>
            <w:r w:rsidRPr="00475296">
              <w:rPr>
                <w:iCs/>
                <w:sz w:val="22"/>
                <w:szCs w:val="22"/>
              </w:rPr>
              <w:t xml:space="preserve">One </w:t>
            </w:r>
            <w:r>
              <w:rPr>
                <w:iCs/>
                <w:sz w:val="22"/>
                <w:szCs w:val="22"/>
              </w:rPr>
              <w:t>ivacaftor</w:t>
            </w:r>
            <w:r w:rsidR="008208A6">
              <w:rPr>
                <w:iCs/>
                <w:sz w:val="22"/>
                <w:szCs w:val="22"/>
              </w:rPr>
              <w:t> </w:t>
            </w:r>
            <w:r w:rsidRPr="00475296">
              <w:rPr>
                <w:iCs/>
                <w:sz w:val="22"/>
                <w:szCs w:val="22"/>
              </w:rPr>
              <w:t>150 mg</w:t>
            </w:r>
            <w:r w:rsidR="008208A6">
              <w:rPr>
                <w:iCs/>
                <w:sz w:val="22"/>
                <w:szCs w:val="22"/>
              </w:rPr>
              <w:t> </w:t>
            </w:r>
            <w:r w:rsidRPr="00475296">
              <w:rPr>
                <w:iCs/>
                <w:sz w:val="22"/>
                <w:szCs w:val="22"/>
              </w:rPr>
              <w:t>tablet</w:t>
            </w:r>
          </w:p>
        </w:tc>
        <w:tc>
          <w:tcPr>
            <w:tcW w:w="2446" w:type="dxa"/>
            <w:vAlign w:val="center"/>
          </w:tcPr>
          <w:p w14:paraId="675AC04A" w14:textId="77777777" w:rsidR="00753C20" w:rsidRPr="00475296" w:rsidRDefault="005A3D7D" w:rsidP="00E327DD">
            <w:pPr>
              <w:pStyle w:val="labeltext"/>
              <w:keepNext/>
              <w:rPr>
                <w:iCs/>
                <w:sz w:val="22"/>
                <w:szCs w:val="22"/>
              </w:rPr>
            </w:pPr>
            <w:r w:rsidRPr="00475296">
              <w:rPr>
                <w:iCs/>
                <w:sz w:val="22"/>
                <w:szCs w:val="22"/>
              </w:rPr>
              <w:t xml:space="preserve">One </w:t>
            </w:r>
            <w:r>
              <w:rPr>
                <w:iCs/>
                <w:sz w:val="22"/>
                <w:szCs w:val="22"/>
              </w:rPr>
              <w:t>ivacaftor</w:t>
            </w:r>
            <w:r w:rsidR="008208A6">
              <w:rPr>
                <w:iCs/>
                <w:sz w:val="22"/>
                <w:szCs w:val="22"/>
              </w:rPr>
              <w:t> </w:t>
            </w:r>
            <w:r w:rsidRPr="00475296">
              <w:rPr>
                <w:iCs/>
                <w:sz w:val="22"/>
                <w:szCs w:val="22"/>
              </w:rPr>
              <w:t>150</w:t>
            </w:r>
            <w:r w:rsidR="008208A6">
              <w:rPr>
                <w:iCs/>
                <w:sz w:val="22"/>
                <w:szCs w:val="22"/>
              </w:rPr>
              <w:t> </w:t>
            </w:r>
            <w:r w:rsidRPr="00475296">
              <w:rPr>
                <w:iCs/>
                <w:sz w:val="22"/>
                <w:szCs w:val="22"/>
              </w:rPr>
              <w:t>mg tablet</w:t>
            </w:r>
          </w:p>
        </w:tc>
      </w:tr>
      <w:tr w:rsidR="00476058" w14:paraId="3F4FEA0B" w14:textId="77777777" w:rsidTr="00581CA2">
        <w:trPr>
          <w:trHeight w:val="306"/>
        </w:trPr>
        <w:tc>
          <w:tcPr>
            <w:tcW w:w="9392" w:type="dxa"/>
            <w:gridSpan w:val="3"/>
            <w:vAlign w:val="center"/>
          </w:tcPr>
          <w:p w14:paraId="6978187A" w14:textId="77777777" w:rsidR="00753C20" w:rsidRPr="00475296" w:rsidRDefault="005A3D7D" w:rsidP="00E327DD">
            <w:pPr>
              <w:pStyle w:val="labeltext"/>
              <w:keepNext/>
              <w:rPr>
                <w:b/>
                <w:bCs/>
                <w:iCs/>
                <w:sz w:val="22"/>
                <w:szCs w:val="22"/>
              </w:rPr>
            </w:pPr>
            <w:r>
              <w:rPr>
                <w:b/>
                <w:bCs/>
                <w:iCs/>
                <w:sz w:val="22"/>
                <w:szCs w:val="22"/>
              </w:rPr>
              <w:t>Ivacaftor</w:t>
            </w:r>
            <w:r w:rsidRPr="00475296">
              <w:rPr>
                <w:b/>
                <w:bCs/>
                <w:iCs/>
                <w:sz w:val="22"/>
                <w:szCs w:val="22"/>
              </w:rPr>
              <w:t xml:space="preserve"> in combination with tezacaftor/ivacaftor</w:t>
            </w:r>
          </w:p>
        </w:tc>
      </w:tr>
      <w:tr w:rsidR="00476058" w14:paraId="20212345" w14:textId="77777777" w:rsidTr="002D7778">
        <w:trPr>
          <w:trHeight w:val="306"/>
        </w:trPr>
        <w:tc>
          <w:tcPr>
            <w:tcW w:w="2268" w:type="dxa"/>
            <w:vAlign w:val="center"/>
          </w:tcPr>
          <w:p w14:paraId="77D28D25" w14:textId="77777777" w:rsidR="00753C20" w:rsidRPr="00475296" w:rsidRDefault="005A3D7D" w:rsidP="00E327DD">
            <w:pPr>
              <w:pStyle w:val="labeltext"/>
              <w:keepNext/>
              <w:rPr>
                <w:iCs/>
                <w:sz w:val="22"/>
                <w:szCs w:val="22"/>
              </w:rPr>
            </w:pPr>
            <w:r w:rsidRPr="00475296">
              <w:rPr>
                <w:sz w:val="22"/>
                <w:szCs w:val="22"/>
              </w:rPr>
              <w:t>12</w:t>
            </w:r>
            <w:r w:rsidR="004F5435">
              <w:rPr>
                <w:sz w:val="22"/>
                <w:szCs w:val="22"/>
              </w:rPr>
              <w:t> </w:t>
            </w:r>
            <w:r w:rsidRPr="00475296">
              <w:rPr>
                <w:sz w:val="22"/>
                <w:szCs w:val="22"/>
              </w:rPr>
              <w:t>years and older</w:t>
            </w:r>
          </w:p>
        </w:tc>
        <w:tc>
          <w:tcPr>
            <w:tcW w:w="4678" w:type="dxa"/>
            <w:vAlign w:val="center"/>
          </w:tcPr>
          <w:p w14:paraId="637DCCE2" w14:textId="77777777" w:rsidR="00753C20" w:rsidRPr="00475296" w:rsidRDefault="005A3D7D" w:rsidP="00E327DD">
            <w:pPr>
              <w:pStyle w:val="labeltext"/>
              <w:keepNext/>
              <w:rPr>
                <w:iCs/>
                <w:sz w:val="22"/>
                <w:szCs w:val="22"/>
              </w:rPr>
            </w:pPr>
            <w:r w:rsidRPr="00475296">
              <w:rPr>
                <w:iCs/>
                <w:sz w:val="22"/>
                <w:szCs w:val="22"/>
              </w:rPr>
              <w:t>One tezacaftor</w:t>
            </w:r>
            <w:r w:rsidR="004F5435">
              <w:rPr>
                <w:iCs/>
                <w:sz w:val="22"/>
                <w:szCs w:val="22"/>
              </w:rPr>
              <w:t> </w:t>
            </w:r>
            <w:r w:rsidRPr="00475296">
              <w:rPr>
                <w:iCs/>
                <w:sz w:val="22"/>
                <w:szCs w:val="22"/>
              </w:rPr>
              <w:t>100</w:t>
            </w:r>
            <w:r w:rsidR="004F5435">
              <w:rPr>
                <w:iCs/>
                <w:sz w:val="22"/>
                <w:szCs w:val="22"/>
              </w:rPr>
              <w:t> </w:t>
            </w:r>
            <w:r w:rsidRPr="00475296">
              <w:rPr>
                <w:iCs/>
                <w:sz w:val="22"/>
                <w:szCs w:val="22"/>
              </w:rPr>
              <w:t>mg/ivacaftor</w:t>
            </w:r>
            <w:r w:rsidR="004F5435">
              <w:rPr>
                <w:iCs/>
                <w:sz w:val="22"/>
                <w:szCs w:val="22"/>
              </w:rPr>
              <w:t> </w:t>
            </w:r>
            <w:r w:rsidRPr="00475296">
              <w:rPr>
                <w:iCs/>
                <w:sz w:val="22"/>
                <w:szCs w:val="22"/>
              </w:rPr>
              <w:t>150</w:t>
            </w:r>
            <w:r w:rsidR="004F5435">
              <w:rPr>
                <w:iCs/>
                <w:sz w:val="22"/>
                <w:szCs w:val="22"/>
              </w:rPr>
              <w:t> </w:t>
            </w:r>
            <w:r w:rsidRPr="00475296">
              <w:rPr>
                <w:iCs/>
                <w:sz w:val="22"/>
                <w:szCs w:val="22"/>
              </w:rPr>
              <w:t>mg tablet</w:t>
            </w:r>
          </w:p>
        </w:tc>
        <w:tc>
          <w:tcPr>
            <w:tcW w:w="2446" w:type="dxa"/>
            <w:vAlign w:val="center"/>
          </w:tcPr>
          <w:p w14:paraId="6C29F176" w14:textId="77777777" w:rsidR="00753C20" w:rsidRPr="00475296" w:rsidRDefault="005A3D7D" w:rsidP="00E327DD">
            <w:pPr>
              <w:pStyle w:val="labeltext"/>
              <w:keepNext/>
              <w:rPr>
                <w:iCs/>
                <w:sz w:val="22"/>
                <w:szCs w:val="22"/>
              </w:rPr>
            </w:pPr>
            <w:r w:rsidRPr="00475296">
              <w:rPr>
                <w:iCs/>
                <w:sz w:val="22"/>
                <w:szCs w:val="22"/>
              </w:rPr>
              <w:t xml:space="preserve">One </w:t>
            </w:r>
            <w:r>
              <w:rPr>
                <w:iCs/>
                <w:sz w:val="22"/>
                <w:szCs w:val="22"/>
              </w:rPr>
              <w:t>ivacaftor</w:t>
            </w:r>
            <w:r w:rsidR="004F5435">
              <w:rPr>
                <w:iCs/>
                <w:sz w:val="22"/>
                <w:szCs w:val="22"/>
              </w:rPr>
              <w:t> </w:t>
            </w:r>
            <w:r w:rsidRPr="00475296">
              <w:rPr>
                <w:iCs/>
                <w:sz w:val="22"/>
                <w:szCs w:val="22"/>
              </w:rPr>
              <w:t>150</w:t>
            </w:r>
            <w:r w:rsidR="004F5435">
              <w:rPr>
                <w:iCs/>
                <w:sz w:val="22"/>
                <w:szCs w:val="22"/>
              </w:rPr>
              <w:t> </w:t>
            </w:r>
            <w:r w:rsidRPr="00475296">
              <w:rPr>
                <w:iCs/>
                <w:sz w:val="22"/>
                <w:szCs w:val="22"/>
              </w:rPr>
              <w:t>mg tablet</w:t>
            </w:r>
          </w:p>
        </w:tc>
      </w:tr>
      <w:tr w:rsidR="00476058" w14:paraId="2FA91733" w14:textId="77777777" w:rsidTr="00581CA2">
        <w:trPr>
          <w:trHeight w:val="306"/>
        </w:trPr>
        <w:tc>
          <w:tcPr>
            <w:tcW w:w="9392" w:type="dxa"/>
            <w:gridSpan w:val="3"/>
            <w:vAlign w:val="center"/>
          </w:tcPr>
          <w:p w14:paraId="3252DB05" w14:textId="77777777" w:rsidR="00753C20" w:rsidRPr="00640644" w:rsidRDefault="005A3D7D" w:rsidP="00E327DD">
            <w:pPr>
              <w:pStyle w:val="labeltext"/>
              <w:keepNext/>
              <w:rPr>
                <w:b/>
                <w:bCs/>
                <w:iCs/>
                <w:sz w:val="22"/>
                <w:szCs w:val="22"/>
              </w:rPr>
            </w:pPr>
            <w:r w:rsidRPr="00640644">
              <w:rPr>
                <w:b/>
                <w:bCs/>
                <w:sz w:val="22"/>
                <w:szCs w:val="22"/>
              </w:rPr>
              <w:t>Ivac</w:t>
            </w:r>
            <w:r>
              <w:rPr>
                <w:b/>
                <w:bCs/>
                <w:sz w:val="22"/>
                <w:szCs w:val="22"/>
              </w:rPr>
              <w:t>a</w:t>
            </w:r>
            <w:r w:rsidRPr="00640644">
              <w:rPr>
                <w:b/>
                <w:bCs/>
                <w:sz w:val="22"/>
                <w:szCs w:val="22"/>
              </w:rPr>
              <w:t xml:space="preserve">ftor in combination with </w:t>
            </w:r>
            <w:r>
              <w:rPr>
                <w:b/>
                <w:bCs/>
                <w:sz w:val="22"/>
                <w:szCs w:val="22"/>
              </w:rPr>
              <w:t>ivacaftor/tezacaftor/elexacaftor</w:t>
            </w:r>
          </w:p>
        </w:tc>
      </w:tr>
      <w:tr w:rsidR="00476058" w14:paraId="396612E1" w14:textId="77777777" w:rsidTr="002D7778">
        <w:trPr>
          <w:trHeight w:val="306"/>
        </w:trPr>
        <w:tc>
          <w:tcPr>
            <w:tcW w:w="2268" w:type="dxa"/>
            <w:vAlign w:val="center"/>
          </w:tcPr>
          <w:p w14:paraId="04EBC4D7" w14:textId="77777777" w:rsidR="00753C20" w:rsidRDefault="005A3D7D" w:rsidP="00E327DD">
            <w:pPr>
              <w:pStyle w:val="labeltext"/>
              <w:keepNext/>
              <w:rPr>
                <w:sz w:val="22"/>
                <w:szCs w:val="22"/>
              </w:rPr>
            </w:pPr>
            <w:r>
              <w:rPr>
                <w:sz w:val="22"/>
                <w:szCs w:val="22"/>
              </w:rPr>
              <w:t>12</w:t>
            </w:r>
            <w:r w:rsidR="004F5435">
              <w:rPr>
                <w:sz w:val="22"/>
                <w:szCs w:val="22"/>
              </w:rPr>
              <w:t> </w:t>
            </w:r>
            <w:r>
              <w:rPr>
                <w:sz w:val="22"/>
                <w:szCs w:val="22"/>
              </w:rPr>
              <w:t>years and older</w:t>
            </w:r>
          </w:p>
        </w:tc>
        <w:tc>
          <w:tcPr>
            <w:tcW w:w="4678" w:type="dxa"/>
            <w:vAlign w:val="center"/>
          </w:tcPr>
          <w:p w14:paraId="63EB2041" w14:textId="77777777" w:rsidR="00753C20" w:rsidRPr="00475296" w:rsidRDefault="005A3D7D" w:rsidP="00E327DD">
            <w:pPr>
              <w:pStyle w:val="labeltext"/>
              <w:keepNext/>
              <w:rPr>
                <w:iCs/>
                <w:sz w:val="22"/>
                <w:szCs w:val="22"/>
              </w:rPr>
            </w:pPr>
            <w:r>
              <w:rPr>
                <w:iCs/>
                <w:sz w:val="22"/>
                <w:szCs w:val="22"/>
              </w:rPr>
              <w:t>Two ivacaftor</w:t>
            </w:r>
            <w:r w:rsidR="004F5435">
              <w:rPr>
                <w:iCs/>
                <w:sz w:val="22"/>
                <w:szCs w:val="22"/>
              </w:rPr>
              <w:t> </w:t>
            </w:r>
            <w:r>
              <w:rPr>
                <w:iCs/>
                <w:sz w:val="22"/>
                <w:szCs w:val="22"/>
              </w:rPr>
              <w:t>75</w:t>
            </w:r>
            <w:r w:rsidR="004F5435">
              <w:rPr>
                <w:iCs/>
                <w:sz w:val="22"/>
                <w:szCs w:val="22"/>
              </w:rPr>
              <w:t> </w:t>
            </w:r>
            <w:r>
              <w:rPr>
                <w:iCs/>
                <w:sz w:val="22"/>
                <w:szCs w:val="22"/>
              </w:rPr>
              <w:t>mg/tezacaftor</w:t>
            </w:r>
            <w:r w:rsidR="004F5435">
              <w:rPr>
                <w:iCs/>
                <w:sz w:val="22"/>
                <w:szCs w:val="22"/>
              </w:rPr>
              <w:t> </w:t>
            </w:r>
            <w:r>
              <w:rPr>
                <w:iCs/>
                <w:sz w:val="22"/>
                <w:szCs w:val="22"/>
              </w:rPr>
              <w:t>50</w:t>
            </w:r>
            <w:r w:rsidR="004F5435">
              <w:rPr>
                <w:iCs/>
                <w:sz w:val="22"/>
                <w:szCs w:val="22"/>
              </w:rPr>
              <w:t> </w:t>
            </w:r>
            <w:r>
              <w:rPr>
                <w:iCs/>
                <w:sz w:val="22"/>
                <w:szCs w:val="22"/>
              </w:rPr>
              <w:t>mg/elexacaftor</w:t>
            </w:r>
            <w:r w:rsidR="004F5435">
              <w:rPr>
                <w:iCs/>
                <w:sz w:val="22"/>
                <w:szCs w:val="22"/>
              </w:rPr>
              <w:t> </w:t>
            </w:r>
            <w:r>
              <w:rPr>
                <w:iCs/>
                <w:sz w:val="22"/>
                <w:szCs w:val="22"/>
              </w:rPr>
              <w:t>100</w:t>
            </w:r>
            <w:r w:rsidR="004F5435">
              <w:rPr>
                <w:iCs/>
                <w:sz w:val="22"/>
                <w:szCs w:val="22"/>
              </w:rPr>
              <w:t> </w:t>
            </w:r>
            <w:r>
              <w:rPr>
                <w:iCs/>
                <w:sz w:val="22"/>
                <w:szCs w:val="22"/>
              </w:rPr>
              <w:t>mg tablets</w:t>
            </w:r>
          </w:p>
        </w:tc>
        <w:tc>
          <w:tcPr>
            <w:tcW w:w="2446" w:type="dxa"/>
            <w:vAlign w:val="center"/>
          </w:tcPr>
          <w:p w14:paraId="4E4147A3" w14:textId="77777777" w:rsidR="00753C20" w:rsidRPr="00475296" w:rsidRDefault="005A3D7D" w:rsidP="00E327DD">
            <w:pPr>
              <w:pStyle w:val="labeltext"/>
              <w:keepNext/>
              <w:rPr>
                <w:iCs/>
                <w:sz w:val="22"/>
                <w:szCs w:val="22"/>
              </w:rPr>
            </w:pPr>
            <w:r>
              <w:rPr>
                <w:iCs/>
                <w:sz w:val="22"/>
                <w:szCs w:val="22"/>
              </w:rPr>
              <w:t>One ivacaftor</w:t>
            </w:r>
            <w:r w:rsidR="004F5435">
              <w:rPr>
                <w:iCs/>
                <w:sz w:val="22"/>
                <w:szCs w:val="22"/>
              </w:rPr>
              <w:t> </w:t>
            </w:r>
            <w:r>
              <w:rPr>
                <w:iCs/>
                <w:sz w:val="22"/>
                <w:szCs w:val="22"/>
              </w:rPr>
              <w:t>150</w:t>
            </w:r>
            <w:r w:rsidR="004F5435">
              <w:rPr>
                <w:iCs/>
                <w:sz w:val="22"/>
                <w:szCs w:val="22"/>
              </w:rPr>
              <w:t> </w:t>
            </w:r>
            <w:r>
              <w:rPr>
                <w:iCs/>
                <w:sz w:val="22"/>
                <w:szCs w:val="22"/>
              </w:rPr>
              <w:t>mg tablet</w:t>
            </w:r>
          </w:p>
        </w:tc>
      </w:tr>
    </w:tbl>
    <w:p w14:paraId="1BEF1356" w14:textId="77777777" w:rsidR="00753C20" w:rsidRPr="00E66F6D" w:rsidRDefault="005A3D7D" w:rsidP="000A093B">
      <w:pPr>
        <w:pStyle w:val="labeltext"/>
        <w:keepNext/>
        <w:rPr>
          <w:i/>
        </w:rPr>
      </w:pPr>
      <w:r>
        <w:rPr>
          <w:i/>
          <w:sz w:val="22"/>
          <w:szCs w:val="22"/>
        </w:rPr>
        <w:t xml:space="preserve"> </w:t>
      </w:r>
    </w:p>
    <w:p w14:paraId="3DC59CAA" w14:textId="5E60094A" w:rsidR="00753C20" w:rsidRPr="00640644" w:rsidRDefault="005A3D7D" w:rsidP="00753C20">
      <w:pPr>
        <w:pStyle w:val="labeltext"/>
        <w:keepNext/>
        <w:rPr>
          <w:iCs/>
          <w:sz w:val="22"/>
          <w:szCs w:val="22"/>
        </w:rPr>
      </w:pPr>
      <w:r w:rsidRPr="00E238A9">
        <w:t xml:space="preserve">The </w:t>
      </w:r>
      <w:r w:rsidRPr="00640644">
        <w:rPr>
          <w:iCs/>
          <w:sz w:val="22"/>
          <w:szCs w:val="22"/>
        </w:rPr>
        <w:t>morning and evening dose should be taken approximately 12 hours apart with fat-containing food (see Method of administration).</w:t>
      </w:r>
    </w:p>
    <w:p w14:paraId="6117F81A" w14:textId="77777777" w:rsidR="00C27AB1" w:rsidRPr="00A808AC" w:rsidRDefault="00C27AB1" w:rsidP="00FE2944">
      <w:pPr>
        <w:pStyle w:val="labeltext"/>
        <w:rPr>
          <w:sz w:val="22"/>
          <w:szCs w:val="22"/>
          <w:lang w:val="en-GB"/>
        </w:rPr>
      </w:pPr>
    </w:p>
    <w:p w14:paraId="6F95EF2F" w14:textId="77777777" w:rsidR="00F976E8" w:rsidRDefault="005A3D7D" w:rsidP="00A0798C">
      <w:pPr>
        <w:pStyle w:val="labeltext"/>
        <w:keepNext/>
        <w:rPr>
          <w:i/>
          <w:sz w:val="22"/>
          <w:szCs w:val="22"/>
        </w:rPr>
      </w:pPr>
      <w:r w:rsidRPr="00A808AC">
        <w:rPr>
          <w:i/>
          <w:sz w:val="22"/>
          <w:szCs w:val="22"/>
        </w:rPr>
        <w:t>Missed dose</w:t>
      </w:r>
    </w:p>
    <w:p w14:paraId="6605D3EF" w14:textId="77777777" w:rsidR="00BC5A2F" w:rsidRPr="00A808AC" w:rsidRDefault="00BC5A2F" w:rsidP="0069106A">
      <w:pPr>
        <w:pStyle w:val="labeltext"/>
        <w:keepNext/>
        <w:rPr>
          <w:i/>
          <w:sz w:val="22"/>
          <w:szCs w:val="22"/>
        </w:rPr>
      </w:pPr>
    </w:p>
    <w:p w14:paraId="08A06D64" w14:textId="4DAA871C" w:rsidR="00F976E8" w:rsidRPr="00A808AC" w:rsidRDefault="005A3D7D" w:rsidP="000A093B">
      <w:pPr>
        <w:pStyle w:val="labeltext"/>
        <w:keepNext/>
        <w:rPr>
          <w:sz w:val="22"/>
          <w:szCs w:val="22"/>
        </w:rPr>
      </w:pPr>
      <w:r w:rsidRPr="00A808AC">
        <w:rPr>
          <w:sz w:val="22"/>
          <w:szCs w:val="22"/>
        </w:rPr>
        <w:t>If 6</w:t>
      </w:r>
      <w:r w:rsidR="008540CC" w:rsidRPr="00A808AC">
        <w:rPr>
          <w:sz w:val="22"/>
          <w:szCs w:val="22"/>
        </w:rPr>
        <w:t> </w:t>
      </w:r>
      <w:r w:rsidRPr="00A808AC">
        <w:rPr>
          <w:sz w:val="22"/>
          <w:szCs w:val="22"/>
        </w:rPr>
        <w:t>hours</w:t>
      </w:r>
      <w:r w:rsidR="00CC05E3">
        <w:rPr>
          <w:sz w:val="22"/>
          <w:szCs w:val="22"/>
        </w:rPr>
        <w:t xml:space="preserve"> or less have passed since the missed morning or evening dose</w:t>
      </w:r>
      <w:r w:rsidRPr="00A808AC">
        <w:rPr>
          <w:sz w:val="22"/>
          <w:szCs w:val="22"/>
        </w:rPr>
        <w:t xml:space="preserve">, the patient should take it as soon as possible and </w:t>
      </w:r>
      <w:r w:rsidR="00E80CFF">
        <w:rPr>
          <w:sz w:val="22"/>
          <w:szCs w:val="22"/>
        </w:rPr>
        <w:t xml:space="preserve">continue on the original </w:t>
      </w:r>
      <w:r w:rsidRPr="00A808AC">
        <w:rPr>
          <w:sz w:val="22"/>
          <w:szCs w:val="22"/>
        </w:rPr>
        <w:t>schedule. If more than 6</w:t>
      </w:r>
      <w:r w:rsidR="008540CC" w:rsidRPr="00A808AC">
        <w:rPr>
          <w:sz w:val="22"/>
          <w:szCs w:val="22"/>
        </w:rPr>
        <w:t> </w:t>
      </w:r>
      <w:r w:rsidRPr="00A808AC">
        <w:rPr>
          <w:sz w:val="22"/>
          <w:szCs w:val="22"/>
        </w:rPr>
        <w:t>hours have passed since the time the dose is usually taken, the patient should be told to wa</w:t>
      </w:r>
      <w:r w:rsidRPr="00A808AC">
        <w:rPr>
          <w:sz w:val="22"/>
          <w:szCs w:val="22"/>
        </w:rPr>
        <w:t>it until the next scheduled dose.</w:t>
      </w:r>
    </w:p>
    <w:p w14:paraId="0D914895" w14:textId="77777777" w:rsidR="00F976E8" w:rsidRDefault="00F976E8" w:rsidP="000D02CF">
      <w:pPr>
        <w:pStyle w:val="labeltext"/>
        <w:rPr>
          <w:sz w:val="22"/>
          <w:szCs w:val="22"/>
          <w:lang w:val="en-GB"/>
        </w:rPr>
      </w:pPr>
    </w:p>
    <w:p w14:paraId="199A38E6" w14:textId="4DDC2183" w:rsidR="00A477CE" w:rsidRPr="000A093B" w:rsidRDefault="005A3D7D" w:rsidP="00A72005">
      <w:pPr>
        <w:pStyle w:val="labeltext"/>
        <w:rPr>
          <w:i/>
          <w:sz w:val="22"/>
          <w:lang w:val="en-GB"/>
        </w:rPr>
      </w:pPr>
      <w:r w:rsidRPr="006D3F0D">
        <w:rPr>
          <w:sz w:val="22"/>
          <w:szCs w:val="22"/>
        </w:rPr>
        <w:t xml:space="preserve">Patients </w:t>
      </w:r>
      <w:r>
        <w:rPr>
          <w:sz w:val="22"/>
          <w:szCs w:val="22"/>
        </w:rPr>
        <w:t xml:space="preserve">receiving </w:t>
      </w:r>
      <w:r w:rsidR="009800DB">
        <w:rPr>
          <w:sz w:val="22"/>
          <w:szCs w:val="22"/>
        </w:rPr>
        <w:t>ivacaftor</w:t>
      </w:r>
      <w:r w:rsidR="009800DB" w:rsidRPr="006D3F0D">
        <w:rPr>
          <w:sz w:val="22"/>
          <w:szCs w:val="22"/>
        </w:rPr>
        <w:t xml:space="preserve"> </w:t>
      </w:r>
      <w:r w:rsidRPr="006D3F0D">
        <w:rPr>
          <w:sz w:val="22"/>
          <w:szCs w:val="22"/>
        </w:rPr>
        <w:t xml:space="preserve">in </w:t>
      </w:r>
      <w:r w:rsidR="00DA469B">
        <w:rPr>
          <w:sz w:val="22"/>
          <w:szCs w:val="22"/>
        </w:rPr>
        <w:t xml:space="preserve">a </w:t>
      </w:r>
      <w:r w:rsidRPr="006D3F0D">
        <w:rPr>
          <w:sz w:val="22"/>
          <w:szCs w:val="22"/>
        </w:rPr>
        <w:t>combination</w:t>
      </w:r>
      <w:r w:rsidR="000550BB">
        <w:rPr>
          <w:sz w:val="22"/>
          <w:szCs w:val="22"/>
        </w:rPr>
        <w:t xml:space="preserve"> regimen</w:t>
      </w:r>
      <w:r w:rsidRPr="006D3F0D">
        <w:rPr>
          <w:sz w:val="22"/>
          <w:szCs w:val="22"/>
        </w:rPr>
        <w:t xml:space="preserve"> should not take more</w:t>
      </w:r>
      <w:r>
        <w:rPr>
          <w:sz w:val="22"/>
          <w:szCs w:val="22"/>
        </w:rPr>
        <w:t xml:space="preserve"> </w:t>
      </w:r>
      <w:r w:rsidRPr="006D3F0D">
        <w:rPr>
          <w:sz w:val="22"/>
          <w:szCs w:val="22"/>
        </w:rPr>
        <w:t xml:space="preserve">than one dose of either </w:t>
      </w:r>
      <w:r w:rsidR="00273D85">
        <w:rPr>
          <w:sz w:val="22"/>
          <w:szCs w:val="22"/>
        </w:rPr>
        <w:t>medicine</w:t>
      </w:r>
      <w:r w:rsidRPr="006D3F0D">
        <w:rPr>
          <w:sz w:val="22"/>
          <w:szCs w:val="22"/>
        </w:rPr>
        <w:t xml:space="preserve"> at the same time.</w:t>
      </w:r>
    </w:p>
    <w:p w14:paraId="4C858EF2" w14:textId="77777777" w:rsidR="0015507C" w:rsidRPr="00A808AC" w:rsidRDefault="0015507C" w:rsidP="000D02CF">
      <w:pPr>
        <w:pStyle w:val="labeltext"/>
        <w:rPr>
          <w:sz w:val="22"/>
          <w:szCs w:val="22"/>
          <w:lang w:val="en-GB"/>
        </w:rPr>
      </w:pPr>
    </w:p>
    <w:p w14:paraId="3AC9A704" w14:textId="77777777" w:rsidR="00E862C4" w:rsidRDefault="005A3D7D" w:rsidP="000A093B">
      <w:pPr>
        <w:pStyle w:val="labeltext"/>
        <w:keepNext/>
        <w:rPr>
          <w:i/>
          <w:sz w:val="22"/>
          <w:szCs w:val="22"/>
          <w:lang w:val="en-GB"/>
        </w:rPr>
      </w:pPr>
      <w:r w:rsidRPr="00A808AC">
        <w:rPr>
          <w:i/>
          <w:sz w:val="22"/>
          <w:szCs w:val="22"/>
          <w:lang w:val="en-GB"/>
        </w:rPr>
        <w:t>Concomitant use of CYP3A inhibitors</w:t>
      </w:r>
    </w:p>
    <w:p w14:paraId="65191AC5" w14:textId="77777777" w:rsidR="00BC5A2F" w:rsidRPr="00A808AC" w:rsidRDefault="00BC5A2F" w:rsidP="000A093B">
      <w:pPr>
        <w:pStyle w:val="labeltext"/>
        <w:keepNext/>
        <w:rPr>
          <w:i/>
          <w:sz w:val="22"/>
          <w:szCs w:val="22"/>
          <w:lang w:val="en-GB"/>
        </w:rPr>
      </w:pPr>
    </w:p>
    <w:p w14:paraId="0F24DB00" w14:textId="41022B06" w:rsidR="0085385B" w:rsidRPr="00E66F6D" w:rsidRDefault="005A3D7D" w:rsidP="000A093B">
      <w:pPr>
        <w:pStyle w:val="labeltext"/>
        <w:keepNext/>
      </w:pPr>
      <w:r w:rsidRPr="00A808AC">
        <w:rPr>
          <w:sz w:val="22"/>
          <w:szCs w:val="22"/>
          <w:lang w:val="en-GB"/>
        </w:rPr>
        <w:t xml:space="preserve">When co-administered with </w:t>
      </w:r>
      <w:r w:rsidR="00E80CFF">
        <w:rPr>
          <w:sz w:val="22"/>
          <w:szCs w:val="22"/>
          <w:lang w:val="en-GB"/>
        </w:rPr>
        <w:t xml:space="preserve">moderate or </w:t>
      </w:r>
      <w:r w:rsidRPr="00A808AC">
        <w:rPr>
          <w:sz w:val="22"/>
          <w:szCs w:val="22"/>
          <w:lang w:val="en-GB"/>
        </w:rPr>
        <w:t xml:space="preserve">strong </w:t>
      </w:r>
      <w:r w:rsidRPr="00A808AC">
        <w:rPr>
          <w:sz w:val="22"/>
          <w:szCs w:val="22"/>
          <w:lang w:val="en-GB"/>
        </w:rPr>
        <w:t>inhibitors of CYP3A,</w:t>
      </w:r>
      <w:r w:rsidR="00FB7998">
        <w:rPr>
          <w:sz w:val="22"/>
          <w:szCs w:val="22"/>
          <w:lang w:val="en-GB"/>
        </w:rPr>
        <w:t xml:space="preserve"> either as monotherapy or</w:t>
      </w:r>
      <w:r w:rsidR="00FB7998" w:rsidRPr="000A093B">
        <w:t xml:space="preserve"> in a combination regimen with </w:t>
      </w:r>
      <w:r w:rsidR="00341C5B" w:rsidRPr="000A093B">
        <w:t>tezacaftor/ivacaftor</w:t>
      </w:r>
      <w:r w:rsidR="00341C5B">
        <w:rPr>
          <w:sz w:val="22"/>
          <w:szCs w:val="22"/>
          <w:lang w:val="en-GB"/>
        </w:rPr>
        <w:t xml:space="preserve"> or </w:t>
      </w:r>
      <w:r w:rsidR="00E80CFF">
        <w:rPr>
          <w:sz w:val="22"/>
          <w:szCs w:val="22"/>
          <w:lang w:val="en-GB"/>
        </w:rPr>
        <w:t>ivacaftor/tezacaftor/elexacaftor</w:t>
      </w:r>
      <w:r w:rsidR="00FB7998" w:rsidRPr="000A093B">
        <w:rPr>
          <w:sz w:val="22"/>
          <w:lang w:val="en-GB"/>
        </w:rPr>
        <w:t>,</w:t>
      </w:r>
      <w:r w:rsidRPr="000A093B">
        <w:rPr>
          <w:sz w:val="22"/>
          <w:lang w:val="en-GB"/>
        </w:rPr>
        <w:t xml:space="preserve"> the </w:t>
      </w:r>
      <w:r w:rsidR="00341C5B" w:rsidRPr="000A093B">
        <w:rPr>
          <w:sz w:val="22"/>
          <w:lang w:val="en-GB"/>
        </w:rPr>
        <w:t xml:space="preserve">dose </w:t>
      </w:r>
      <w:r w:rsidR="007B3894">
        <w:rPr>
          <w:sz w:val="22"/>
          <w:szCs w:val="22"/>
          <w:lang w:val="en-GB"/>
        </w:rPr>
        <w:t>should</w:t>
      </w:r>
      <w:r w:rsidRPr="00A808AC">
        <w:rPr>
          <w:sz w:val="22"/>
          <w:szCs w:val="22"/>
          <w:lang w:val="en-GB"/>
        </w:rPr>
        <w:t xml:space="preserve"> be reduced</w:t>
      </w:r>
      <w:r w:rsidR="0033597F">
        <w:rPr>
          <w:sz w:val="22"/>
          <w:szCs w:val="22"/>
          <w:lang w:val="en-GB"/>
        </w:rPr>
        <w:t xml:space="preserve"> (s</w:t>
      </w:r>
      <w:r w:rsidR="00946182">
        <w:rPr>
          <w:sz w:val="22"/>
          <w:szCs w:val="22"/>
          <w:lang w:val="en-GB"/>
        </w:rPr>
        <w:t xml:space="preserve">ee Table </w:t>
      </w:r>
      <w:r w:rsidR="002C5C21">
        <w:rPr>
          <w:sz w:val="22"/>
          <w:szCs w:val="22"/>
          <w:lang w:val="en-GB"/>
        </w:rPr>
        <w:t>2</w:t>
      </w:r>
      <w:r w:rsidR="00946182">
        <w:rPr>
          <w:sz w:val="22"/>
          <w:szCs w:val="22"/>
          <w:lang w:val="en-GB"/>
        </w:rPr>
        <w:t xml:space="preserve"> for the recommended dose</w:t>
      </w:r>
      <w:r w:rsidR="0033597F">
        <w:rPr>
          <w:sz w:val="22"/>
          <w:szCs w:val="22"/>
          <w:lang w:val="en-GB"/>
        </w:rPr>
        <w:t>)</w:t>
      </w:r>
      <w:r w:rsidR="00946182">
        <w:rPr>
          <w:sz w:val="22"/>
          <w:szCs w:val="22"/>
          <w:lang w:val="en-GB"/>
        </w:rPr>
        <w:t>.</w:t>
      </w:r>
      <w:r w:rsidR="00CB7840">
        <w:rPr>
          <w:sz w:val="22"/>
          <w:szCs w:val="22"/>
          <w:lang w:val="en-GB"/>
        </w:rPr>
        <w:t xml:space="preserve"> </w:t>
      </w:r>
      <w:r w:rsidR="00946182">
        <w:rPr>
          <w:sz w:val="22"/>
          <w:szCs w:val="22"/>
          <w:lang w:val="en-GB"/>
        </w:rPr>
        <w:t>Dosing intervals</w:t>
      </w:r>
      <w:r w:rsidR="00946182" w:rsidRPr="000A093B">
        <w:rPr>
          <w:sz w:val="22"/>
          <w:lang w:val="en-GB"/>
        </w:rPr>
        <w:t xml:space="preserve"> should be </w:t>
      </w:r>
      <w:r w:rsidR="00946182">
        <w:rPr>
          <w:sz w:val="22"/>
          <w:szCs w:val="22"/>
          <w:lang w:val="en-GB"/>
        </w:rPr>
        <w:t>modified</w:t>
      </w:r>
      <w:r w:rsidR="00946182" w:rsidRPr="000A093B">
        <w:rPr>
          <w:sz w:val="22"/>
          <w:lang w:val="en-GB"/>
        </w:rPr>
        <w:t xml:space="preserve"> according to </w:t>
      </w:r>
      <w:r w:rsidR="004A629D">
        <w:rPr>
          <w:sz w:val="22"/>
          <w:szCs w:val="22"/>
          <w:lang w:val="en-GB"/>
        </w:rPr>
        <w:t>clinical response and tolerability</w:t>
      </w:r>
      <w:r w:rsidR="00CB7840">
        <w:rPr>
          <w:sz w:val="22"/>
          <w:szCs w:val="22"/>
          <w:lang w:val="en-GB"/>
        </w:rPr>
        <w:t xml:space="preserve"> </w:t>
      </w:r>
      <w:r w:rsidRPr="00A808AC">
        <w:rPr>
          <w:sz w:val="22"/>
          <w:szCs w:val="22"/>
          <w:lang w:val="en-GB"/>
        </w:rPr>
        <w:t>(see section</w:t>
      </w:r>
      <w:r w:rsidR="00E62EF8" w:rsidRPr="00D34757">
        <w:rPr>
          <w:sz w:val="22"/>
          <w:szCs w:val="22"/>
          <w:lang w:val="en-GB"/>
        </w:rPr>
        <w:t>s</w:t>
      </w:r>
      <w:r w:rsidR="0094286F" w:rsidRPr="000A093B">
        <w:rPr>
          <w:sz w:val="22"/>
          <w:lang w:val="en-GB"/>
        </w:rPr>
        <w:t> </w:t>
      </w:r>
      <w:r w:rsidR="00F53E52" w:rsidRPr="000A093B">
        <w:rPr>
          <w:sz w:val="22"/>
          <w:lang w:val="en-GB"/>
        </w:rPr>
        <w:t xml:space="preserve">4.4 and </w:t>
      </w:r>
      <w:r w:rsidRPr="000A093B">
        <w:rPr>
          <w:sz w:val="22"/>
          <w:lang w:val="en-GB"/>
        </w:rPr>
        <w:t>4.5).</w:t>
      </w:r>
    </w:p>
    <w:p w14:paraId="13F243E7" w14:textId="77777777" w:rsidR="0085385B" w:rsidRPr="00E66F6D" w:rsidRDefault="0085385B" w:rsidP="000A093B">
      <w:pPr>
        <w:pStyle w:val="labeltext"/>
      </w:pPr>
    </w:p>
    <w:p w14:paraId="5023B189" w14:textId="0B395F66" w:rsidR="00A56E61" w:rsidRDefault="005A3D7D" w:rsidP="00943F75">
      <w:pPr>
        <w:pStyle w:val="labeltext"/>
        <w:keepNext/>
        <w:spacing w:after="120"/>
        <w:rPr>
          <w:b/>
          <w:sz w:val="22"/>
          <w:szCs w:val="22"/>
        </w:rPr>
      </w:pPr>
      <w:r w:rsidRPr="00AD2360">
        <w:rPr>
          <w:b/>
          <w:sz w:val="22"/>
          <w:szCs w:val="22"/>
        </w:rPr>
        <w:t>Table </w:t>
      </w:r>
      <w:r w:rsidR="002C5C21">
        <w:rPr>
          <w:b/>
          <w:sz w:val="22"/>
          <w:szCs w:val="22"/>
        </w:rPr>
        <w:t>2</w:t>
      </w:r>
      <w:r w:rsidRPr="00AD2360">
        <w:rPr>
          <w:b/>
          <w:sz w:val="22"/>
          <w:szCs w:val="22"/>
        </w:rPr>
        <w:t xml:space="preserve">: </w:t>
      </w:r>
      <w:r w:rsidR="00CA28EB">
        <w:rPr>
          <w:b/>
          <w:sz w:val="22"/>
          <w:szCs w:val="22"/>
        </w:rPr>
        <w:t>Dosing r</w:t>
      </w:r>
      <w:r w:rsidRPr="00AD2360">
        <w:rPr>
          <w:b/>
          <w:sz w:val="22"/>
          <w:szCs w:val="22"/>
        </w:rPr>
        <w:t>ecommendations for concomitant use with moderate</w:t>
      </w:r>
      <w:r w:rsidR="00D2425D">
        <w:rPr>
          <w:b/>
          <w:sz w:val="22"/>
          <w:szCs w:val="22"/>
        </w:rPr>
        <w:t xml:space="preserve"> or strong</w:t>
      </w:r>
      <w:r w:rsidRPr="00AD2360">
        <w:rPr>
          <w:b/>
          <w:sz w:val="22"/>
          <w:szCs w:val="22"/>
        </w:rPr>
        <w:t xml:space="preserve"> CYP3A inhibitors</w:t>
      </w:r>
    </w:p>
    <w:tbl>
      <w:tblPr>
        <w:tblStyle w:val="TableGrid"/>
        <w:tblW w:w="0" w:type="auto"/>
        <w:tblLook w:val="04A0" w:firstRow="1" w:lastRow="0" w:firstColumn="1" w:lastColumn="0" w:noHBand="0" w:noVBand="1"/>
      </w:tblPr>
      <w:tblGrid>
        <w:gridCol w:w="805"/>
        <w:gridCol w:w="4315"/>
        <w:gridCol w:w="3955"/>
      </w:tblGrid>
      <w:tr w:rsidR="00476058" w14:paraId="14A504BF" w14:textId="77777777" w:rsidTr="000A093B">
        <w:trPr>
          <w:tblHeader/>
        </w:trPr>
        <w:tc>
          <w:tcPr>
            <w:tcW w:w="805" w:type="dxa"/>
          </w:tcPr>
          <w:p w14:paraId="6C0C5FAC" w14:textId="77777777" w:rsidR="00E238A9" w:rsidRPr="00805A42" w:rsidRDefault="00E238A9" w:rsidP="00E238A9">
            <w:pPr>
              <w:keepNext/>
              <w:rPr>
                <w:sz w:val="20"/>
                <w:szCs w:val="20"/>
              </w:rPr>
            </w:pPr>
          </w:p>
        </w:tc>
        <w:tc>
          <w:tcPr>
            <w:tcW w:w="4315" w:type="dxa"/>
          </w:tcPr>
          <w:p w14:paraId="31BF4664" w14:textId="77777777" w:rsidR="00E238A9" w:rsidRPr="00ED0E5D" w:rsidRDefault="005A3D7D" w:rsidP="00E238A9">
            <w:pPr>
              <w:keepNext/>
              <w:jc w:val="center"/>
              <w:rPr>
                <w:b/>
                <w:bCs/>
                <w:sz w:val="20"/>
                <w:szCs w:val="20"/>
              </w:rPr>
            </w:pPr>
            <w:r w:rsidRPr="00ED0E5D">
              <w:rPr>
                <w:b/>
                <w:bCs/>
                <w:sz w:val="20"/>
                <w:szCs w:val="20"/>
              </w:rPr>
              <w:t xml:space="preserve">Moderate CYP3A </w:t>
            </w:r>
            <w:r>
              <w:rPr>
                <w:b/>
                <w:bCs/>
                <w:sz w:val="20"/>
                <w:szCs w:val="20"/>
              </w:rPr>
              <w:t>i</w:t>
            </w:r>
            <w:r w:rsidRPr="00ED0E5D">
              <w:rPr>
                <w:b/>
                <w:bCs/>
                <w:sz w:val="20"/>
                <w:szCs w:val="20"/>
              </w:rPr>
              <w:t>nhibitors</w:t>
            </w:r>
          </w:p>
        </w:tc>
        <w:tc>
          <w:tcPr>
            <w:tcW w:w="3955" w:type="dxa"/>
          </w:tcPr>
          <w:p w14:paraId="11FC3C61" w14:textId="77777777" w:rsidR="00E238A9" w:rsidRPr="00C04049" w:rsidRDefault="005A3D7D" w:rsidP="00E238A9">
            <w:pPr>
              <w:keepNext/>
              <w:jc w:val="center"/>
              <w:rPr>
                <w:b/>
                <w:bCs/>
                <w:sz w:val="20"/>
                <w:szCs w:val="20"/>
              </w:rPr>
            </w:pPr>
            <w:r w:rsidRPr="00C04049">
              <w:rPr>
                <w:b/>
                <w:bCs/>
                <w:sz w:val="20"/>
                <w:szCs w:val="20"/>
              </w:rPr>
              <w:t xml:space="preserve">Strong CYP3A </w:t>
            </w:r>
            <w:r>
              <w:rPr>
                <w:b/>
                <w:bCs/>
                <w:sz w:val="20"/>
                <w:szCs w:val="20"/>
              </w:rPr>
              <w:t>i</w:t>
            </w:r>
            <w:r w:rsidRPr="00C04049">
              <w:rPr>
                <w:b/>
                <w:bCs/>
                <w:sz w:val="20"/>
                <w:szCs w:val="20"/>
              </w:rPr>
              <w:t>nhibitors</w:t>
            </w:r>
          </w:p>
        </w:tc>
      </w:tr>
      <w:tr w:rsidR="00476058" w14:paraId="21CC935B" w14:textId="77777777" w:rsidTr="000A093B">
        <w:tc>
          <w:tcPr>
            <w:tcW w:w="9075" w:type="dxa"/>
            <w:gridSpan w:val="3"/>
            <w:shd w:val="clear" w:color="auto" w:fill="auto"/>
          </w:tcPr>
          <w:p w14:paraId="19B3CD02" w14:textId="77777777" w:rsidR="00E238A9" w:rsidRPr="00805A42" w:rsidRDefault="005A3D7D" w:rsidP="00E238A9">
            <w:pPr>
              <w:rPr>
                <w:b/>
                <w:bCs/>
                <w:sz w:val="20"/>
                <w:szCs w:val="20"/>
              </w:rPr>
            </w:pPr>
            <w:r>
              <w:rPr>
                <w:b/>
                <w:bCs/>
                <w:sz w:val="20"/>
                <w:szCs w:val="20"/>
              </w:rPr>
              <w:t>Ivacaftor</w:t>
            </w:r>
            <w:r w:rsidRPr="00805A42">
              <w:rPr>
                <w:b/>
                <w:bCs/>
                <w:sz w:val="20"/>
                <w:szCs w:val="20"/>
              </w:rPr>
              <w:t xml:space="preserve"> </w:t>
            </w:r>
            <w:r>
              <w:rPr>
                <w:b/>
                <w:bCs/>
                <w:sz w:val="20"/>
                <w:szCs w:val="20"/>
              </w:rPr>
              <w:t>as m</w:t>
            </w:r>
            <w:r w:rsidRPr="00805A42">
              <w:rPr>
                <w:b/>
                <w:bCs/>
                <w:sz w:val="20"/>
                <w:szCs w:val="20"/>
              </w:rPr>
              <w:t>onotherapy</w:t>
            </w:r>
          </w:p>
        </w:tc>
      </w:tr>
      <w:tr w:rsidR="00476058" w14:paraId="5BA02591" w14:textId="77777777" w:rsidTr="000A093B">
        <w:tc>
          <w:tcPr>
            <w:tcW w:w="805" w:type="dxa"/>
          </w:tcPr>
          <w:p w14:paraId="403DC46E" w14:textId="77777777" w:rsidR="00E238A9" w:rsidRPr="00805A42" w:rsidRDefault="005A3D7D" w:rsidP="00E238A9">
            <w:pPr>
              <w:rPr>
                <w:sz w:val="20"/>
                <w:szCs w:val="20"/>
              </w:rPr>
            </w:pPr>
            <w:r w:rsidRPr="00805A42">
              <w:rPr>
                <w:sz w:val="20"/>
                <w:szCs w:val="20"/>
              </w:rPr>
              <w:t>6</w:t>
            </w:r>
            <w:r>
              <w:rPr>
                <w:sz w:val="20"/>
                <w:szCs w:val="20"/>
              </w:rPr>
              <w:t> years</w:t>
            </w:r>
            <w:r w:rsidRPr="00805A42">
              <w:rPr>
                <w:sz w:val="20"/>
                <w:szCs w:val="20"/>
              </w:rPr>
              <w:t xml:space="preserve"> and older,</w:t>
            </w:r>
            <w:r w:rsidRPr="00805A42">
              <w:rPr>
                <w:sz w:val="20"/>
                <w:szCs w:val="20"/>
              </w:rPr>
              <w:br/>
              <w:t>≥25 kg</w:t>
            </w:r>
          </w:p>
        </w:tc>
        <w:tc>
          <w:tcPr>
            <w:tcW w:w="4315" w:type="dxa"/>
          </w:tcPr>
          <w:p w14:paraId="1CA5768C" w14:textId="77777777" w:rsidR="00E238A9" w:rsidRDefault="005A3D7D" w:rsidP="00E238A9">
            <w:pPr>
              <w:rPr>
                <w:sz w:val="20"/>
                <w:szCs w:val="20"/>
              </w:rPr>
            </w:pPr>
            <w:r w:rsidRPr="00805A42">
              <w:rPr>
                <w:sz w:val="20"/>
                <w:szCs w:val="20"/>
              </w:rPr>
              <w:t xml:space="preserve">One </w:t>
            </w:r>
            <w:r>
              <w:rPr>
                <w:sz w:val="20"/>
                <w:szCs w:val="20"/>
              </w:rPr>
              <w:t xml:space="preserve">morning </w:t>
            </w:r>
            <w:r w:rsidRPr="00805A42">
              <w:rPr>
                <w:sz w:val="20"/>
                <w:szCs w:val="20"/>
              </w:rPr>
              <w:t>tablet of ivacaftor 150 mg once daily</w:t>
            </w:r>
            <w:r>
              <w:rPr>
                <w:sz w:val="20"/>
                <w:szCs w:val="20"/>
              </w:rPr>
              <w:t xml:space="preserve">. </w:t>
            </w:r>
          </w:p>
          <w:p w14:paraId="12C19062" w14:textId="77777777" w:rsidR="00E238A9" w:rsidRDefault="00E238A9" w:rsidP="00E238A9">
            <w:pPr>
              <w:rPr>
                <w:sz w:val="20"/>
                <w:szCs w:val="20"/>
              </w:rPr>
            </w:pPr>
          </w:p>
          <w:p w14:paraId="26CCC9EF" w14:textId="77777777" w:rsidR="00E238A9" w:rsidRPr="00805A42" w:rsidRDefault="005A3D7D" w:rsidP="00E238A9">
            <w:pPr>
              <w:rPr>
                <w:sz w:val="20"/>
                <w:szCs w:val="20"/>
              </w:rPr>
            </w:pPr>
            <w:r>
              <w:rPr>
                <w:sz w:val="20"/>
                <w:szCs w:val="20"/>
              </w:rPr>
              <w:t>No evening dose.</w:t>
            </w:r>
          </w:p>
        </w:tc>
        <w:tc>
          <w:tcPr>
            <w:tcW w:w="3955" w:type="dxa"/>
          </w:tcPr>
          <w:p w14:paraId="196B907F" w14:textId="77777777" w:rsidR="00E238A9" w:rsidRDefault="005A3D7D" w:rsidP="00E238A9">
            <w:pPr>
              <w:rPr>
                <w:sz w:val="20"/>
                <w:szCs w:val="20"/>
              </w:rPr>
            </w:pPr>
            <w:r w:rsidRPr="00805A42">
              <w:rPr>
                <w:sz w:val="20"/>
                <w:szCs w:val="20"/>
              </w:rPr>
              <w:t>One</w:t>
            </w:r>
            <w:r>
              <w:rPr>
                <w:sz w:val="20"/>
                <w:szCs w:val="20"/>
              </w:rPr>
              <w:t xml:space="preserve"> morning </w:t>
            </w:r>
            <w:r w:rsidRPr="00805A42">
              <w:rPr>
                <w:sz w:val="20"/>
                <w:szCs w:val="20"/>
              </w:rPr>
              <w:t>tablet of ivacaftor 150 mg twice a week, approximately 3 to 4 days apart</w:t>
            </w:r>
            <w:r>
              <w:rPr>
                <w:sz w:val="20"/>
                <w:szCs w:val="20"/>
              </w:rPr>
              <w:t>.</w:t>
            </w:r>
          </w:p>
          <w:p w14:paraId="4E93143B" w14:textId="77777777" w:rsidR="00E238A9" w:rsidRDefault="00E238A9" w:rsidP="00E238A9">
            <w:pPr>
              <w:rPr>
                <w:sz w:val="20"/>
                <w:szCs w:val="20"/>
              </w:rPr>
            </w:pPr>
          </w:p>
          <w:p w14:paraId="7B7BE8D5" w14:textId="77777777" w:rsidR="00E238A9" w:rsidRPr="00805A42" w:rsidRDefault="005A3D7D" w:rsidP="00E238A9">
            <w:pPr>
              <w:rPr>
                <w:sz w:val="20"/>
                <w:szCs w:val="20"/>
              </w:rPr>
            </w:pPr>
            <w:r>
              <w:rPr>
                <w:sz w:val="20"/>
                <w:szCs w:val="20"/>
              </w:rPr>
              <w:t>No evening dose.</w:t>
            </w:r>
          </w:p>
        </w:tc>
      </w:tr>
      <w:tr w:rsidR="00476058" w14:paraId="646DB44E" w14:textId="77777777" w:rsidTr="000A093B">
        <w:tc>
          <w:tcPr>
            <w:tcW w:w="9075" w:type="dxa"/>
            <w:gridSpan w:val="3"/>
            <w:shd w:val="clear" w:color="auto" w:fill="auto"/>
          </w:tcPr>
          <w:p w14:paraId="29CE24FD" w14:textId="77777777" w:rsidR="00E238A9" w:rsidRPr="00805A42" w:rsidRDefault="005A3D7D" w:rsidP="00E238A9">
            <w:pPr>
              <w:rPr>
                <w:b/>
                <w:bCs/>
                <w:sz w:val="20"/>
                <w:szCs w:val="20"/>
              </w:rPr>
            </w:pPr>
            <w:r>
              <w:rPr>
                <w:b/>
                <w:bCs/>
                <w:sz w:val="20"/>
                <w:szCs w:val="20"/>
              </w:rPr>
              <w:t xml:space="preserve">Ivacaftor </w:t>
            </w:r>
            <w:r w:rsidRPr="00805A42">
              <w:rPr>
                <w:b/>
                <w:bCs/>
                <w:sz w:val="20"/>
                <w:szCs w:val="20"/>
              </w:rPr>
              <w:t xml:space="preserve">in </w:t>
            </w:r>
            <w:r>
              <w:rPr>
                <w:b/>
                <w:bCs/>
                <w:sz w:val="20"/>
                <w:szCs w:val="20"/>
              </w:rPr>
              <w:t xml:space="preserve">a </w:t>
            </w:r>
            <w:r w:rsidRPr="00805A42">
              <w:rPr>
                <w:b/>
                <w:bCs/>
                <w:sz w:val="20"/>
                <w:szCs w:val="20"/>
              </w:rPr>
              <w:t>combination regimen with tezacaftor/ivacaftor</w:t>
            </w:r>
          </w:p>
        </w:tc>
      </w:tr>
      <w:tr w:rsidR="00476058" w14:paraId="178DADCF" w14:textId="77777777" w:rsidTr="000A093B">
        <w:tc>
          <w:tcPr>
            <w:tcW w:w="805" w:type="dxa"/>
          </w:tcPr>
          <w:p w14:paraId="5FAB0F97" w14:textId="77777777" w:rsidR="00E238A9" w:rsidRPr="00805A42" w:rsidRDefault="005A3D7D" w:rsidP="00E238A9">
            <w:pPr>
              <w:rPr>
                <w:sz w:val="20"/>
                <w:szCs w:val="20"/>
              </w:rPr>
            </w:pPr>
            <w:r>
              <w:rPr>
                <w:sz w:val="20"/>
                <w:szCs w:val="20"/>
              </w:rPr>
              <w:t>12 </w:t>
            </w:r>
            <w:r w:rsidRPr="00805A42">
              <w:rPr>
                <w:sz w:val="20"/>
                <w:szCs w:val="20"/>
              </w:rPr>
              <w:t>years and older</w:t>
            </w:r>
          </w:p>
        </w:tc>
        <w:tc>
          <w:tcPr>
            <w:tcW w:w="4315" w:type="dxa"/>
          </w:tcPr>
          <w:p w14:paraId="40820C57" w14:textId="77777777" w:rsidR="00E238A9" w:rsidRDefault="005A3D7D" w:rsidP="00E238A9">
            <w:pPr>
              <w:rPr>
                <w:sz w:val="20"/>
                <w:szCs w:val="20"/>
              </w:rPr>
            </w:pPr>
            <w:r w:rsidRPr="00805A42">
              <w:rPr>
                <w:sz w:val="20"/>
                <w:szCs w:val="20"/>
              </w:rPr>
              <w:t xml:space="preserve">Alternate each </w:t>
            </w:r>
            <w:r>
              <w:rPr>
                <w:sz w:val="20"/>
                <w:szCs w:val="20"/>
              </w:rPr>
              <w:t>morning</w:t>
            </w:r>
            <w:r w:rsidRPr="00805A42">
              <w:rPr>
                <w:sz w:val="20"/>
                <w:szCs w:val="20"/>
              </w:rPr>
              <w:t>:</w:t>
            </w:r>
          </w:p>
          <w:p w14:paraId="58204271" w14:textId="77777777" w:rsidR="00E238A9" w:rsidRDefault="005A3D7D" w:rsidP="00E238A9">
            <w:pPr>
              <w:pStyle w:val="ListParagraph"/>
              <w:numPr>
                <w:ilvl w:val="0"/>
                <w:numId w:val="65"/>
              </w:numPr>
              <w:rPr>
                <w:sz w:val="20"/>
                <w:szCs w:val="20"/>
              </w:rPr>
            </w:pPr>
            <w:r w:rsidRPr="00BB2050">
              <w:rPr>
                <w:sz w:val="20"/>
                <w:szCs w:val="20"/>
              </w:rPr>
              <w:t>one tablet of tezacaftor</w:t>
            </w:r>
            <w:r>
              <w:rPr>
                <w:sz w:val="20"/>
                <w:szCs w:val="20"/>
              </w:rPr>
              <w:t> </w:t>
            </w:r>
            <w:r w:rsidRPr="00BB2050">
              <w:rPr>
                <w:sz w:val="20"/>
                <w:szCs w:val="20"/>
              </w:rPr>
              <w:t>100</w:t>
            </w:r>
            <w:r>
              <w:rPr>
                <w:sz w:val="20"/>
                <w:szCs w:val="20"/>
              </w:rPr>
              <w:t> </w:t>
            </w:r>
            <w:r w:rsidRPr="00BB2050">
              <w:rPr>
                <w:sz w:val="20"/>
                <w:szCs w:val="20"/>
              </w:rPr>
              <w:t>mg/ivacaftor</w:t>
            </w:r>
            <w:r>
              <w:rPr>
                <w:sz w:val="20"/>
                <w:szCs w:val="20"/>
              </w:rPr>
              <w:t> </w:t>
            </w:r>
            <w:r w:rsidRPr="00BB2050">
              <w:rPr>
                <w:sz w:val="20"/>
                <w:szCs w:val="20"/>
              </w:rPr>
              <w:t>150</w:t>
            </w:r>
            <w:r>
              <w:rPr>
                <w:sz w:val="20"/>
                <w:szCs w:val="20"/>
              </w:rPr>
              <w:t> </w:t>
            </w:r>
            <w:r w:rsidRPr="00BB2050">
              <w:rPr>
                <w:sz w:val="20"/>
                <w:szCs w:val="20"/>
              </w:rPr>
              <w:t>mg on the first day</w:t>
            </w:r>
          </w:p>
          <w:p w14:paraId="68A1C4E9" w14:textId="77777777" w:rsidR="00E238A9" w:rsidRDefault="005A3D7D" w:rsidP="00E238A9">
            <w:pPr>
              <w:pStyle w:val="ListParagraph"/>
              <w:numPr>
                <w:ilvl w:val="0"/>
                <w:numId w:val="65"/>
              </w:numPr>
              <w:rPr>
                <w:sz w:val="20"/>
                <w:szCs w:val="20"/>
              </w:rPr>
            </w:pPr>
            <w:r w:rsidRPr="00BB2050">
              <w:rPr>
                <w:sz w:val="20"/>
                <w:szCs w:val="20"/>
              </w:rPr>
              <w:t xml:space="preserve">one tablet of </w:t>
            </w:r>
            <w:r>
              <w:rPr>
                <w:sz w:val="20"/>
                <w:szCs w:val="20"/>
              </w:rPr>
              <w:t>ivacaftor </w:t>
            </w:r>
            <w:r w:rsidRPr="00BB2050">
              <w:rPr>
                <w:sz w:val="20"/>
                <w:szCs w:val="20"/>
              </w:rPr>
              <w:t>150</w:t>
            </w:r>
            <w:r>
              <w:rPr>
                <w:sz w:val="20"/>
                <w:szCs w:val="20"/>
              </w:rPr>
              <w:t> </w:t>
            </w:r>
            <w:r w:rsidRPr="00BB2050">
              <w:rPr>
                <w:sz w:val="20"/>
                <w:szCs w:val="20"/>
              </w:rPr>
              <w:t>mg on the next day</w:t>
            </w:r>
          </w:p>
          <w:p w14:paraId="210C1303" w14:textId="77777777" w:rsidR="00E238A9" w:rsidRDefault="005A3D7D" w:rsidP="00E238A9">
            <w:pPr>
              <w:ind w:left="50"/>
              <w:rPr>
                <w:sz w:val="20"/>
                <w:szCs w:val="20"/>
              </w:rPr>
            </w:pPr>
            <w:r w:rsidRPr="00BB2050">
              <w:rPr>
                <w:sz w:val="20"/>
                <w:szCs w:val="20"/>
              </w:rPr>
              <w:t xml:space="preserve">Continue alternating </w:t>
            </w:r>
            <w:r>
              <w:rPr>
                <w:sz w:val="20"/>
                <w:szCs w:val="20"/>
              </w:rPr>
              <w:t xml:space="preserve">tablets </w:t>
            </w:r>
            <w:r w:rsidRPr="00BB2050">
              <w:rPr>
                <w:sz w:val="20"/>
                <w:szCs w:val="20"/>
              </w:rPr>
              <w:t>e</w:t>
            </w:r>
            <w:r>
              <w:rPr>
                <w:sz w:val="20"/>
                <w:szCs w:val="20"/>
              </w:rPr>
              <w:t>a</w:t>
            </w:r>
            <w:r w:rsidRPr="00BB2050">
              <w:rPr>
                <w:sz w:val="20"/>
                <w:szCs w:val="20"/>
              </w:rPr>
              <w:t>ch day.</w:t>
            </w:r>
          </w:p>
          <w:p w14:paraId="674210EF" w14:textId="77777777" w:rsidR="00E238A9" w:rsidRDefault="00E238A9" w:rsidP="00E238A9">
            <w:pPr>
              <w:ind w:left="50"/>
              <w:rPr>
                <w:sz w:val="20"/>
                <w:szCs w:val="20"/>
              </w:rPr>
            </w:pPr>
          </w:p>
          <w:p w14:paraId="6C909F87" w14:textId="77777777" w:rsidR="00E238A9" w:rsidRPr="00BB2050" w:rsidRDefault="005A3D7D" w:rsidP="00E238A9">
            <w:pPr>
              <w:ind w:left="50"/>
              <w:rPr>
                <w:sz w:val="20"/>
                <w:szCs w:val="20"/>
              </w:rPr>
            </w:pPr>
            <w:r>
              <w:rPr>
                <w:sz w:val="20"/>
                <w:szCs w:val="20"/>
              </w:rPr>
              <w:t>No evening dose.</w:t>
            </w:r>
          </w:p>
        </w:tc>
        <w:tc>
          <w:tcPr>
            <w:tcW w:w="3955" w:type="dxa"/>
          </w:tcPr>
          <w:p w14:paraId="0344DDCE" w14:textId="77777777" w:rsidR="00E238A9" w:rsidRDefault="005A3D7D" w:rsidP="00E238A9">
            <w:pPr>
              <w:rPr>
                <w:sz w:val="20"/>
                <w:szCs w:val="20"/>
              </w:rPr>
            </w:pPr>
            <w:r w:rsidRPr="00805A42">
              <w:rPr>
                <w:sz w:val="20"/>
                <w:szCs w:val="20"/>
              </w:rPr>
              <w:t xml:space="preserve">One </w:t>
            </w:r>
            <w:r>
              <w:rPr>
                <w:sz w:val="20"/>
                <w:szCs w:val="20"/>
              </w:rPr>
              <w:t xml:space="preserve">morning </w:t>
            </w:r>
            <w:r w:rsidRPr="00805A42">
              <w:rPr>
                <w:sz w:val="20"/>
                <w:szCs w:val="20"/>
              </w:rPr>
              <w:t xml:space="preserve">tablet of tezacaftor </w:t>
            </w:r>
            <w:r w:rsidRPr="00805A42">
              <w:rPr>
                <w:sz w:val="20"/>
                <w:szCs w:val="20"/>
              </w:rPr>
              <w:t>100 mg/ivacaftor 150 mg</w:t>
            </w:r>
            <w:r w:rsidRPr="00805A42">
              <w:rPr>
                <w:bCs/>
                <w:sz w:val="20"/>
                <w:szCs w:val="20"/>
              </w:rPr>
              <w:t xml:space="preserve"> twice a week, </w:t>
            </w:r>
            <w:r w:rsidRPr="00805A42">
              <w:rPr>
                <w:sz w:val="20"/>
                <w:szCs w:val="20"/>
              </w:rPr>
              <w:t>approximately 3 to 4 days apart</w:t>
            </w:r>
            <w:r>
              <w:rPr>
                <w:sz w:val="20"/>
                <w:szCs w:val="20"/>
              </w:rPr>
              <w:t>.</w:t>
            </w:r>
          </w:p>
          <w:p w14:paraId="03FDE0B6" w14:textId="77777777" w:rsidR="00E238A9" w:rsidRDefault="00E238A9" w:rsidP="00E238A9">
            <w:pPr>
              <w:rPr>
                <w:sz w:val="20"/>
                <w:szCs w:val="20"/>
              </w:rPr>
            </w:pPr>
          </w:p>
          <w:p w14:paraId="3DA2546D" w14:textId="77777777" w:rsidR="00E238A9" w:rsidRPr="00805A42" w:rsidRDefault="005A3D7D" w:rsidP="00E238A9">
            <w:pPr>
              <w:rPr>
                <w:sz w:val="20"/>
                <w:szCs w:val="20"/>
              </w:rPr>
            </w:pPr>
            <w:r>
              <w:rPr>
                <w:sz w:val="20"/>
                <w:szCs w:val="20"/>
              </w:rPr>
              <w:t>No evening dose.</w:t>
            </w:r>
          </w:p>
        </w:tc>
      </w:tr>
      <w:tr w:rsidR="00476058" w14:paraId="25B538D3" w14:textId="77777777" w:rsidTr="000A093B">
        <w:tc>
          <w:tcPr>
            <w:tcW w:w="9075" w:type="dxa"/>
            <w:gridSpan w:val="3"/>
            <w:shd w:val="clear" w:color="auto" w:fill="auto"/>
          </w:tcPr>
          <w:p w14:paraId="3151AF0C" w14:textId="77777777" w:rsidR="00E238A9" w:rsidRPr="00805A42" w:rsidRDefault="005A3D7D" w:rsidP="00E238A9">
            <w:pPr>
              <w:rPr>
                <w:b/>
                <w:bCs/>
                <w:sz w:val="20"/>
                <w:szCs w:val="20"/>
              </w:rPr>
            </w:pPr>
            <w:r>
              <w:rPr>
                <w:b/>
                <w:bCs/>
                <w:sz w:val="20"/>
                <w:szCs w:val="20"/>
              </w:rPr>
              <w:t>Ivacaftor</w:t>
            </w:r>
            <w:r w:rsidRPr="00805A42">
              <w:rPr>
                <w:b/>
                <w:bCs/>
                <w:sz w:val="20"/>
                <w:szCs w:val="20"/>
              </w:rPr>
              <w:t xml:space="preserve"> in</w:t>
            </w:r>
            <w:r>
              <w:rPr>
                <w:b/>
                <w:bCs/>
                <w:sz w:val="20"/>
                <w:szCs w:val="20"/>
              </w:rPr>
              <w:t xml:space="preserve"> a</w:t>
            </w:r>
            <w:r w:rsidRPr="00805A42">
              <w:rPr>
                <w:b/>
                <w:bCs/>
                <w:sz w:val="20"/>
                <w:szCs w:val="20"/>
              </w:rPr>
              <w:t xml:space="preserve"> combination regimen with </w:t>
            </w:r>
            <w:r>
              <w:rPr>
                <w:b/>
                <w:bCs/>
                <w:sz w:val="20"/>
                <w:szCs w:val="20"/>
              </w:rPr>
              <w:t>ivacaftor/tezacaftor/elexacaftor</w:t>
            </w:r>
          </w:p>
        </w:tc>
      </w:tr>
      <w:tr w:rsidR="00476058" w14:paraId="5979DA22" w14:textId="77777777" w:rsidTr="000A093B">
        <w:tc>
          <w:tcPr>
            <w:tcW w:w="805" w:type="dxa"/>
          </w:tcPr>
          <w:p w14:paraId="3451CBD9" w14:textId="77777777" w:rsidR="00E238A9" w:rsidRPr="00805A42" w:rsidRDefault="005A3D7D" w:rsidP="00E238A9">
            <w:pPr>
              <w:rPr>
                <w:sz w:val="20"/>
                <w:szCs w:val="20"/>
              </w:rPr>
            </w:pPr>
            <w:r w:rsidRPr="00805A42">
              <w:rPr>
                <w:sz w:val="20"/>
                <w:szCs w:val="20"/>
              </w:rPr>
              <w:t>12</w:t>
            </w:r>
            <w:r>
              <w:rPr>
                <w:sz w:val="20"/>
                <w:szCs w:val="20"/>
              </w:rPr>
              <w:t> </w:t>
            </w:r>
            <w:r w:rsidRPr="00805A42">
              <w:rPr>
                <w:sz w:val="20"/>
                <w:szCs w:val="20"/>
              </w:rPr>
              <w:t>years and older</w:t>
            </w:r>
          </w:p>
        </w:tc>
        <w:tc>
          <w:tcPr>
            <w:tcW w:w="4315" w:type="dxa"/>
          </w:tcPr>
          <w:p w14:paraId="41060B77" w14:textId="77777777" w:rsidR="00E238A9" w:rsidRDefault="005A3D7D" w:rsidP="00E238A9">
            <w:pPr>
              <w:rPr>
                <w:sz w:val="20"/>
                <w:szCs w:val="20"/>
              </w:rPr>
            </w:pPr>
            <w:r w:rsidRPr="00805A42">
              <w:rPr>
                <w:sz w:val="20"/>
                <w:szCs w:val="20"/>
              </w:rPr>
              <w:t xml:space="preserve">Alternate each </w:t>
            </w:r>
            <w:r>
              <w:rPr>
                <w:sz w:val="20"/>
                <w:szCs w:val="20"/>
              </w:rPr>
              <w:t>morning</w:t>
            </w:r>
            <w:r w:rsidRPr="00805A42">
              <w:rPr>
                <w:sz w:val="20"/>
                <w:szCs w:val="20"/>
              </w:rPr>
              <w:t xml:space="preserve">: </w:t>
            </w:r>
          </w:p>
          <w:p w14:paraId="1FF2A096" w14:textId="77777777" w:rsidR="00E238A9" w:rsidRDefault="005A3D7D" w:rsidP="00E238A9">
            <w:pPr>
              <w:pStyle w:val="ListParagraph"/>
              <w:numPr>
                <w:ilvl w:val="0"/>
                <w:numId w:val="65"/>
              </w:numPr>
              <w:rPr>
                <w:sz w:val="20"/>
                <w:szCs w:val="20"/>
              </w:rPr>
            </w:pPr>
            <w:r w:rsidRPr="00BB2050">
              <w:rPr>
                <w:sz w:val="20"/>
                <w:szCs w:val="20"/>
              </w:rPr>
              <w:t xml:space="preserve">two tablets of </w:t>
            </w:r>
            <w:r>
              <w:rPr>
                <w:sz w:val="20"/>
                <w:szCs w:val="20"/>
              </w:rPr>
              <w:t>ivacaftor 75 mg/tezacaftor 50 mg/elexacaftor 100 mg</w:t>
            </w:r>
            <w:r w:rsidRPr="00BB2050">
              <w:rPr>
                <w:sz w:val="20"/>
                <w:szCs w:val="20"/>
              </w:rPr>
              <w:t xml:space="preserve"> on the first day </w:t>
            </w:r>
          </w:p>
          <w:p w14:paraId="3A07517E" w14:textId="77777777" w:rsidR="00E238A9" w:rsidRDefault="005A3D7D" w:rsidP="00E238A9">
            <w:pPr>
              <w:pStyle w:val="ListParagraph"/>
              <w:numPr>
                <w:ilvl w:val="0"/>
                <w:numId w:val="65"/>
              </w:numPr>
              <w:rPr>
                <w:sz w:val="20"/>
                <w:szCs w:val="20"/>
              </w:rPr>
            </w:pPr>
            <w:r w:rsidRPr="00BB2050">
              <w:rPr>
                <w:sz w:val="20"/>
                <w:szCs w:val="20"/>
              </w:rPr>
              <w:t xml:space="preserve">one tablet of </w:t>
            </w:r>
            <w:r>
              <w:rPr>
                <w:sz w:val="20"/>
                <w:szCs w:val="20"/>
              </w:rPr>
              <w:t>ivacaftor </w:t>
            </w:r>
            <w:r w:rsidRPr="00BB2050">
              <w:rPr>
                <w:sz w:val="20"/>
                <w:szCs w:val="20"/>
              </w:rPr>
              <w:t>150</w:t>
            </w:r>
            <w:r>
              <w:rPr>
                <w:sz w:val="20"/>
                <w:szCs w:val="20"/>
              </w:rPr>
              <w:t> </w:t>
            </w:r>
            <w:r w:rsidRPr="00BB2050">
              <w:rPr>
                <w:sz w:val="20"/>
                <w:szCs w:val="20"/>
              </w:rPr>
              <w:t>mg on the next day</w:t>
            </w:r>
            <w:r>
              <w:rPr>
                <w:sz w:val="20"/>
                <w:szCs w:val="20"/>
              </w:rPr>
              <w:t xml:space="preserve"> </w:t>
            </w:r>
          </w:p>
          <w:p w14:paraId="45CE0EB0" w14:textId="77777777" w:rsidR="00E238A9" w:rsidRDefault="005A3D7D" w:rsidP="00E238A9">
            <w:pPr>
              <w:ind w:left="50"/>
              <w:rPr>
                <w:sz w:val="20"/>
                <w:szCs w:val="20"/>
              </w:rPr>
            </w:pPr>
            <w:r w:rsidRPr="00BB2050">
              <w:rPr>
                <w:sz w:val="20"/>
                <w:szCs w:val="20"/>
              </w:rPr>
              <w:t>Continue alternating</w:t>
            </w:r>
            <w:r>
              <w:rPr>
                <w:sz w:val="20"/>
                <w:szCs w:val="20"/>
              </w:rPr>
              <w:t xml:space="preserve"> tablets</w:t>
            </w:r>
            <w:r w:rsidRPr="00BB2050">
              <w:rPr>
                <w:sz w:val="20"/>
                <w:szCs w:val="20"/>
              </w:rPr>
              <w:t xml:space="preserve"> each day.</w:t>
            </w:r>
          </w:p>
          <w:p w14:paraId="0D164D75" w14:textId="77777777" w:rsidR="00E238A9" w:rsidRDefault="00E238A9" w:rsidP="00E238A9">
            <w:pPr>
              <w:ind w:left="50"/>
              <w:rPr>
                <w:sz w:val="20"/>
                <w:szCs w:val="20"/>
              </w:rPr>
            </w:pPr>
          </w:p>
          <w:p w14:paraId="2BA63AFA" w14:textId="77777777" w:rsidR="00E238A9" w:rsidRPr="00BB2050" w:rsidRDefault="005A3D7D" w:rsidP="00E238A9">
            <w:pPr>
              <w:ind w:left="50"/>
              <w:rPr>
                <w:sz w:val="20"/>
                <w:szCs w:val="20"/>
              </w:rPr>
            </w:pPr>
            <w:r>
              <w:rPr>
                <w:sz w:val="20"/>
                <w:szCs w:val="20"/>
              </w:rPr>
              <w:t>No evening dose.</w:t>
            </w:r>
          </w:p>
        </w:tc>
        <w:tc>
          <w:tcPr>
            <w:tcW w:w="3955" w:type="dxa"/>
          </w:tcPr>
          <w:p w14:paraId="23314883" w14:textId="77777777" w:rsidR="00E238A9" w:rsidRDefault="005A3D7D" w:rsidP="00E238A9">
            <w:pPr>
              <w:rPr>
                <w:sz w:val="20"/>
                <w:szCs w:val="20"/>
              </w:rPr>
            </w:pPr>
            <w:r>
              <w:rPr>
                <w:sz w:val="20"/>
                <w:szCs w:val="20"/>
              </w:rPr>
              <w:t>Two</w:t>
            </w:r>
            <w:r w:rsidRPr="00805A42">
              <w:rPr>
                <w:sz w:val="20"/>
                <w:szCs w:val="20"/>
              </w:rPr>
              <w:t xml:space="preserve"> </w:t>
            </w:r>
            <w:r>
              <w:rPr>
                <w:sz w:val="20"/>
                <w:szCs w:val="20"/>
              </w:rPr>
              <w:t xml:space="preserve">morning dose </w:t>
            </w:r>
            <w:r w:rsidRPr="00805A42">
              <w:rPr>
                <w:sz w:val="20"/>
                <w:szCs w:val="20"/>
              </w:rPr>
              <w:t>tablet</w:t>
            </w:r>
            <w:r>
              <w:rPr>
                <w:sz w:val="20"/>
                <w:szCs w:val="20"/>
              </w:rPr>
              <w:t>s</w:t>
            </w:r>
            <w:r w:rsidRPr="00805A42">
              <w:rPr>
                <w:sz w:val="20"/>
                <w:szCs w:val="20"/>
              </w:rPr>
              <w:t xml:space="preserve"> of </w:t>
            </w:r>
            <w:r>
              <w:rPr>
                <w:sz w:val="20"/>
                <w:szCs w:val="20"/>
              </w:rPr>
              <w:t>ivacaftor 75 mg/tezacaftor 50 mg/elexacaftor 100 mg</w:t>
            </w:r>
            <w:r w:rsidRPr="00805A42">
              <w:rPr>
                <w:bCs/>
                <w:sz w:val="20"/>
                <w:szCs w:val="20"/>
              </w:rPr>
              <w:t xml:space="preserve"> twice a week, </w:t>
            </w:r>
            <w:r w:rsidRPr="00805A42">
              <w:rPr>
                <w:sz w:val="20"/>
                <w:szCs w:val="20"/>
              </w:rPr>
              <w:t>approximately 3 to 4 days apart</w:t>
            </w:r>
            <w:r>
              <w:rPr>
                <w:sz w:val="20"/>
                <w:szCs w:val="20"/>
              </w:rPr>
              <w:t>.</w:t>
            </w:r>
          </w:p>
          <w:p w14:paraId="34B78C34" w14:textId="77777777" w:rsidR="00E238A9" w:rsidRDefault="00E238A9" w:rsidP="00E238A9">
            <w:pPr>
              <w:rPr>
                <w:sz w:val="20"/>
                <w:szCs w:val="20"/>
              </w:rPr>
            </w:pPr>
          </w:p>
          <w:p w14:paraId="008A6CBA" w14:textId="77777777" w:rsidR="00E238A9" w:rsidRPr="00805A42" w:rsidRDefault="005A3D7D" w:rsidP="00E238A9">
            <w:pPr>
              <w:rPr>
                <w:sz w:val="20"/>
                <w:szCs w:val="20"/>
              </w:rPr>
            </w:pPr>
            <w:r>
              <w:rPr>
                <w:sz w:val="20"/>
                <w:szCs w:val="20"/>
              </w:rPr>
              <w:t>No evening dose.</w:t>
            </w:r>
          </w:p>
        </w:tc>
      </w:tr>
    </w:tbl>
    <w:p w14:paraId="54AE3F95" w14:textId="77777777" w:rsidR="002B428B" w:rsidRPr="000A093B" w:rsidRDefault="002B428B" w:rsidP="000D02CF">
      <w:pPr>
        <w:pStyle w:val="labeltext"/>
        <w:rPr>
          <w:i/>
          <w:sz w:val="22"/>
          <w:lang w:val="en-GB"/>
        </w:rPr>
      </w:pPr>
    </w:p>
    <w:p w14:paraId="3BCA0701" w14:textId="77777777" w:rsidR="00F976E8" w:rsidRDefault="005A3D7D" w:rsidP="000D02CF">
      <w:pPr>
        <w:keepNext/>
        <w:spacing w:line="240" w:lineRule="auto"/>
        <w:rPr>
          <w:u w:val="single"/>
        </w:rPr>
      </w:pPr>
      <w:r w:rsidRPr="00A808AC">
        <w:rPr>
          <w:u w:val="single"/>
        </w:rPr>
        <w:t>Special populations</w:t>
      </w:r>
    </w:p>
    <w:p w14:paraId="507B7CF7" w14:textId="77777777" w:rsidR="00002A05" w:rsidRPr="00BA47B4" w:rsidRDefault="00002A05" w:rsidP="00BA47B4">
      <w:pPr>
        <w:keepNext/>
        <w:spacing w:line="240" w:lineRule="auto"/>
      </w:pPr>
    </w:p>
    <w:p w14:paraId="2C75F423" w14:textId="77777777" w:rsidR="00054119" w:rsidRDefault="005A3D7D" w:rsidP="0085385B">
      <w:pPr>
        <w:suppressLineNumbers/>
        <w:spacing w:line="240" w:lineRule="auto"/>
        <w:rPr>
          <w:i/>
          <w:iCs/>
          <w:lang w:val="en-US"/>
        </w:rPr>
      </w:pPr>
      <w:r w:rsidRPr="00A808AC">
        <w:rPr>
          <w:i/>
          <w:iCs/>
          <w:lang w:val="en-US"/>
        </w:rPr>
        <w:t>Elderly</w:t>
      </w:r>
    </w:p>
    <w:p w14:paraId="4423A57A" w14:textId="77777777" w:rsidR="00BC5A2F" w:rsidRDefault="00BC5A2F" w:rsidP="0085385B">
      <w:pPr>
        <w:suppressLineNumbers/>
        <w:spacing w:line="240" w:lineRule="auto"/>
        <w:rPr>
          <w:i/>
          <w:iCs/>
          <w:lang w:val="en-US"/>
        </w:rPr>
      </w:pPr>
    </w:p>
    <w:p w14:paraId="26900D18" w14:textId="22A22082" w:rsidR="0085385B" w:rsidRPr="00A808AC" w:rsidRDefault="005A3D7D" w:rsidP="0085385B">
      <w:pPr>
        <w:suppressLineNumbers/>
        <w:spacing w:line="240" w:lineRule="auto"/>
        <w:rPr>
          <w:u w:val="single"/>
          <w:lang w:val="en-US"/>
        </w:rPr>
      </w:pPr>
      <w:r>
        <w:rPr>
          <w:lang w:val="en-US"/>
        </w:rPr>
        <w:t>V</w:t>
      </w:r>
      <w:r w:rsidRPr="00A808AC">
        <w:rPr>
          <w:lang w:val="en-US"/>
        </w:rPr>
        <w:t xml:space="preserve">ery limited data are available for elderly patients treated with ivacaftor </w:t>
      </w:r>
      <w:r>
        <w:rPr>
          <w:lang w:val="en-US"/>
        </w:rPr>
        <w:t xml:space="preserve">(administered as monotherapy or in a combination regimen). </w:t>
      </w:r>
      <w:r w:rsidR="009C51EE">
        <w:rPr>
          <w:lang w:val="en-US"/>
        </w:rPr>
        <w:t>No dose adjustment specific to this patient population is required (see section 5.2).</w:t>
      </w:r>
    </w:p>
    <w:p w14:paraId="7F53080A" w14:textId="77777777" w:rsidR="00F976E8" w:rsidRPr="00A808AC" w:rsidRDefault="00F976E8" w:rsidP="000D02CF">
      <w:pPr>
        <w:spacing w:line="240" w:lineRule="auto"/>
        <w:rPr>
          <w:bCs/>
          <w:iCs/>
        </w:rPr>
      </w:pPr>
    </w:p>
    <w:p w14:paraId="2F685BEC" w14:textId="77777777" w:rsidR="00B32377" w:rsidRDefault="005A3D7D" w:rsidP="000A093B">
      <w:pPr>
        <w:keepNext/>
        <w:spacing w:line="240" w:lineRule="auto"/>
        <w:rPr>
          <w:i/>
          <w:iCs/>
        </w:rPr>
      </w:pPr>
      <w:r w:rsidRPr="00A808AC">
        <w:rPr>
          <w:i/>
          <w:iCs/>
        </w:rPr>
        <w:t>Renal impairment</w:t>
      </w:r>
    </w:p>
    <w:p w14:paraId="519B42FA" w14:textId="77777777" w:rsidR="00BC5A2F" w:rsidRDefault="00BC5A2F" w:rsidP="000A093B">
      <w:pPr>
        <w:keepNext/>
        <w:spacing w:line="240" w:lineRule="auto"/>
        <w:rPr>
          <w:i/>
          <w:iCs/>
        </w:rPr>
      </w:pPr>
    </w:p>
    <w:p w14:paraId="4C654D48" w14:textId="40C5E46F" w:rsidR="00F976E8" w:rsidRPr="00A808AC" w:rsidRDefault="005A3D7D" w:rsidP="000A093B">
      <w:pPr>
        <w:keepNext/>
        <w:spacing w:line="240" w:lineRule="auto"/>
      </w:pPr>
      <w:r w:rsidRPr="00A808AC">
        <w:t xml:space="preserve">No dose </w:t>
      </w:r>
      <w:r w:rsidRPr="00A808AC">
        <w:t>adjustment is necessary for patients with mild to moderate renal impairment. Caution is recommended in patients with severe renal impairment (creatinine clearance less than or equal to 30 mL/min) or end</w:t>
      </w:r>
      <w:r w:rsidRPr="00A808AC">
        <w:noBreakHyphen/>
        <w:t>stage renal disease (see sections</w:t>
      </w:r>
      <w:r w:rsidR="005B33E1">
        <w:t> </w:t>
      </w:r>
      <w:r w:rsidRPr="00A808AC">
        <w:t>4.4 and 5.2).</w:t>
      </w:r>
    </w:p>
    <w:p w14:paraId="6552A28A" w14:textId="77777777" w:rsidR="00F976E8" w:rsidRPr="00A808AC" w:rsidRDefault="00F976E8" w:rsidP="000D02CF">
      <w:pPr>
        <w:spacing w:line="240" w:lineRule="auto"/>
      </w:pPr>
    </w:p>
    <w:p w14:paraId="2E326ABD" w14:textId="77777777" w:rsidR="00054119" w:rsidRDefault="005A3D7D" w:rsidP="000A093B">
      <w:pPr>
        <w:pStyle w:val="labeltextheading"/>
        <w:widowControl w:val="0"/>
        <w:rPr>
          <w:sz w:val="22"/>
          <w:szCs w:val="22"/>
          <w:lang w:val="en-GB"/>
        </w:rPr>
      </w:pPr>
      <w:bookmarkStart w:id="2" w:name="_Hlk45278269"/>
      <w:bookmarkStart w:id="3" w:name="_Hlk46222749"/>
      <w:r w:rsidRPr="0015507C">
        <w:rPr>
          <w:sz w:val="22"/>
          <w:szCs w:val="22"/>
          <w:lang w:val="en-GB"/>
        </w:rPr>
        <w:t>Hepa</w:t>
      </w:r>
      <w:r w:rsidRPr="0015507C">
        <w:rPr>
          <w:sz w:val="22"/>
          <w:szCs w:val="22"/>
          <w:lang w:val="en-GB"/>
        </w:rPr>
        <w:t>tic impairment</w:t>
      </w:r>
    </w:p>
    <w:p w14:paraId="5F35AFFF" w14:textId="77777777" w:rsidR="009C51EE" w:rsidRDefault="009C51EE" w:rsidP="000A093B">
      <w:pPr>
        <w:pStyle w:val="labeltextheading"/>
        <w:widowControl w:val="0"/>
        <w:rPr>
          <w:sz w:val="22"/>
          <w:szCs w:val="22"/>
          <w:lang w:val="en-GB"/>
        </w:rPr>
      </w:pPr>
    </w:p>
    <w:p w14:paraId="29ADB396" w14:textId="310B9B19" w:rsidR="00A9183F" w:rsidRDefault="005A3D7D" w:rsidP="004B68AC">
      <w:pPr>
        <w:pStyle w:val="labeltextheading"/>
        <w:widowControl w:val="0"/>
        <w:rPr>
          <w:i w:val="0"/>
          <w:sz w:val="22"/>
          <w:szCs w:val="22"/>
          <w:lang w:val="en-GB"/>
        </w:rPr>
      </w:pPr>
      <w:r w:rsidRPr="006E527E">
        <w:rPr>
          <w:i w:val="0"/>
          <w:sz w:val="22"/>
          <w:szCs w:val="22"/>
          <w:lang w:val="en-GB"/>
        </w:rPr>
        <w:t>No dose adjustment is necessary for</w:t>
      </w:r>
      <w:r w:rsidR="00030DD4">
        <w:rPr>
          <w:i w:val="0"/>
          <w:sz w:val="22"/>
          <w:szCs w:val="22"/>
          <w:lang w:val="en-GB"/>
        </w:rPr>
        <w:t xml:space="preserve"> ivacaftor</w:t>
      </w:r>
      <w:r w:rsidR="00D80782">
        <w:rPr>
          <w:i w:val="0"/>
          <w:sz w:val="22"/>
          <w:szCs w:val="22"/>
          <w:lang w:val="en-GB"/>
        </w:rPr>
        <w:t xml:space="preserve"> as</w:t>
      </w:r>
      <w:r w:rsidR="00030DD4">
        <w:rPr>
          <w:i w:val="0"/>
          <w:sz w:val="22"/>
          <w:szCs w:val="22"/>
          <w:lang w:val="en-GB"/>
        </w:rPr>
        <w:t xml:space="preserve"> monotherapy</w:t>
      </w:r>
      <w:r w:rsidR="00D80782">
        <w:rPr>
          <w:i w:val="0"/>
          <w:sz w:val="22"/>
          <w:szCs w:val="22"/>
          <w:lang w:val="en-GB"/>
        </w:rPr>
        <w:t xml:space="preserve"> or</w:t>
      </w:r>
      <w:r w:rsidR="00030DD4">
        <w:rPr>
          <w:i w:val="0"/>
          <w:sz w:val="22"/>
          <w:szCs w:val="22"/>
          <w:lang w:val="en-GB"/>
        </w:rPr>
        <w:t xml:space="preserve"> in</w:t>
      </w:r>
      <w:r w:rsidR="00D80782">
        <w:rPr>
          <w:i w:val="0"/>
          <w:sz w:val="22"/>
          <w:szCs w:val="22"/>
          <w:lang w:val="en-GB"/>
        </w:rPr>
        <w:t xml:space="preserve"> a combination regimen in</w:t>
      </w:r>
      <w:r w:rsidRPr="006E527E">
        <w:rPr>
          <w:i w:val="0"/>
          <w:sz w:val="22"/>
          <w:szCs w:val="22"/>
          <w:lang w:val="en-GB"/>
        </w:rPr>
        <w:t xml:space="preserve"> patients with mild hepatic impairment (Child</w:t>
      </w:r>
      <w:r w:rsidRPr="006E527E">
        <w:rPr>
          <w:i w:val="0"/>
          <w:sz w:val="22"/>
          <w:szCs w:val="22"/>
          <w:lang w:val="en-GB"/>
        </w:rPr>
        <w:noBreakHyphen/>
        <w:t xml:space="preserve">Pugh Class A). </w:t>
      </w:r>
    </w:p>
    <w:p w14:paraId="07CF5531" w14:textId="77777777" w:rsidR="00AB0289" w:rsidRDefault="00AB0289" w:rsidP="004B68AC">
      <w:pPr>
        <w:pStyle w:val="labeltextheading"/>
        <w:widowControl w:val="0"/>
        <w:rPr>
          <w:i w:val="0"/>
          <w:sz w:val="22"/>
          <w:szCs w:val="22"/>
          <w:lang w:val="en-GB"/>
        </w:rPr>
      </w:pPr>
    </w:p>
    <w:p w14:paraId="3803E828" w14:textId="2FCB00B7" w:rsidR="00AB0289" w:rsidRPr="00AB0289" w:rsidRDefault="005A3D7D" w:rsidP="004B68AC">
      <w:pPr>
        <w:pStyle w:val="labeltextheading"/>
        <w:widowControl w:val="0"/>
        <w:rPr>
          <w:i w:val="0"/>
          <w:sz w:val="22"/>
          <w:szCs w:val="22"/>
          <w:lang w:val="en-GB"/>
        </w:rPr>
      </w:pPr>
      <w:r w:rsidRPr="00AB0289">
        <w:rPr>
          <w:i w:val="0"/>
          <w:sz w:val="22"/>
          <w:szCs w:val="22"/>
          <w:lang w:val="en-GB"/>
        </w:rPr>
        <w:t xml:space="preserve">For </w:t>
      </w:r>
      <w:r w:rsidR="00EA039D" w:rsidRPr="00AB0289">
        <w:rPr>
          <w:i w:val="0"/>
          <w:sz w:val="22"/>
          <w:szCs w:val="22"/>
          <w:lang w:val="en-GB"/>
        </w:rPr>
        <w:t>patients with moderate hepatic impairment (Child</w:t>
      </w:r>
      <w:r w:rsidR="000E24CD" w:rsidRPr="00AB0289">
        <w:rPr>
          <w:i w:val="0"/>
          <w:sz w:val="22"/>
          <w:szCs w:val="22"/>
          <w:lang w:val="en-GB"/>
        </w:rPr>
        <w:noBreakHyphen/>
      </w:r>
      <w:r w:rsidR="00EA039D" w:rsidRPr="00AB0289">
        <w:rPr>
          <w:i w:val="0"/>
          <w:sz w:val="22"/>
          <w:szCs w:val="22"/>
          <w:lang w:val="en-GB"/>
        </w:rPr>
        <w:t>Pugh Class B)</w:t>
      </w:r>
      <w:r w:rsidR="009B1867" w:rsidRPr="00BA3912">
        <w:rPr>
          <w:i w:val="0"/>
          <w:sz w:val="22"/>
          <w:szCs w:val="22"/>
          <w:lang w:val="en-GB"/>
        </w:rPr>
        <w:t xml:space="preserve"> </w:t>
      </w:r>
      <w:r w:rsidRPr="000A093B">
        <w:rPr>
          <w:i w:val="0"/>
          <w:sz w:val="22"/>
          <w:lang w:val="en-GB"/>
        </w:rPr>
        <w:t xml:space="preserve">the dose </w:t>
      </w:r>
      <w:r w:rsidRPr="00AB0289">
        <w:rPr>
          <w:i w:val="0"/>
          <w:sz w:val="22"/>
          <w:szCs w:val="22"/>
          <w:lang w:val="en-GB"/>
        </w:rPr>
        <w:t xml:space="preserve">of ivacaftor as monotherapy </w:t>
      </w:r>
      <w:r w:rsidRPr="000A093B">
        <w:rPr>
          <w:i w:val="0"/>
          <w:sz w:val="22"/>
          <w:lang w:val="en-GB"/>
        </w:rPr>
        <w:t xml:space="preserve">should be reduced </w:t>
      </w:r>
      <w:r w:rsidRPr="00AB0289">
        <w:rPr>
          <w:i w:val="0"/>
          <w:sz w:val="22"/>
          <w:szCs w:val="22"/>
          <w:lang w:val="en-GB"/>
        </w:rPr>
        <w:t xml:space="preserve">to 150 mg once daily. </w:t>
      </w:r>
    </w:p>
    <w:p w14:paraId="08EE1895" w14:textId="77777777" w:rsidR="00AB0289" w:rsidRPr="00AB0289" w:rsidRDefault="00AB0289" w:rsidP="004B68AC">
      <w:pPr>
        <w:pStyle w:val="labeltextheading"/>
        <w:widowControl w:val="0"/>
        <w:rPr>
          <w:i w:val="0"/>
          <w:sz w:val="22"/>
          <w:szCs w:val="22"/>
          <w:lang w:val="en-GB"/>
        </w:rPr>
      </w:pPr>
    </w:p>
    <w:p w14:paraId="3131BBA2" w14:textId="41441F30" w:rsidR="00030DD4" w:rsidRDefault="005A3D7D" w:rsidP="000A093B">
      <w:pPr>
        <w:pStyle w:val="labeltextheading"/>
        <w:widowControl w:val="0"/>
        <w:rPr>
          <w:i w:val="0"/>
          <w:sz w:val="22"/>
          <w:szCs w:val="22"/>
          <w:lang w:val="en-GB"/>
        </w:rPr>
      </w:pPr>
      <w:r>
        <w:rPr>
          <w:i w:val="0"/>
          <w:sz w:val="22"/>
          <w:szCs w:val="22"/>
          <w:lang w:val="en-GB"/>
        </w:rPr>
        <w:t xml:space="preserve">For </w:t>
      </w:r>
      <w:r w:rsidR="00AB0289" w:rsidRPr="00AB0289">
        <w:rPr>
          <w:i w:val="0"/>
          <w:sz w:val="22"/>
          <w:szCs w:val="22"/>
          <w:lang w:val="en-GB"/>
        </w:rPr>
        <w:t xml:space="preserve">patients with </w:t>
      </w:r>
      <w:r w:rsidR="009B1867" w:rsidRPr="00AB0289">
        <w:rPr>
          <w:i w:val="0"/>
          <w:sz w:val="22"/>
          <w:szCs w:val="22"/>
          <w:lang w:val="en-GB"/>
        </w:rPr>
        <w:t>severe hepatic impairment (Child-Pugh Class C)</w:t>
      </w:r>
      <w:r>
        <w:rPr>
          <w:i w:val="0"/>
          <w:sz w:val="22"/>
          <w:szCs w:val="22"/>
          <w:lang w:val="en-GB"/>
        </w:rPr>
        <w:t xml:space="preserve">, </w:t>
      </w:r>
      <w:r w:rsidR="00AB0289" w:rsidRPr="00AB0289">
        <w:rPr>
          <w:i w:val="0"/>
          <w:sz w:val="22"/>
          <w:szCs w:val="22"/>
          <w:lang w:val="en-GB"/>
        </w:rPr>
        <w:t xml:space="preserve">the dose of ivacaftor as monotherapy should be reduced to 150 mg every other day or less frequently. </w:t>
      </w:r>
    </w:p>
    <w:p w14:paraId="5BF815D5" w14:textId="77777777" w:rsidR="00030DD4" w:rsidRPr="000A093B" w:rsidRDefault="00030DD4" w:rsidP="000A093B">
      <w:pPr>
        <w:pStyle w:val="labeltextheading"/>
        <w:widowControl w:val="0"/>
        <w:rPr>
          <w:i w:val="0"/>
          <w:sz w:val="22"/>
          <w:lang w:val="en-GB"/>
        </w:rPr>
      </w:pPr>
    </w:p>
    <w:p w14:paraId="379C82AF" w14:textId="499B0CA7" w:rsidR="009B16A8" w:rsidRPr="00BA3912" w:rsidRDefault="005A3D7D" w:rsidP="00DC6669">
      <w:pPr>
        <w:pStyle w:val="labeltextheading"/>
        <w:widowControl w:val="0"/>
        <w:rPr>
          <w:i w:val="0"/>
          <w:sz w:val="22"/>
          <w:szCs w:val="22"/>
          <w:lang w:val="en-GB"/>
        </w:rPr>
      </w:pPr>
      <w:r>
        <w:rPr>
          <w:i w:val="0"/>
          <w:sz w:val="22"/>
          <w:szCs w:val="22"/>
          <w:lang w:val="en-GB"/>
        </w:rPr>
        <w:t xml:space="preserve">For use as an </w:t>
      </w:r>
      <w:r>
        <w:rPr>
          <w:i w:val="0"/>
          <w:sz w:val="22"/>
          <w:szCs w:val="22"/>
          <w:lang w:val="en-GB"/>
        </w:rPr>
        <w:t>evening dose i</w:t>
      </w:r>
      <w:r w:rsidR="00AB0289" w:rsidRPr="00AB0289">
        <w:rPr>
          <w:i w:val="0"/>
          <w:sz w:val="22"/>
          <w:szCs w:val="22"/>
          <w:lang w:val="en-GB"/>
        </w:rPr>
        <w:t>n a combination regimen with tezacaftor/ivacaftor</w:t>
      </w:r>
      <w:r>
        <w:rPr>
          <w:i w:val="0"/>
          <w:sz w:val="22"/>
          <w:szCs w:val="22"/>
          <w:lang w:val="en-GB"/>
        </w:rPr>
        <w:t xml:space="preserve"> or </w:t>
      </w:r>
      <w:r w:rsidR="00AB0289" w:rsidRPr="00AB0289">
        <w:rPr>
          <w:i w:val="0"/>
          <w:sz w:val="22"/>
          <w:szCs w:val="22"/>
          <w:lang w:val="en-GB"/>
        </w:rPr>
        <w:t>ivacaftor/tezacaftor/elexacaftor</w:t>
      </w:r>
      <w:r>
        <w:rPr>
          <w:i w:val="0"/>
          <w:sz w:val="22"/>
          <w:szCs w:val="22"/>
          <w:lang w:val="en-GB"/>
        </w:rPr>
        <w:t xml:space="preserve"> see Table 3 for dosing regimen</w:t>
      </w:r>
      <w:r w:rsidRPr="000A093B">
        <w:rPr>
          <w:i w:val="0"/>
          <w:sz w:val="22"/>
          <w:lang w:val="en-GB"/>
        </w:rPr>
        <w:t xml:space="preserve"> recommendations</w:t>
      </w:r>
      <w:r>
        <w:rPr>
          <w:i w:val="0"/>
          <w:sz w:val="22"/>
          <w:szCs w:val="22"/>
          <w:lang w:val="en-GB"/>
        </w:rPr>
        <w:t xml:space="preserve">. </w:t>
      </w:r>
    </w:p>
    <w:p w14:paraId="0A4E5177" w14:textId="77777777" w:rsidR="0015507C" w:rsidRPr="0048277A" w:rsidRDefault="0015507C" w:rsidP="00802A13">
      <w:pPr>
        <w:pStyle w:val="labeltextheading"/>
        <w:keepNext w:val="0"/>
        <w:widowControl w:val="0"/>
        <w:rPr>
          <w:sz w:val="22"/>
          <w:szCs w:val="22"/>
          <w:lang w:val="en-GB"/>
        </w:rPr>
      </w:pPr>
    </w:p>
    <w:p w14:paraId="7997E631" w14:textId="152D0DCC" w:rsidR="00AD2360" w:rsidRDefault="005A3D7D" w:rsidP="00E238A9">
      <w:pPr>
        <w:pStyle w:val="labeltext"/>
        <w:keepNext/>
        <w:widowControl w:val="0"/>
        <w:spacing w:after="120"/>
        <w:rPr>
          <w:b/>
          <w:color w:val="000000" w:themeColor="text1"/>
          <w:sz w:val="22"/>
          <w:szCs w:val="22"/>
        </w:rPr>
      </w:pPr>
      <w:r w:rsidRPr="0048277A">
        <w:rPr>
          <w:b/>
          <w:color w:val="000000" w:themeColor="text1"/>
          <w:sz w:val="22"/>
          <w:szCs w:val="22"/>
        </w:rPr>
        <w:t>Table </w:t>
      </w:r>
      <w:r w:rsidR="002C5C21">
        <w:rPr>
          <w:b/>
          <w:color w:val="000000" w:themeColor="text1"/>
          <w:sz w:val="22"/>
          <w:szCs w:val="22"/>
        </w:rPr>
        <w:t>3</w:t>
      </w:r>
      <w:r w:rsidRPr="0048277A">
        <w:rPr>
          <w:b/>
          <w:color w:val="000000" w:themeColor="text1"/>
          <w:sz w:val="22"/>
          <w:szCs w:val="22"/>
        </w:rPr>
        <w:t xml:space="preserve">: </w:t>
      </w:r>
      <w:r w:rsidR="00C813D0">
        <w:rPr>
          <w:b/>
          <w:color w:val="000000" w:themeColor="text1"/>
          <w:sz w:val="22"/>
          <w:szCs w:val="22"/>
        </w:rPr>
        <w:t>R</w:t>
      </w:r>
      <w:r w:rsidRPr="0048277A">
        <w:rPr>
          <w:b/>
          <w:color w:val="000000" w:themeColor="text1"/>
          <w:sz w:val="22"/>
          <w:szCs w:val="22"/>
        </w:rPr>
        <w:t xml:space="preserve">ecommendations for patients with </w:t>
      </w:r>
      <w:r w:rsidR="00DC2749">
        <w:rPr>
          <w:b/>
          <w:color w:val="000000" w:themeColor="text1"/>
          <w:sz w:val="22"/>
          <w:szCs w:val="22"/>
        </w:rPr>
        <w:t xml:space="preserve">moderate or severe </w:t>
      </w:r>
      <w:r w:rsidRPr="0048277A">
        <w:rPr>
          <w:b/>
          <w:color w:val="000000" w:themeColor="text1"/>
          <w:sz w:val="22"/>
          <w:szCs w:val="22"/>
        </w:rPr>
        <w:t xml:space="preserve">hepatic impairment </w:t>
      </w:r>
    </w:p>
    <w:tbl>
      <w:tblPr>
        <w:tblW w:w="52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4673"/>
        <w:gridCol w:w="3541"/>
      </w:tblGrid>
      <w:tr w:rsidR="00476058" w14:paraId="751BC619" w14:textId="77777777" w:rsidTr="000A093B">
        <w:tc>
          <w:tcPr>
            <w:tcW w:w="671" w:type="pct"/>
          </w:tcPr>
          <w:p w14:paraId="07FC7E05" w14:textId="77777777" w:rsidR="00E238A9" w:rsidRPr="00E238A9" w:rsidRDefault="00E238A9" w:rsidP="00E238A9">
            <w:pPr>
              <w:rPr>
                <w:b/>
              </w:rPr>
            </w:pPr>
          </w:p>
        </w:tc>
        <w:tc>
          <w:tcPr>
            <w:tcW w:w="2463" w:type="pct"/>
          </w:tcPr>
          <w:p w14:paraId="7C7B365E" w14:textId="77777777" w:rsidR="00E238A9" w:rsidRPr="00E238A9" w:rsidRDefault="005A3D7D" w:rsidP="00E238A9">
            <w:pPr>
              <w:jc w:val="center"/>
              <w:rPr>
                <w:b/>
              </w:rPr>
            </w:pPr>
            <w:r w:rsidRPr="00E238A9">
              <w:rPr>
                <w:b/>
              </w:rPr>
              <w:t>Moderate (Child-Pugh Cl</w:t>
            </w:r>
            <w:r w:rsidRPr="00E238A9">
              <w:rPr>
                <w:b/>
              </w:rPr>
              <w:t>ass B)</w:t>
            </w:r>
          </w:p>
        </w:tc>
        <w:tc>
          <w:tcPr>
            <w:tcW w:w="1866" w:type="pct"/>
          </w:tcPr>
          <w:p w14:paraId="1DE1A8F7" w14:textId="77777777" w:rsidR="00E238A9" w:rsidRPr="00E238A9" w:rsidRDefault="005A3D7D" w:rsidP="00E238A9">
            <w:pPr>
              <w:jc w:val="center"/>
              <w:rPr>
                <w:b/>
              </w:rPr>
            </w:pPr>
            <w:r w:rsidRPr="00E238A9">
              <w:rPr>
                <w:b/>
              </w:rPr>
              <w:t>Severe (Child-Pugh Class C)</w:t>
            </w:r>
          </w:p>
        </w:tc>
      </w:tr>
    </w:tbl>
    <w:tbl>
      <w:tblPr>
        <w:tblStyle w:val="TableGrid"/>
        <w:tblW w:w="9493" w:type="dxa"/>
        <w:tblLayout w:type="fixed"/>
        <w:tblLook w:val="04A0" w:firstRow="1" w:lastRow="0" w:firstColumn="1" w:lastColumn="0" w:noHBand="0" w:noVBand="1"/>
      </w:tblPr>
      <w:tblGrid>
        <w:gridCol w:w="1240"/>
        <w:gridCol w:w="4709"/>
        <w:gridCol w:w="3544"/>
      </w:tblGrid>
      <w:tr w:rsidR="00476058" w14:paraId="17A0DC95" w14:textId="77777777" w:rsidTr="00E238A9">
        <w:tc>
          <w:tcPr>
            <w:tcW w:w="9493" w:type="dxa"/>
            <w:gridSpan w:val="3"/>
            <w:shd w:val="clear" w:color="auto" w:fill="auto"/>
          </w:tcPr>
          <w:p w14:paraId="458B9A07" w14:textId="77777777" w:rsidR="00E238A9" w:rsidRPr="00805A42" w:rsidRDefault="005A3D7D" w:rsidP="00E238A9">
            <w:pPr>
              <w:widowControl w:val="0"/>
              <w:rPr>
                <w:b/>
                <w:bCs/>
                <w:sz w:val="20"/>
                <w:szCs w:val="20"/>
              </w:rPr>
            </w:pPr>
            <w:r>
              <w:rPr>
                <w:b/>
                <w:bCs/>
                <w:sz w:val="20"/>
                <w:szCs w:val="20"/>
              </w:rPr>
              <w:t>Ivacaftor as m</w:t>
            </w:r>
            <w:r w:rsidRPr="00805A42">
              <w:rPr>
                <w:b/>
                <w:bCs/>
                <w:sz w:val="20"/>
                <w:szCs w:val="20"/>
              </w:rPr>
              <w:t>onotherapy</w:t>
            </w:r>
          </w:p>
        </w:tc>
      </w:tr>
      <w:tr w:rsidR="00476058" w14:paraId="745C9441" w14:textId="77777777" w:rsidTr="00E238A9">
        <w:tc>
          <w:tcPr>
            <w:tcW w:w="1240" w:type="dxa"/>
          </w:tcPr>
          <w:p w14:paraId="113AF209" w14:textId="77777777" w:rsidR="00E238A9" w:rsidRPr="00805A42" w:rsidRDefault="005A3D7D" w:rsidP="00E238A9">
            <w:pPr>
              <w:widowControl w:val="0"/>
              <w:rPr>
                <w:sz w:val="20"/>
                <w:szCs w:val="20"/>
              </w:rPr>
            </w:pPr>
            <w:r w:rsidRPr="00805A42">
              <w:rPr>
                <w:sz w:val="20"/>
                <w:szCs w:val="20"/>
              </w:rPr>
              <w:t>6</w:t>
            </w:r>
            <w:r>
              <w:rPr>
                <w:sz w:val="20"/>
                <w:szCs w:val="20"/>
              </w:rPr>
              <w:t> years</w:t>
            </w:r>
            <w:r w:rsidRPr="00805A42">
              <w:rPr>
                <w:sz w:val="20"/>
                <w:szCs w:val="20"/>
              </w:rPr>
              <w:t xml:space="preserve"> and older,</w:t>
            </w:r>
            <w:r w:rsidRPr="00805A42">
              <w:rPr>
                <w:sz w:val="20"/>
                <w:szCs w:val="20"/>
              </w:rPr>
              <w:br/>
              <w:t>≥25</w:t>
            </w:r>
            <w:r>
              <w:rPr>
                <w:sz w:val="20"/>
                <w:szCs w:val="20"/>
              </w:rPr>
              <w:t> </w:t>
            </w:r>
            <w:r w:rsidRPr="00805A42">
              <w:rPr>
                <w:sz w:val="20"/>
                <w:szCs w:val="20"/>
              </w:rPr>
              <w:t>kg</w:t>
            </w:r>
          </w:p>
        </w:tc>
        <w:tc>
          <w:tcPr>
            <w:tcW w:w="4709" w:type="dxa"/>
          </w:tcPr>
          <w:p w14:paraId="1D63F5B3" w14:textId="77777777" w:rsidR="00E238A9" w:rsidRDefault="005A3D7D" w:rsidP="00E238A9">
            <w:pPr>
              <w:widowControl w:val="0"/>
              <w:rPr>
                <w:sz w:val="20"/>
                <w:szCs w:val="20"/>
              </w:rPr>
            </w:pPr>
            <w:r w:rsidRPr="00922CCE">
              <w:rPr>
                <w:sz w:val="20"/>
                <w:szCs w:val="20"/>
              </w:rPr>
              <w:t>One</w:t>
            </w:r>
            <w:r>
              <w:rPr>
                <w:sz w:val="20"/>
                <w:szCs w:val="20"/>
              </w:rPr>
              <w:t xml:space="preserve"> morning</w:t>
            </w:r>
            <w:r w:rsidRPr="00922CCE">
              <w:rPr>
                <w:sz w:val="20"/>
                <w:szCs w:val="20"/>
              </w:rPr>
              <w:t xml:space="preserve"> tablet of ivacaftor</w:t>
            </w:r>
            <w:r>
              <w:rPr>
                <w:sz w:val="20"/>
                <w:szCs w:val="20"/>
              </w:rPr>
              <w:t> </w:t>
            </w:r>
            <w:r w:rsidRPr="00922CCE">
              <w:rPr>
                <w:sz w:val="20"/>
                <w:szCs w:val="20"/>
              </w:rPr>
              <w:t>150 mg once daily</w:t>
            </w:r>
            <w:r>
              <w:rPr>
                <w:sz w:val="20"/>
                <w:szCs w:val="20"/>
              </w:rPr>
              <w:t xml:space="preserve">. </w:t>
            </w:r>
          </w:p>
          <w:p w14:paraId="1ED590DF" w14:textId="77777777" w:rsidR="00E238A9" w:rsidRDefault="00E238A9" w:rsidP="00E238A9">
            <w:pPr>
              <w:widowControl w:val="0"/>
              <w:rPr>
                <w:sz w:val="20"/>
                <w:szCs w:val="20"/>
              </w:rPr>
            </w:pPr>
          </w:p>
          <w:p w14:paraId="02238160" w14:textId="77777777" w:rsidR="00E238A9" w:rsidRPr="00922CCE" w:rsidRDefault="005A3D7D" w:rsidP="00E238A9">
            <w:pPr>
              <w:widowControl w:val="0"/>
              <w:rPr>
                <w:sz w:val="20"/>
                <w:szCs w:val="20"/>
              </w:rPr>
            </w:pPr>
            <w:r>
              <w:rPr>
                <w:sz w:val="20"/>
                <w:szCs w:val="20"/>
              </w:rPr>
              <w:t>No evening dose.</w:t>
            </w:r>
          </w:p>
        </w:tc>
        <w:tc>
          <w:tcPr>
            <w:tcW w:w="3544" w:type="dxa"/>
          </w:tcPr>
          <w:p w14:paraId="2726E27E" w14:textId="77777777" w:rsidR="00E238A9" w:rsidRDefault="005A3D7D" w:rsidP="00E238A9">
            <w:pPr>
              <w:widowControl w:val="0"/>
              <w:rPr>
                <w:sz w:val="20"/>
                <w:szCs w:val="20"/>
              </w:rPr>
            </w:pPr>
            <w:r>
              <w:rPr>
                <w:sz w:val="20"/>
                <w:szCs w:val="20"/>
              </w:rPr>
              <w:t xml:space="preserve">Use is not recommended unless the benefits are expected to outweigh the risks. </w:t>
            </w:r>
          </w:p>
          <w:p w14:paraId="19CBD278" w14:textId="77777777" w:rsidR="00E238A9" w:rsidRDefault="00E238A9" w:rsidP="00E238A9">
            <w:pPr>
              <w:widowControl w:val="0"/>
              <w:rPr>
                <w:sz w:val="20"/>
                <w:szCs w:val="20"/>
              </w:rPr>
            </w:pPr>
          </w:p>
          <w:p w14:paraId="3B561624" w14:textId="77777777" w:rsidR="00E238A9" w:rsidRDefault="005A3D7D" w:rsidP="00E238A9">
            <w:pPr>
              <w:widowControl w:val="0"/>
              <w:rPr>
                <w:sz w:val="20"/>
                <w:szCs w:val="20"/>
              </w:rPr>
            </w:pPr>
            <w:r>
              <w:rPr>
                <w:sz w:val="20"/>
                <w:szCs w:val="20"/>
              </w:rPr>
              <w:t>In such cases, take o</w:t>
            </w:r>
            <w:r w:rsidRPr="00805A42">
              <w:rPr>
                <w:sz w:val="20"/>
                <w:szCs w:val="20"/>
              </w:rPr>
              <w:t xml:space="preserve">ne </w:t>
            </w:r>
            <w:r>
              <w:rPr>
                <w:sz w:val="20"/>
                <w:szCs w:val="20"/>
              </w:rPr>
              <w:t xml:space="preserve">morning </w:t>
            </w:r>
            <w:r w:rsidRPr="00805A42">
              <w:rPr>
                <w:sz w:val="20"/>
                <w:szCs w:val="20"/>
              </w:rPr>
              <w:t>tablet of ivacaftor</w:t>
            </w:r>
            <w:r>
              <w:rPr>
                <w:sz w:val="20"/>
                <w:szCs w:val="20"/>
              </w:rPr>
              <w:t> </w:t>
            </w:r>
            <w:r w:rsidRPr="00805A42">
              <w:rPr>
                <w:sz w:val="20"/>
                <w:szCs w:val="20"/>
              </w:rPr>
              <w:t xml:space="preserve">150 mg </w:t>
            </w:r>
            <w:r>
              <w:rPr>
                <w:sz w:val="20"/>
                <w:szCs w:val="20"/>
              </w:rPr>
              <w:t xml:space="preserve">every other day or less frequently. </w:t>
            </w:r>
          </w:p>
          <w:p w14:paraId="709C4708" w14:textId="77777777" w:rsidR="00E238A9" w:rsidRDefault="00E238A9" w:rsidP="00E238A9">
            <w:pPr>
              <w:widowControl w:val="0"/>
              <w:rPr>
                <w:sz w:val="20"/>
                <w:szCs w:val="20"/>
              </w:rPr>
            </w:pPr>
          </w:p>
          <w:p w14:paraId="365DE396" w14:textId="77777777" w:rsidR="00E238A9" w:rsidRDefault="005A3D7D" w:rsidP="00E238A9">
            <w:pPr>
              <w:widowControl w:val="0"/>
              <w:rPr>
                <w:sz w:val="20"/>
                <w:szCs w:val="20"/>
              </w:rPr>
            </w:pPr>
            <w:r>
              <w:rPr>
                <w:sz w:val="20"/>
                <w:szCs w:val="20"/>
              </w:rPr>
              <w:t>Dosing interval should be modified according to clinical response and tolerabi</w:t>
            </w:r>
            <w:r>
              <w:rPr>
                <w:sz w:val="20"/>
                <w:szCs w:val="20"/>
              </w:rPr>
              <w:t xml:space="preserve">lity. </w:t>
            </w:r>
          </w:p>
          <w:p w14:paraId="4AF0B7B3" w14:textId="77777777" w:rsidR="00E238A9" w:rsidRDefault="00E238A9" w:rsidP="00E238A9">
            <w:pPr>
              <w:widowControl w:val="0"/>
              <w:rPr>
                <w:sz w:val="20"/>
                <w:szCs w:val="20"/>
              </w:rPr>
            </w:pPr>
          </w:p>
          <w:p w14:paraId="0FC42F70" w14:textId="77777777" w:rsidR="00E238A9" w:rsidRPr="00805A42" w:rsidRDefault="005A3D7D" w:rsidP="00E238A9">
            <w:pPr>
              <w:widowControl w:val="0"/>
              <w:rPr>
                <w:sz w:val="20"/>
                <w:szCs w:val="20"/>
              </w:rPr>
            </w:pPr>
            <w:r>
              <w:rPr>
                <w:sz w:val="20"/>
                <w:szCs w:val="20"/>
              </w:rPr>
              <w:t>No evening dose.</w:t>
            </w:r>
          </w:p>
        </w:tc>
      </w:tr>
      <w:tr w:rsidR="00476058" w14:paraId="753D1790" w14:textId="77777777" w:rsidTr="00E238A9">
        <w:tc>
          <w:tcPr>
            <w:tcW w:w="9493" w:type="dxa"/>
            <w:gridSpan w:val="3"/>
            <w:shd w:val="clear" w:color="auto" w:fill="auto"/>
          </w:tcPr>
          <w:p w14:paraId="1EB08723" w14:textId="77777777" w:rsidR="00E238A9" w:rsidRPr="00805A42" w:rsidRDefault="005A3D7D" w:rsidP="000A093B">
            <w:pPr>
              <w:keepNext/>
              <w:widowControl w:val="0"/>
              <w:rPr>
                <w:b/>
                <w:bCs/>
                <w:sz w:val="20"/>
                <w:szCs w:val="20"/>
              </w:rPr>
            </w:pPr>
            <w:r>
              <w:rPr>
                <w:b/>
                <w:bCs/>
                <w:sz w:val="20"/>
                <w:szCs w:val="20"/>
              </w:rPr>
              <w:t>Ivacaftor</w:t>
            </w:r>
            <w:r w:rsidRPr="00805A42">
              <w:rPr>
                <w:b/>
                <w:bCs/>
                <w:sz w:val="20"/>
                <w:szCs w:val="20"/>
              </w:rPr>
              <w:t xml:space="preserve"> in a combination regimen with tezacaftor/ivacaftor</w:t>
            </w:r>
          </w:p>
        </w:tc>
      </w:tr>
      <w:tr w:rsidR="00476058" w14:paraId="7E89C0F3" w14:textId="77777777" w:rsidTr="00E238A9">
        <w:tc>
          <w:tcPr>
            <w:tcW w:w="1240" w:type="dxa"/>
          </w:tcPr>
          <w:p w14:paraId="43BDE4F3" w14:textId="77777777" w:rsidR="00E238A9" w:rsidRPr="00805A42" w:rsidRDefault="005A3D7D" w:rsidP="000A093B">
            <w:pPr>
              <w:keepNext/>
              <w:widowControl w:val="0"/>
              <w:rPr>
                <w:sz w:val="20"/>
                <w:szCs w:val="20"/>
              </w:rPr>
            </w:pPr>
            <w:r w:rsidRPr="00805A42">
              <w:rPr>
                <w:sz w:val="20"/>
                <w:szCs w:val="20"/>
              </w:rPr>
              <w:t>12</w:t>
            </w:r>
            <w:r>
              <w:rPr>
                <w:sz w:val="20"/>
                <w:szCs w:val="20"/>
              </w:rPr>
              <w:t> </w:t>
            </w:r>
            <w:r w:rsidRPr="00805A42">
              <w:rPr>
                <w:sz w:val="20"/>
                <w:szCs w:val="20"/>
              </w:rPr>
              <w:t>years</w:t>
            </w:r>
            <w:r>
              <w:rPr>
                <w:sz w:val="20"/>
                <w:szCs w:val="20"/>
              </w:rPr>
              <w:t xml:space="preserve"> and older</w:t>
            </w:r>
          </w:p>
        </w:tc>
        <w:tc>
          <w:tcPr>
            <w:tcW w:w="4709" w:type="dxa"/>
          </w:tcPr>
          <w:p w14:paraId="67051F02" w14:textId="77777777" w:rsidR="00E238A9" w:rsidRDefault="005A3D7D" w:rsidP="000A093B">
            <w:pPr>
              <w:keepNext/>
              <w:widowControl w:val="0"/>
              <w:rPr>
                <w:sz w:val="20"/>
                <w:szCs w:val="20"/>
              </w:rPr>
            </w:pPr>
            <w:r w:rsidRPr="00805A42">
              <w:rPr>
                <w:sz w:val="20"/>
                <w:szCs w:val="20"/>
              </w:rPr>
              <w:t>One</w:t>
            </w:r>
            <w:r>
              <w:rPr>
                <w:sz w:val="20"/>
                <w:szCs w:val="20"/>
              </w:rPr>
              <w:t xml:space="preserve"> morning</w:t>
            </w:r>
            <w:r w:rsidRPr="00805A42">
              <w:rPr>
                <w:sz w:val="20"/>
                <w:szCs w:val="20"/>
              </w:rPr>
              <w:t xml:space="preserve"> tablet of tezacaftor</w:t>
            </w:r>
            <w:r>
              <w:rPr>
                <w:sz w:val="20"/>
                <w:szCs w:val="20"/>
              </w:rPr>
              <w:t> </w:t>
            </w:r>
            <w:r w:rsidRPr="00805A42">
              <w:rPr>
                <w:sz w:val="20"/>
                <w:szCs w:val="20"/>
              </w:rPr>
              <w:t>100</w:t>
            </w:r>
            <w:r>
              <w:rPr>
                <w:sz w:val="20"/>
                <w:szCs w:val="20"/>
              </w:rPr>
              <w:t> </w:t>
            </w:r>
            <w:r w:rsidRPr="00805A42">
              <w:rPr>
                <w:sz w:val="20"/>
                <w:szCs w:val="20"/>
              </w:rPr>
              <w:t>mg/ivacaftor</w:t>
            </w:r>
            <w:r>
              <w:rPr>
                <w:sz w:val="20"/>
                <w:szCs w:val="20"/>
              </w:rPr>
              <w:t> </w:t>
            </w:r>
            <w:r w:rsidRPr="00805A42">
              <w:rPr>
                <w:sz w:val="20"/>
                <w:szCs w:val="20"/>
              </w:rPr>
              <w:t>150</w:t>
            </w:r>
            <w:r>
              <w:rPr>
                <w:sz w:val="20"/>
                <w:szCs w:val="20"/>
              </w:rPr>
              <w:t> </w:t>
            </w:r>
            <w:r w:rsidRPr="00805A42">
              <w:rPr>
                <w:sz w:val="20"/>
                <w:szCs w:val="20"/>
              </w:rPr>
              <w:t>mg once daily</w:t>
            </w:r>
            <w:r>
              <w:rPr>
                <w:sz w:val="20"/>
                <w:szCs w:val="20"/>
              </w:rPr>
              <w:t>.</w:t>
            </w:r>
          </w:p>
          <w:p w14:paraId="4A837CAC" w14:textId="77777777" w:rsidR="00E238A9" w:rsidRDefault="00E238A9" w:rsidP="000A093B">
            <w:pPr>
              <w:keepNext/>
              <w:widowControl w:val="0"/>
              <w:rPr>
                <w:sz w:val="20"/>
                <w:szCs w:val="20"/>
              </w:rPr>
            </w:pPr>
          </w:p>
          <w:p w14:paraId="3152B05F" w14:textId="77777777" w:rsidR="00E238A9" w:rsidRPr="00805A42" w:rsidRDefault="005A3D7D" w:rsidP="000A093B">
            <w:pPr>
              <w:keepNext/>
              <w:widowControl w:val="0"/>
              <w:rPr>
                <w:sz w:val="20"/>
                <w:szCs w:val="20"/>
              </w:rPr>
            </w:pPr>
            <w:r>
              <w:rPr>
                <w:sz w:val="20"/>
                <w:szCs w:val="20"/>
              </w:rPr>
              <w:t>No evening dose.</w:t>
            </w:r>
          </w:p>
        </w:tc>
        <w:tc>
          <w:tcPr>
            <w:tcW w:w="3544" w:type="dxa"/>
          </w:tcPr>
          <w:p w14:paraId="4C44F6D7" w14:textId="77777777" w:rsidR="00E238A9" w:rsidRDefault="005A3D7D" w:rsidP="000A093B">
            <w:pPr>
              <w:keepNext/>
              <w:widowControl w:val="0"/>
              <w:rPr>
                <w:sz w:val="20"/>
                <w:szCs w:val="20"/>
              </w:rPr>
            </w:pPr>
            <w:r>
              <w:rPr>
                <w:sz w:val="20"/>
                <w:szCs w:val="20"/>
              </w:rPr>
              <w:t xml:space="preserve">Use is not recommended unless the benefits are expected to outweigh the risks. </w:t>
            </w:r>
          </w:p>
          <w:p w14:paraId="0CBE7724" w14:textId="77777777" w:rsidR="00E238A9" w:rsidRDefault="00E238A9" w:rsidP="000A093B">
            <w:pPr>
              <w:keepNext/>
              <w:widowControl w:val="0"/>
              <w:rPr>
                <w:sz w:val="20"/>
                <w:szCs w:val="20"/>
              </w:rPr>
            </w:pPr>
          </w:p>
          <w:p w14:paraId="01ED5C2D" w14:textId="77777777" w:rsidR="00E238A9" w:rsidRDefault="005A3D7D" w:rsidP="000A093B">
            <w:pPr>
              <w:keepNext/>
              <w:widowControl w:val="0"/>
              <w:rPr>
                <w:sz w:val="20"/>
                <w:szCs w:val="20"/>
              </w:rPr>
            </w:pPr>
            <w:r>
              <w:rPr>
                <w:sz w:val="20"/>
                <w:szCs w:val="20"/>
              </w:rPr>
              <w:t>In such cases, take o</w:t>
            </w:r>
            <w:r w:rsidRPr="00805A42">
              <w:rPr>
                <w:sz w:val="20"/>
                <w:szCs w:val="20"/>
              </w:rPr>
              <w:t>ne</w:t>
            </w:r>
            <w:r>
              <w:rPr>
                <w:sz w:val="20"/>
                <w:szCs w:val="20"/>
              </w:rPr>
              <w:t xml:space="preserve"> morning</w:t>
            </w:r>
            <w:r w:rsidRPr="00805A42">
              <w:rPr>
                <w:sz w:val="20"/>
                <w:szCs w:val="20"/>
              </w:rPr>
              <w:t xml:space="preserve"> tablet of tezacaftor</w:t>
            </w:r>
            <w:r>
              <w:rPr>
                <w:sz w:val="20"/>
                <w:szCs w:val="20"/>
              </w:rPr>
              <w:t> </w:t>
            </w:r>
            <w:r w:rsidRPr="00805A42">
              <w:rPr>
                <w:sz w:val="20"/>
                <w:szCs w:val="20"/>
              </w:rPr>
              <w:t>100 mg/ivacaftor</w:t>
            </w:r>
            <w:r>
              <w:rPr>
                <w:sz w:val="20"/>
                <w:szCs w:val="20"/>
              </w:rPr>
              <w:t> </w:t>
            </w:r>
            <w:r w:rsidRPr="00805A42">
              <w:rPr>
                <w:sz w:val="20"/>
                <w:szCs w:val="20"/>
              </w:rPr>
              <w:t>150 mg</w:t>
            </w:r>
            <w:r w:rsidRPr="00805A42">
              <w:rPr>
                <w:bCs/>
                <w:sz w:val="20"/>
                <w:szCs w:val="20"/>
              </w:rPr>
              <w:t xml:space="preserve"> </w:t>
            </w:r>
            <w:r w:rsidRPr="00805A42">
              <w:rPr>
                <w:sz w:val="20"/>
                <w:szCs w:val="20"/>
              </w:rPr>
              <w:t>once daily or less frequently</w:t>
            </w:r>
            <w:r>
              <w:rPr>
                <w:sz w:val="20"/>
                <w:szCs w:val="20"/>
              </w:rPr>
              <w:t xml:space="preserve">. </w:t>
            </w:r>
          </w:p>
          <w:p w14:paraId="09F5D164" w14:textId="77777777" w:rsidR="00E238A9" w:rsidRDefault="00E238A9" w:rsidP="000A093B">
            <w:pPr>
              <w:keepNext/>
              <w:widowControl w:val="0"/>
              <w:rPr>
                <w:sz w:val="20"/>
                <w:szCs w:val="20"/>
              </w:rPr>
            </w:pPr>
          </w:p>
          <w:p w14:paraId="366E8ECC" w14:textId="77777777" w:rsidR="00E238A9" w:rsidRDefault="005A3D7D" w:rsidP="000A093B">
            <w:pPr>
              <w:keepNext/>
              <w:widowControl w:val="0"/>
              <w:rPr>
                <w:sz w:val="20"/>
                <w:szCs w:val="20"/>
              </w:rPr>
            </w:pPr>
            <w:r>
              <w:rPr>
                <w:sz w:val="20"/>
                <w:szCs w:val="20"/>
              </w:rPr>
              <w:t xml:space="preserve">Dosing interval should be modified according to clinical response and tolerability. </w:t>
            </w:r>
          </w:p>
          <w:p w14:paraId="4A68EBAF" w14:textId="77777777" w:rsidR="00E238A9" w:rsidRDefault="00E238A9" w:rsidP="000A093B">
            <w:pPr>
              <w:keepNext/>
              <w:widowControl w:val="0"/>
              <w:rPr>
                <w:sz w:val="20"/>
                <w:szCs w:val="20"/>
              </w:rPr>
            </w:pPr>
          </w:p>
          <w:p w14:paraId="36268359" w14:textId="77777777" w:rsidR="00E238A9" w:rsidRPr="00805A42" w:rsidRDefault="005A3D7D" w:rsidP="000A093B">
            <w:pPr>
              <w:keepNext/>
              <w:widowControl w:val="0"/>
              <w:rPr>
                <w:sz w:val="20"/>
                <w:szCs w:val="20"/>
              </w:rPr>
            </w:pPr>
            <w:r>
              <w:rPr>
                <w:sz w:val="20"/>
                <w:szCs w:val="20"/>
              </w:rPr>
              <w:t>No evening dose.</w:t>
            </w:r>
          </w:p>
        </w:tc>
      </w:tr>
      <w:tr w:rsidR="00476058" w14:paraId="1D0D1593" w14:textId="77777777" w:rsidTr="00E238A9">
        <w:tc>
          <w:tcPr>
            <w:tcW w:w="9493" w:type="dxa"/>
            <w:gridSpan w:val="3"/>
            <w:tcBorders>
              <w:bottom w:val="single" w:sz="4" w:space="0" w:color="auto"/>
            </w:tcBorders>
            <w:shd w:val="clear" w:color="auto" w:fill="auto"/>
          </w:tcPr>
          <w:p w14:paraId="05BC1F65" w14:textId="77777777" w:rsidR="00E238A9" w:rsidRPr="00805A42" w:rsidRDefault="005A3D7D" w:rsidP="00E238A9">
            <w:pPr>
              <w:widowControl w:val="0"/>
              <w:rPr>
                <w:b/>
                <w:bCs/>
                <w:sz w:val="20"/>
                <w:szCs w:val="20"/>
              </w:rPr>
            </w:pPr>
            <w:r>
              <w:rPr>
                <w:b/>
                <w:bCs/>
                <w:sz w:val="20"/>
                <w:szCs w:val="20"/>
              </w:rPr>
              <w:t>Ivacaftor</w:t>
            </w:r>
            <w:r w:rsidRPr="00805A42">
              <w:rPr>
                <w:b/>
                <w:bCs/>
                <w:sz w:val="20"/>
                <w:szCs w:val="20"/>
              </w:rPr>
              <w:t xml:space="preserve"> in a combination regimen with </w:t>
            </w:r>
            <w:r>
              <w:rPr>
                <w:b/>
                <w:bCs/>
                <w:sz w:val="20"/>
                <w:szCs w:val="20"/>
              </w:rPr>
              <w:t xml:space="preserve">ivacaftor/tezacaftor/elexacaftor </w:t>
            </w:r>
          </w:p>
        </w:tc>
      </w:tr>
      <w:tr w:rsidR="00476058" w14:paraId="5C1BF64B" w14:textId="77777777" w:rsidTr="00E238A9">
        <w:tc>
          <w:tcPr>
            <w:tcW w:w="1240" w:type="dxa"/>
            <w:tcBorders>
              <w:bottom w:val="single" w:sz="4" w:space="0" w:color="auto"/>
            </w:tcBorders>
          </w:tcPr>
          <w:p w14:paraId="1A015E81" w14:textId="77777777" w:rsidR="00E238A9" w:rsidRPr="00805A42" w:rsidRDefault="005A3D7D" w:rsidP="00E238A9">
            <w:pPr>
              <w:widowControl w:val="0"/>
              <w:rPr>
                <w:sz w:val="20"/>
                <w:szCs w:val="20"/>
              </w:rPr>
            </w:pPr>
            <w:r w:rsidRPr="00805A42">
              <w:rPr>
                <w:sz w:val="20"/>
                <w:szCs w:val="20"/>
              </w:rPr>
              <w:t>12</w:t>
            </w:r>
            <w:r>
              <w:rPr>
                <w:sz w:val="20"/>
                <w:szCs w:val="20"/>
              </w:rPr>
              <w:t> </w:t>
            </w:r>
            <w:r w:rsidRPr="00805A42">
              <w:rPr>
                <w:sz w:val="20"/>
                <w:szCs w:val="20"/>
              </w:rPr>
              <w:t>years and older</w:t>
            </w:r>
          </w:p>
        </w:tc>
        <w:tc>
          <w:tcPr>
            <w:tcW w:w="4709" w:type="dxa"/>
            <w:tcBorders>
              <w:bottom w:val="single" w:sz="4" w:space="0" w:color="auto"/>
            </w:tcBorders>
          </w:tcPr>
          <w:p w14:paraId="419333E2" w14:textId="77777777" w:rsidR="00E238A9" w:rsidRDefault="005A3D7D" w:rsidP="00E238A9">
            <w:pPr>
              <w:widowControl w:val="0"/>
              <w:rPr>
                <w:sz w:val="20"/>
                <w:szCs w:val="20"/>
              </w:rPr>
            </w:pPr>
            <w:r>
              <w:rPr>
                <w:sz w:val="20"/>
                <w:szCs w:val="20"/>
              </w:rPr>
              <w:t>Use not recommended.</w:t>
            </w:r>
          </w:p>
          <w:p w14:paraId="473A47B5" w14:textId="77777777" w:rsidR="00E238A9" w:rsidRDefault="005A3D7D" w:rsidP="00E238A9">
            <w:pPr>
              <w:widowControl w:val="0"/>
              <w:rPr>
                <w:sz w:val="20"/>
                <w:szCs w:val="20"/>
              </w:rPr>
            </w:pPr>
            <w:r>
              <w:rPr>
                <w:sz w:val="20"/>
                <w:szCs w:val="20"/>
              </w:rPr>
              <w:t xml:space="preserve">Use should only be </w:t>
            </w:r>
            <w:r>
              <w:rPr>
                <w:sz w:val="20"/>
                <w:szCs w:val="20"/>
              </w:rPr>
              <w:t>considered when there is a clear medical need and the benefits are expected to outweigh the risks.</w:t>
            </w:r>
          </w:p>
          <w:p w14:paraId="21DDC618" w14:textId="77777777" w:rsidR="00E238A9" w:rsidRDefault="00E238A9" w:rsidP="00E238A9">
            <w:pPr>
              <w:widowControl w:val="0"/>
              <w:rPr>
                <w:sz w:val="20"/>
                <w:szCs w:val="20"/>
              </w:rPr>
            </w:pPr>
          </w:p>
          <w:p w14:paraId="54054A4E" w14:textId="77777777" w:rsidR="00E238A9" w:rsidRDefault="005A3D7D" w:rsidP="00E238A9">
            <w:pPr>
              <w:widowControl w:val="0"/>
              <w:rPr>
                <w:sz w:val="20"/>
                <w:szCs w:val="20"/>
              </w:rPr>
            </w:pPr>
            <w:r>
              <w:rPr>
                <w:sz w:val="20"/>
                <w:szCs w:val="20"/>
              </w:rPr>
              <w:t>If used: alternate each day between two ivacaftor 75 mg/tezacaftor 50 mg/elexacaftor 100 mg tablets and one ivacaftor 75 mg/tezacaftor 50 mg/elexacaftor 100</w:t>
            </w:r>
            <w:r>
              <w:rPr>
                <w:sz w:val="20"/>
                <w:szCs w:val="20"/>
              </w:rPr>
              <w:t> mg tablet.</w:t>
            </w:r>
          </w:p>
          <w:p w14:paraId="6A006607" w14:textId="77777777" w:rsidR="00E238A9" w:rsidRDefault="00E238A9" w:rsidP="00E238A9">
            <w:pPr>
              <w:widowControl w:val="0"/>
              <w:rPr>
                <w:sz w:val="20"/>
                <w:szCs w:val="20"/>
              </w:rPr>
            </w:pPr>
          </w:p>
          <w:p w14:paraId="2C5716A0" w14:textId="77777777" w:rsidR="00E238A9" w:rsidRPr="00805A42" w:rsidRDefault="005A3D7D" w:rsidP="00E238A9">
            <w:pPr>
              <w:widowControl w:val="0"/>
              <w:rPr>
                <w:sz w:val="20"/>
                <w:szCs w:val="20"/>
              </w:rPr>
            </w:pPr>
            <w:r>
              <w:rPr>
                <w:sz w:val="20"/>
                <w:szCs w:val="20"/>
              </w:rPr>
              <w:t>No evening dose.</w:t>
            </w:r>
          </w:p>
        </w:tc>
        <w:tc>
          <w:tcPr>
            <w:tcW w:w="3544" w:type="dxa"/>
            <w:tcBorders>
              <w:bottom w:val="single" w:sz="4" w:space="0" w:color="auto"/>
            </w:tcBorders>
          </w:tcPr>
          <w:p w14:paraId="240BCA2C" w14:textId="77777777" w:rsidR="00E238A9" w:rsidRDefault="005A3D7D" w:rsidP="00E238A9">
            <w:pPr>
              <w:widowControl w:val="0"/>
              <w:rPr>
                <w:sz w:val="20"/>
                <w:szCs w:val="20"/>
              </w:rPr>
            </w:pPr>
            <w:r>
              <w:rPr>
                <w:sz w:val="20"/>
                <w:szCs w:val="20"/>
              </w:rPr>
              <w:t>Should not be used.</w:t>
            </w:r>
          </w:p>
          <w:p w14:paraId="7357CFD9" w14:textId="77777777" w:rsidR="00E238A9" w:rsidRDefault="00E238A9" w:rsidP="00E238A9">
            <w:pPr>
              <w:widowControl w:val="0"/>
              <w:rPr>
                <w:sz w:val="20"/>
                <w:szCs w:val="20"/>
              </w:rPr>
            </w:pPr>
          </w:p>
          <w:p w14:paraId="0ACDBE2F" w14:textId="77777777" w:rsidR="00E238A9" w:rsidRDefault="005A3D7D" w:rsidP="00E238A9">
            <w:pPr>
              <w:widowControl w:val="0"/>
              <w:rPr>
                <w:sz w:val="20"/>
                <w:szCs w:val="20"/>
              </w:rPr>
            </w:pPr>
            <w:r>
              <w:rPr>
                <w:sz w:val="20"/>
                <w:szCs w:val="20"/>
              </w:rPr>
              <w:t>No morning ivacaftor 75 mg/tezacaftor 50 mg/elexacaftor 100 mg dose.</w:t>
            </w:r>
          </w:p>
          <w:p w14:paraId="1205B86A" w14:textId="77777777" w:rsidR="00E238A9" w:rsidRDefault="00E238A9" w:rsidP="00E238A9">
            <w:pPr>
              <w:widowControl w:val="0"/>
              <w:rPr>
                <w:sz w:val="20"/>
                <w:szCs w:val="20"/>
              </w:rPr>
            </w:pPr>
          </w:p>
          <w:p w14:paraId="00807BD9" w14:textId="77777777" w:rsidR="00E238A9" w:rsidRPr="00805A42" w:rsidRDefault="005A3D7D" w:rsidP="00E238A9">
            <w:pPr>
              <w:widowControl w:val="0"/>
              <w:rPr>
                <w:sz w:val="20"/>
                <w:szCs w:val="20"/>
              </w:rPr>
            </w:pPr>
            <w:r>
              <w:rPr>
                <w:sz w:val="20"/>
                <w:szCs w:val="20"/>
              </w:rPr>
              <w:t>No evening dose.</w:t>
            </w:r>
          </w:p>
        </w:tc>
      </w:tr>
      <w:bookmarkEnd w:id="2"/>
    </w:tbl>
    <w:p w14:paraId="27F6243A" w14:textId="77777777" w:rsidR="00CE6208" w:rsidRPr="000A093B" w:rsidRDefault="00CE6208" w:rsidP="000A093B">
      <w:pPr>
        <w:keepNext/>
        <w:keepLines/>
        <w:rPr>
          <w:sz w:val="16"/>
        </w:rPr>
      </w:pPr>
    </w:p>
    <w:bookmarkEnd w:id="3"/>
    <w:p w14:paraId="28D89745" w14:textId="77777777" w:rsidR="00B20DF3" w:rsidRDefault="005A3D7D" w:rsidP="006E527E">
      <w:pPr>
        <w:suppressLineNumbers/>
        <w:spacing w:line="240" w:lineRule="auto"/>
        <w:rPr>
          <w:bCs/>
          <w:iCs/>
          <w:u w:val="single"/>
        </w:rPr>
      </w:pPr>
      <w:r w:rsidRPr="00A808AC">
        <w:rPr>
          <w:bCs/>
          <w:iCs/>
          <w:u w:val="single"/>
        </w:rPr>
        <w:t>Paediatric population</w:t>
      </w:r>
    </w:p>
    <w:p w14:paraId="182FEF83" w14:textId="77777777" w:rsidR="00573B9A" w:rsidRDefault="00573B9A" w:rsidP="006E527E">
      <w:pPr>
        <w:suppressLineNumbers/>
        <w:spacing w:line="240" w:lineRule="auto"/>
        <w:rPr>
          <w:bCs/>
          <w:iCs/>
          <w:u w:val="single"/>
        </w:rPr>
      </w:pPr>
    </w:p>
    <w:p w14:paraId="020425F9" w14:textId="248A1EEE" w:rsidR="00F976E8" w:rsidRPr="00A808AC" w:rsidRDefault="005A3D7D" w:rsidP="006E527E">
      <w:pPr>
        <w:suppressLineNumbers/>
        <w:spacing w:line="240" w:lineRule="auto"/>
      </w:pPr>
      <w:r w:rsidRPr="00A808AC">
        <w:t xml:space="preserve">The safety and efficacy of </w:t>
      </w:r>
      <w:r w:rsidR="00B030FD">
        <w:t>ivacaftor</w:t>
      </w:r>
      <w:r w:rsidR="00B030FD" w:rsidRPr="00A808AC">
        <w:t xml:space="preserve"> </w:t>
      </w:r>
      <w:r w:rsidR="009C7EB9">
        <w:t xml:space="preserve">monotherapy </w:t>
      </w:r>
      <w:r w:rsidRPr="00A808AC">
        <w:t xml:space="preserve">in children aged less than </w:t>
      </w:r>
      <w:r w:rsidR="004F0618">
        <w:t>4</w:t>
      </w:r>
      <w:r w:rsidR="001A498B">
        <w:t> </w:t>
      </w:r>
      <w:r w:rsidR="00BA6A21">
        <w:t>months</w:t>
      </w:r>
      <w:r w:rsidRPr="00A808AC">
        <w:t xml:space="preserve"> have not been established. No data are available.</w:t>
      </w:r>
    </w:p>
    <w:p w14:paraId="74316977" w14:textId="77777777" w:rsidR="00136C4D" w:rsidRPr="00A808AC" w:rsidRDefault="00136C4D" w:rsidP="000D02CF">
      <w:pPr>
        <w:pStyle w:val="labeltext"/>
        <w:rPr>
          <w:sz w:val="22"/>
          <w:szCs w:val="22"/>
          <w:lang w:val="en-GB"/>
        </w:rPr>
      </w:pPr>
    </w:p>
    <w:p w14:paraId="26A7FA4A" w14:textId="15209C3D" w:rsidR="00136C4D" w:rsidRPr="00A808AC" w:rsidRDefault="005A3D7D" w:rsidP="000D02CF">
      <w:pPr>
        <w:suppressLineNumbers/>
        <w:spacing w:line="240" w:lineRule="auto"/>
        <w:rPr>
          <w:lang w:val="en-US"/>
        </w:rPr>
      </w:pPr>
      <w:r w:rsidRPr="00A808AC">
        <w:rPr>
          <w:lang w:val="en-US"/>
        </w:rPr>
        <w:t>An appropriate dose for children</w:t>
      </w:r>
      <w:r w:rsidRPr="006C1DF6">
        <w:rPr>
          <w:lang w:val="en-US"/>
        </w:rPr>
        <w:t xml:space="preserve"> </w:t>
      </w:r>
      <w:r w:rsidRPr="00A808AC">
        <w:rPr>
          <w:lang w:val="en-US"/>
        </w:rPr>
        <w:t xml:space="preserve">under 6 years of age and weighing less than 25 kg cannot be achieved with </w:t>
      </w:r>
      <w:r w:rsidR="00D571E2">
        <w:rPr>
          <w:lang w:val="en-US"/>
        </w:rPr>
        <w:t>i</w:t>
      </w:r>
      <w:r w:rsidR="009800DB">
        <w:rPr>
          <w:lang w:val="en-US"/>
        </w:rPr>
        <w:t>vacaftor</w:t>
      </w:r>
      <w:r w:rsidRPr="00A808AC">
        <w:rPr>
          <w:lang w:val="en-US"/>
        </w:rPr>
        <w:t xml:space="preserve"> tablets.</w:t>
      </w:r>
    </w:p>
    <w:p w14:paraId="15399D43" w14:textId="77777777" w:rsidR="00F976E8" w:rsidRPr="00A808AC" w:rsidRDefault="00F976E8" w:rsidP="000D02CF">
      <w:pPr>
        <w:pStyle w:val="labeltext"/>
        <w:rPr>
          <w:sz w:val="22"/>
          <w:szCs w:val="22"/>
          <w:lang w:val="en-GB"/>
        </w:rPr>
      </w:pPr>
    </w:p>
    <w:p w14:paraId="5E52C58A" w14:textId="77777777" w:rsidR="00F976E8" w:rsidRDefault="005A3D7D" w:rsidP="000D02CF">
      <w:pPr>
        <w:pStyle w:val="labeltext"/>
        <w:rPr>
          <w:sz w:val="22"/>
          <w:szCs w:val="22"/>
          <w:lang w:val="en-GB"/>
        </w:rPr>
      </w:pPr>
      <w:r>
        <w:rPr>
          <w:sz w:val="22"/>
          <w:szCs w:val="22"/>
          <w:lang w:val="en-GB"/>
        </w:rPr>
        <w:t>Limited data are available</w:t>
      </w:r>
      <w:r w:rsidR="009C7EB9">
        <w:rPr>
          <w:sz w:val="22"/>
          <w:szCs w:val="22"/>
          <w:lang w:val="en-GB"/>
        </w:rPr>
        <w:t xml:space="preserve"> </w:t>
      </w:r>
      <w:r w:rsidR="009B1867" w:rsidRPr="00A808AC">
        <w:rPr>
          <w:sz w:val="22"/>
          <w:szCs w:val="22"/>
          <w:lang w:val="en-GB"/>
        </w:rPr>
        <w:t xml:space="preserve">in patients less than </w:t>
      </w:r>
      <w:r>
        <w:rPr>
          <w:sz w:val="22"/>
          <w:szCs w:val="22"/>
          <w:lang w:val="en-GB"/>
        </w:rPr>
        <w:t>6</w:t>
      </w:r>
      <w:r w:rsidRPr="00A808AC">
        <w:rPr>
          <w:sz w:val="22"/>
          <w:szCs w:val="22"/>
          <w:lang w:val="en-GB"/>
        </w:rPr>
        <w:t> </w:t>
      </w:r>
      <w:r w:rsidR="009B1867" w:rsidRPr="00A808AC">
        <w:rPr>
          <w:sz w:val="22"/>
          <w:szCs w:val="22"/>
          <w:lang w:val="en-GB"/>
        </w:rPr>
        <w:t xml:space="preserve">years of age with an </w:t>
      </w:r>
      <w:r w:rsidR="009B1867" w:rsidRPr="00A808AC">
        <w:rPr>
          <w:i/>
          <w:iCs/>
          <w:sz w:val="22"/>
          <w:szCs w:val="22"/>
          <w:lang w:val="en-GB"/>
        </w:rPr>
        <w:t xml:space="preserve">R117H </w:t>
      </w:r>
      <w:r w:rsidR="009B1867" w:rsidRPr="00A808AC">
        <w:rPr>
          <w:sz w:val="22"/>
          <w:szCs w:val="22"/>
          <w:lang w:val="en-GB"/>
        </w:rPr>
        <w:t xml:space="preserve">mutation in the </w:t>
      </w:r>
      <w:r w:rsidR="009B1867" w:rsidRPr="00A808AC">
        <w:rPr>
          <w:i/>
          <w:iCs/>
          <w:sz w:val="22"/>
          <w:szCs w:val="22"/>
          <w:lang w:val="en-GB"/>
        </w:rPr>
        <w:t xml:space="preserve">CFTR </w:t>
      </w:r>
      <w:r w:rsidR="009B1867" w:rsidRPr="00A808AC">
        <w:rPr>
          <w:sz w:val="22"/>
          <w:szCs w:val="22"/>
          <w:lang w:val="en-GB"/>
        </w:rPr>
        <w:t xml:space="preserve">gene. </w:t>
      </w:r>
      <w:r>
        <w:rPr>
          <w:sz w:val="22"/>
          <w:szCs w:val="22"/>
          <w:lang w:val="en-GB"/>
        </w:rPr>
        <w:t>A</w:t>
      </w:r>
      <w:r w:rsidR="009B1867" w:rsidRPr="00A808AC">
        <w:rPr>
          <w:sz w:val="22"/>
          <w:szCs w:val="22"/>
          <w:lang w:val="en-GB"/>
        </w:rPr>
        <w:t xml:space="preserve">vailable data </w:t>
      </w:r>
      <w:r>
        <w:rPr>
          <w:sz w:val="22"/>
          <w:szCs w:val="22"/>
          <w:lang w:val="en-GB"/>
        </w:rPr>
        <w:t xml:space="preserve">in patients aged </w:t>
      </w:r>
      <w:r w:rsidRPr="000A093B">
        <w:rPr>
          <w:sz w:val="22"/>
        </w:rPr>
        <w:t>6</w:t>
      </w:r>
      <w:r w:rsidR="007231E6" w:rsidRPr="000A093B">
        <w:rPr>
          <w:sz w:val="22"/>
        </w:rPr>
        <w:t> </w:t>
      </w:r>
      <w:r w:rsidRPr="000A093B">
        <w:rPr>
          <w:sz w:val="22"/>
        </w:rPr>
        <w:t>years</w:t>
      </w:r>
      <w:r>
        <w:rPr>
          <w:sz w:val="22"/>
          <w:szCs w:val="22"/>
          <w:lang w:val="en-GB"/>
        </w:rPr>
        <w:t xml:space="preserve"> and older </w:t>
      </w:r>
      <w:r w:rsidR="009B1867" w:rsidRPr="00A808AC">
        <w:rPr>
          <w:sz w:val="22"/>
          <w:szCs w:val="22"/>
          <w:lang w:val="en-GB"/>
        </w:rPr>
        <w:t>are described in sections 4.8</w:t>
      </w:r>
      <w:r>
        <w:rPr>
          <w:sz w:val="22"/>
          <w:szCs w:val="22"/>
          <w:lang w:val="en-GB"/>
        </w:rPr>
        <w:t>,</w:t>
      </w:r>
      <w:r w:rsidR="009B1867" w:rsidRPr="00A808AC">
        <w:rPr>
          <w:sz w:val="22"/>
          <w:szCs w:val="22"/>
          <w:lang w:val="en-GB"/>
        </w:rPr>
        <w:t xml:space="preserve"> 5.1,</w:t>
      </w:r>
      <w:r>
        <w:rPr>
          <w:sz w:val="22"/>
          <w:szCs w:val="22"/>
          <w:lang w:val="en-GB"/>
        </w:rPr>
        <w:t xml:space="preserve"> and 5.2</w:t>
      </w:r>
      <w:r w:rsidR="009B1867" w:rsidRPr="00A808AC">
        <w:rPr>
          <w:sz w:val="22"/>
          <w:szCs w:val="22"/>
          <w:lang w:val="en-GB"/>
        </w:rPr>
        <w:t>.</w:t>
      </w:r>
    </w:p>
    <w:p w14:paraId="287133CC" w14:textId="77777777" w:rsidR="00F976E8" w:rsidRDefault="00F976E8" w:rsidP="00507A0A">
      <w:pPr>
        <w:tabs>
          <w:tab w:val="clear" w:pos="567"/>
        </w:tabs>
        <w:autoSpaceDE w:val="0"/>
        <w:autoSpaceDN w:val="0"/>
        <w:adjustRightInd w:val="0"/>
        <w:spacing w:line="240" w:lineRule="auto"/>
        <w:rPr>
          <w:u w:val="single"/>
          <w:lang w:val="en-US"/>
        </w:rPr>
      </w:pPr>
    </w:p>
    <w:p w14:paraId="19DCEBD5" w14:textId="1F168E0E" w:rsidR="009C7EB9" w:rsidRDefault="005A3D7D" w:rsidP="009C7EB9">
      <w:pPr>
        <w:pStyle w:val="labeltext"/>
        <w:rPr>
          <w:sz w:val="22"/>
          <w:szCs w:val="22"/>
          <w:lang w:val="en-GB"/>
        </w:rPr>
      </w:pPr>
      <w:r w:rsidRPr="00464A9A">
        <w:rPr>
          <w:sz w:val="22"/>
          <w:szCs w:val="22"/>
          <w:lang w:val="en-GB"/>
        </w:rPr>
        <w:t xml:space="preserve">The safety and efficacy of </w:t>
      </w:r>
      <w:r w:rsidR="00B030FD">
        <w:rPr>
          <w:sz w:val="22"/>
          <w:szCs w:val="22"/>
          <w:lang w:val="en-GB"/>
        </w:rPr>
        <w:t>ivacaftor</w:t>
      </w:r>
      <w:r w:rsidR="00B030FD" w:rsidRPr="00464A9A">
        <w:rPr>
          <w:sz w:val="22"/>
          <w:szCs w:val="22"/>
          <w:lang w:val="en-GB"/>
        </w:rPr>
        <w:t xml:space="preserve"> </w:t>
      </w:r>
      <w:r w:rsidRPr="00464A9A">
        <w:rPr>
          <w:sz w:val="22"/>
          <w:szCs w:val="22"/>
          <w:lang w:val="en-GB"/>
        </w:rPr>
        <w:t xml:space="preserve">in a combination regimen with tezacaftor/ivacaftor </w:t>
      </w:r>
      <w:r w:rsidR="00C147B5">
        <w:rPr>
          <w:sz w:val="22"/>
          <w:szCs w:val="22"/>
          <w:lang w:val="en-GB"/>
        </w:rPr>
        <w:t xml:space="preserve">and </w:t>
      </w:r>
      <w:r w:rsidR="00B030FD">
        <w:rPr>
          <w:sz w:val="22"/>
          <w:szCs w:val="22"/>
          <w:lang w:val="en-GB"/>
        </w:rPr>
        <w:t xml:space="preserve">ivacaftor/tezacaftor/elexacaftor </w:t>
      </w:r>
      <w:r w:rsidRPr="00464A9A">
        <w:rPr>
          <w:sz w:val="22"/>
          <w:szCs w:val="22"/>
          <w:lang w:val="en-GB"/>
        </w:rPr>
        <w:t>in children aged less than 12</w:t>
      </w:r>
      <w:r>
        <w:rPr>
          <w:sz w:val="22"/>
          <w:szCs w:val="22"/>
          <w:lang w:val="en-GB"/>
        </w:rPr>
        <w:t> </w:t>
      </w:r>
      <w:r w:rsidR="007B33A5">
        <w:rPr>
          <w:sz w:val="22"/>
          <w:szCs w:val="22"/>
          <w:lang w:val="en-GB"/>
        </w:rPr>
        <w:t>years have not</w:t>
      </w:r>
      <w:r w:rsidRPr="00464A9A">
        <w:rPr>
          <w:sz w:val="22"/>
          <w:szCs w:val="22"/>
          <w:lang w:val="en-GB"/>
        </w:rPr>
        <w:t xml:space="preserve"> been estab</w:t>
      </w:r>
      <w:r>
        <w:rPr>
          <w:sz w:val="22"/>
          <w:szCs w:val="22"/>
          <w:lang w:val="en-GB"/>
        </w:rPr>
        <w:t xml:space="preserve">lished. No data are </w:t>
      </w:r>
      <w:r>
        <w:rPr>
          <w:sz w:val="22"/>
          <w:szCs w:val="22"/>
          <w:lang w:val="en-GB"/>
        </w:rPr>
        <w:t>available.</w:t>
      </w:r>
    </w:p>
    <w:p w14:paraId="4B50123C" w14:textId="77777777" w:rsidR="009C7EB9" w:rsidRPr="000A093B" w:rsidRDefault="009C7EB9" w:rsidP="000A093B">
      <w:pPr>
        <w:tabs>
          <w:tab w:val="clear" w:pos="567"/>
        </w:tabs>
        <w:autoSpaceDE w:val="0"/>
        <w:autoSpaceDN w:val="0"/>
        <w:adjustRightInd w:val="0"/>
        <w:spacing w:line="240" w:lineRule="auto"/>
        <w:rPr>
          <w:u w:val="single"/>
          <w:lang w:val="en-US"/>
        </w:rPr>
      </w:pPr>
    </w:p>
    <w:p w14:paraId="59D8690D" w14:textId="77777777" w:rsidR="00F976E8" w:rsidRDefault="005A3D7D" w:rsidP="000A093B">
      <w:pPr>
        <w:keepNext/>
        <w:suppressLineNumbers/>
        <w:spacing w:line="240" w:lineRule="auto"/>
        <w:rPr>
          <w:u w:val="single"/>
        </w:rPr>
      </w:pPr>
      <w:r w:rsidRPr="00A808AC">
        <w:rPr>
          <w:u w:val="single"/>
        </w:rPr>
        <w:t>Method of administration</w:t>
      </w:r>
    </w:p>
    <w:p w14:paraId="5E430F15" w14:textId="77777777" w:rsidR="00002A05" w:rsidRPr="00A808AC" w:rsidRDefault="00002A05" w:rsidP="000A093B">
      <w:pPr>
        <w:keepNext/>
        <w:suppressLineNumbers/>
        <w:spacing w:line="240" w:lineRule="auto"/>
        <w:rPr>
          <w:u w:val="single"/>
        </w:rPr>
      </w:pPr>
    </w:p>
    <w:p w14:paraId="4DA68008" w14:textId="77777777" w:rsidR="00E21A9A" w:rsidRDefault="005A3D7D" w:rsidP="000A093B">
      <w:pPr>
        <w:keepNext/>
        <w:tabs>
          <w:tab w:val="clear" w:pos="567"/>
        </w:tabs>
        <w:autoSpaceDE w:val="0"/>
        <w:autoSpaceDN w:val="0"/>
        <w:adjustRightInd w:val="0"/>
        <w:spacing w:line="240" w:lineRule="auto"/>
      </w:pPr>
      <w:r w:rsidRPr="00A808AC">
        <w:t>For oral use.</w:t>
      </w:r>
      <w:r w:rsidR="0015507C">
        <w:t xml:space="preserve"> </w:t>
      </w:r>
    </w:p>
    <w:p w14:paraId="078A7FDD" w14:textId="77777777" w:rsidR="00E21A9A" w:rsidRDefault="00E21A9A" w:rsidP="00B32377">
      <w:pPr>
        <w:tabs>
          <w:tab w:val="clear" w:pos="567"/>
        </w:tabs>
        <w:autoSpaceDE w:val="0"/>
        <w:autoSpaceDN w:val="0"/>
        <w:adjustRightInd w:val="0"/>
        <w:spacing w:line="240" w:lineRule="auto"/>
      </w:pPr>
    </w:p>
    <w:p w14:paraId="6757E34D" w14:textId="77777777" w:rsidR="00F976E8" w:rsidRPr="00A808AC" w:rsidRDefault="005A3D7D" w:rsidP="000D02CF">
      <w:pPr>
        <w:tabs>
          <w:tab w:val="clear" w:pos="567"/>
        </w:tabs>
        <w:autoSpaceDE w:val="0"/>
        <w:autoSpaceDN w:val="0"/>
        <w:adjustRightInd w:val="0"/>
        <w:spacing w:line="240" w:lineRule="auto"/>
        <w:rPr>
          <w:rFonts w:eastAsia="TimesNewRoman"/>
          <w:lang w:eastAsia="ja-JP"/>
        </w:rPr>
      </w:pPr>
      <w:r w:rsidRPr="00A36227">
        <w:t>Patients should be instructed to swallow the tablets whole. The tablets should not be chewed, crushed, or broken before swallowing</w:t>
      </w:r>
      <w:r w:rsidR="00B030FD">
        <w:t xml:space="preserve"> because there are no clinical data currently available to support other methods of administration</w:t>
      </w:r>
      <w:r w:rsidRPr="00A36227">
        <w:t>.</w:t>
      </w:r>
    </w:p>
    <w:p w14:paraId="31B7ECA5" w14:textId="77777777" w:rsidR="00F976E8" w:rsidRPr="00A808AC" w:rsidRDefault="00F976E8" w:rsidP="000D02CF">
      <w:pPr>
        <w:tabs>
          <w:tab w:val="clear" w:pos="567"/>
        </w:tabs>
        <w:autoSpaceDE w:val="0"/>
        <w:autoSpaceDN w:val="0"/>
        <w:adjustRightInd w:val="0"/>
        <w:spacing w:line="240" w:lineRule="auto"/>
        <w:rPr>
          <w:rFonts w:eastAsia="TimesNewRoman"/>
          <w:lang w:eastAsia="ja-JP"/>
        </w:rPr>
      </w:pPr>
    </w:p>
    <w:p w14:paraId="77FE5074" w14:textId="3F5463E9" w:rsidR="00F976E8" w:rsidRPr="00A808AC" w:rsidRDefault="005A3D7D" w:rsidP="000D02CF">
      <w:pPr>
        <w:tabs>
          <w:tab w:val="clear" w:pos="567"/>
        </w:tabs>
        <w:autoSpaceDE w:val="0"/>
        <w:autoSpaceDN w:val="0"/>
        <w:adjustRightInd w:val="0"/>
        <w:spacing w:line="240" w:lineRule="auto"/>
        <w:rPr>
          <w:rFonts w:eastAsia="TimesNewRoman"/>
          <w:lang w:eastAsia="ja-JP"/>
        </w:rPr>
      </w:pPr>
      <w:r>
        <w:rPr>
          <w:rFonts w:eastAsia="TimesNewRoman"/>
          <w:lang w:eastAsia="ja-JP"/>
        </w:rPr>
        <w:t>Ivacaftor</w:t>
      </w:r>
      <w:r w:rsidR="009B1867" w:rsidRPr="00A808AC">
        <w:rPr>
          <w:rFonts w:eastAsia="TimesNewRoman"/>
          <w:lang w:eastAsia="ja-JP"/>
        </w:rPr>
        <w:t xml:space="preserve"> </w:t>
      </w:r>
      <w:r w:rsidR="0015507C">
        <w:rPr>
          <w:rFonts w:eastAsia="TimesNewRoman"/>
          <w:lang w:eastAsia="ja-JP"/>
        </w:rPr>
        <w:t xml:space="preserve">tablets </w:t>
      </w:r>
      <w:r w:rsidR="009B1867" w:rsidRPr="00A808AC">
        <w:rPr>
          <w:rFonts w:eastAsia="TimesNewRoman"/>
          <w:lang w:eastAsia="ja-JP"/>
        </w:rPr>
        <w:t>should be taken with fat</w:t>
      </w:r>
      <w:r w:rsidR="009B1867" w:rsidRPr="00A808AC">
        <w:rPr>
          <w:rFonts w:eastAsia="TimesNewRoman"/>
          <w:lang w:eastAsia="ja-JP"/>
        </w:rPr>
        <w:noBreakHyphen/>
        <w:t>containing food.</w:t>
      </w:r>
    </w:p>
    <w:p w14:paraId="72615C29" w14:textId="77777777" w:rsidR="00F976E8" w:rsidRPr="00A808AC" w:rsidRDefault="00F976E8" w:rsidP="000D02CF">
      <w:pPr>
        <w:tabs>
          <w:tab w:val="clear" w:pos="567"/>
        </w:tabs>
        <w:autoSpaceDE w:val="0"/>
        <w:autoSpaceDN w:val="0"/>
        <w:adjustRightInd w:val="0"/>
        <w:spacing w:line="240" w:lineRule="auto"/>
        <w:rPr>
          <w:rFonts w:eastAsia="TimesNewRoman"/>
          <w:lang w:eastAsia="ja-JP"/>
        </w:rPr>
      </w:pPr>
    </w:p>
    <w:p w14:paraId="1C199200" w14:textId="61D16581" w:rsidR="00F976E8" w:rsidRDefault="005A3D7D" w:rsidP="000A093B">
      <w:pPr>
        <w:autoSpaceDE w:val="0"/>
        <w:autoSpaceDN w:val="0"/>
        <w:adjustRightInd w:val="0"/>
        <w:spacing w:line="240" w:lineRule="auto"/>
        <w:rPr>
          <w:rFonts w:eastAsia="TimesNewRoman"/>
          <w:lang w:eastAsia="ja-JP"/>
        </w:rPr>
      </w:pPr>
      <w:r w:rsidRPr="00A808AC">
        <w:rPr>
          <w:rFonts w:eastAsia="TimesNewRoman"/>
          <w:lang w:eastAsia="ja-JP"/>
        </w:rPr>
        <w:t xml:space="preserve">Food </w:t>
      </w:r>
      <w:r w:rsidR="0015507C">
        <w:rPr>
          <w:rFonts w:eastAsia="TimesNewRoman"/>
          <w:lang w:eastAsia="ja-JP"/>
        </w:rPr>
        <w:t xml:space="preserve">or drink </w:t>
      </w:r>
      <w:r w:rsidRPr="00A808AC">
        <w:rPr>
          <w:rFonts w:eastAsia="TimesNewRoman"/>
          <w:lang w:eastAsia="ja-JP"/>
        </w:rPr>
        <w:t xml:space="preserve">containing grapefruit should be avoided during treatment (see </w:t>
      </w:r>
      <w:r w:rsidRPr="00A808AC">
        <w:rPr>
          <w:rFonts w:eastAsia="TimesNewRoman"/>
          <w:lang w:eastAsia="ja-JP"/>
        </w:rPr>
        <w:t>section 4.5).</w:t>
      </w:r>
    </w:p>
    <w:p w14:paraId="1C02BC48" w14:textId="77777777" w:rsidR="006E2510" w:rsidRPr="00A808AC" w:rsidRDefault="006E2510" w:rsidP="000D02CF">
      <w:pPr>
        <w:autoSpaceDE w:val="0"/>
        <w:autoSpaceDN w:val="0"/>
        <w:adjustRightInd w:val="0"/>
        <w:spacing w:line="240" w:lineRule="auto"/>
        <w:rPr>
          <w:rFonts w:eastAsia="MS Mincho"/>
          <w:lang w:eastAsia="ja-JP"/>
        </w:rPr>
      </w:pPr>
    </w:p>
    <w:p w14:paraId="2FFDC510" w14:textId="77777777" w:rsidR="00F976E8" w:rsidRPr="009955AF" w:rsidRDefault="005A3D7D" w:rsidP="00A0798C">
      <w:pPr>
        <w:pStyle w:val="Heading2"/>
        <w:spacing w:before="0" w:after="0"/>
      </w:pPr>
      <w:r w:rsidRPr="00BA47B4">
        <w:rPr>
          <w:sz w:val="22"/>
        </w:rPr>
        <w:t>4.3</w:t>
      </w:r>
      <w:r w:rsidRPr="00BA47B4">
        <w:rPr>
          <w:sz w:val="22"/>
        </w:rPr>
        <w:tab/>
        <w:t>Contraindications</w:t>
      </w:r>
    </w:p>
    <w:p w14:paraId="357DC56A" w14:textId="77777777" w:rsidR="00F976E8" w:rsidRPr="00A808AC" w:rsidRDefault="00F976E8" w:rsidP="000A093B">
      <w:pPr>
        <w:keepNext/>
        <w:tabs>
          <w:tab w:val="clear" w:pos="567"/>
        </w:tabs>
        <w:autoSpaceDE w:val="0"/>
        <w:autoSpaceDN w:val="0"/>
        <w:adjustRightInd w:val="0"/>
        <w:spacing w:line="240" w:lineRule="auto"/>
      </w:pPr>
    </w:p>
    <w:p w14:paraId="350B3BBD" w14:textId="77777777" w:rsidR="00F976E8" w:rsidRPr="00A808AC" w:rsidRDefault="005A3D7D" w:rsidP="000A093B">
      <w:pPr>
        <w:pStyle w:val="NormalIndent"/>
        <w:keepNext/>
        <w:spacing w:after="0"/>
        <w:ind w:left="0"/>
      </w:pPr>
      <w:r w:rsidRPr="00A808AC">
        <w:t>Hypersensitivity to the active substance or to any of the excipients listed in section 6.1.</w:t>
      </w:r>
    </w:p>
    <w:p w14:paraId="0AFF9F66" w14:textId="77777777" w:rsidR="00002A05" w:rsidRPr="00A808AC" w:rsidRDefault="00002A05" w:rsidP="000A093B">
      <w:pPr>
        <w:pStyle w:val="labeltext"/>
        <w:keepNext/>
        <w:rPr>
          <w:bCs/>
          <w:sz w:val="22"/>
          <w:szCs w:val="22"/>
        </w:rPr>
      </w:pPr>
    </w:p>
    <w:p w14:paraId="0B92C873" w14:textId="77777777" w:rsidR="00F976E8" w:rsidRPr="009955AF" w:rsidRDefault="005A3D7D" w:rsidP="00A0798C">
      <w:pPr>
        <w:pStyle w:val="Heading2"/>
        <w:spacing w:before="0" w:after="0"/>
      </w:pPr>
      <w:r w:rsidRPr="00BA47B4">
        <w:rPr>
          <w:sz w:val="22"/>
        </w:rPr>
        <w:t>4.4</w:t>
      </w:r>
      <w:r w:rsidRPr="00BA47B4">
        <w:rPr>
          <w:sz w:val="22"/>
        </w:rPr>
        <w:tab/>
        <w:t>Special warnings and precautions for use</w:t>
      </w:r>
    </w:p>
    <w:p w14:paraId="1920A6B1" w14:textId="77777777" w:rsidR="0015507C" w:rsidRPr="00A808AC" w:rsidRDefault="0015507C" w:rsidP="0069106A">
      <w:pPr>
        <w:pStyle w:val="labeltext"/>
        <w:keepNext/>
        <w:rPr>
          <w:bCs/>
          <w:sz w:val="22"/>
          <w:szCs w:val="22"/>
        </w:rPr>
      </w:pPr>
    </w:p>
    <w:p w14:paraId="14A78FA6" w14:textId="77777777" w:rsidR="00F976E8" w:rsidRPr="00A808AC" w:rsidRDefault="005A3D7D" w:rsidP="000A093B">
      <w:pPr>
        <w:pStyle w:val="NormalIndent"/>
        <w:keepNext/>
        <w:spacing w:after="0"/>
        <w:ind w:left="0"/>
        <w:rPr>
          <w:bCs/>
        </w:rPr>
      </w:pPr>
      <w:r w:rsidRPr="00A808AC">
        <w:rPr>
          <w:bCs/>
        </w:rPr>
        <w:t xml:space="preserve">Only patients with CF who had a </w:t>
      </w:r>
      <w:r w:rsidRPr="00A808AC">
        <w:rPr>
          <w:bCs/>
          <w:i/>
        </w:rPr>
        <w:t>G551D</w:t>
      </w:r>
      <w:r w:rsidRPr="00A808AC">
        <w:rPr>
          <w:bCs/>
        </w:rPr>
        <w:t xml:space="preserve">, </w:t>
      </w:r>
      <w:r w:rsidRPr="00A808AC">
        <w:rPr>
          <w:bCs/>
          <w:i/>
        </w:rPr>
        <w:t>G1244E</w:t>
      </w:r>
      <w:r w:rsidRPr="00A808AC">
        <w:rPr>
          <w:bCs/>
        </w:rPr>
        <w:t xml:space="preserve">, </w:t>
      </w:r>
      <w:r w:rsidRPr="00A808AC">
        <w:rPr>
          <w:bCs/>
          <w:i/>
        </w:rPr>
        <w:t>G1349D</w:t>
      </w:r>
      <w:r w:rsidRPr="00A808AC">
        <w:rPr>
          <w:bCs/>
        </w:rPr>
        <w:t xml:space="preserve">, </w:t>
      </w:r>
      <w:r w:rsidRPr="00A808AC">
        <w:rPr>
          <w:bCs/>
          <w:i/>
        </w:rPr>
        <w:t>G178R</w:t>
      </w:r>
      <w:r w:rsidRPr="00A808AC">
        <w:rPr>
          <w:bCs/>
        </w:rPr>
        <w:t xml:space="preserve">, </w:t>
      </w:r>
      <w:r w:rsidRPr="00A808AC">
        <w:rPr>
          <w:bCs/>
          <w:i/>
        </w:rPr>
        <w:t>G551S</w:t>
      </w:r>
      <w:r w:rsidRPr="00A808AC">
        <w:rPr>
          <w:bCs/>
        </w:rPr>
        <w:t xml:space="preserve">, </w:t>
      </w:r>
      <w:r w:rsidRPr="00A808AC">
        <w:rPr>
          <w:bCs/>
          <w:i/>
        </w:rPr>
        <w:t>S1251N</w:t>
      </w:r>
      <w:r w:rsidRPr="00A808AC">
        <w:rPr>
          <w:bCs/>
        </w:rPr>
        <w:t xml:space="preserve">, </w:t>
      </w:r>
      <w:r w:rsidRPr="00A808AC">
        <w:rPr>
          <w:bCs/>
          <w:i/>
        </w:rPr>
        <w:t>S1</w:t>
      </w:r>
      <w:r w:rsidRPr="00A808AC">
        <w:rPr>
          <w:bCs/>
          <w:i/>
        </w:rPr>
        <w:t>255P</w:t>
      </w:r>
      <w:r w:rsidRPr="00A808AC">
        <w:rPr>
          <w:bCs/>
        </w:rPr>
        <w:t xml:space="preserve">, </w:t>
      </w:r>
      <w:r w:rsidRPr="00A808AC">
        <w:rPr>
          <w:bCs/>
          <w:i/>
        </w:rPr>
        <w:t>S549N</w:t>
      </w:r>
      <w:r w:rsidRPr="00A808AC">
        <w:rPr>
          <w:bCs/>
        </w:rPr>
        <w:t xml:space="preserve">, </w:t>
      </w:r>
      <w:r w:rsidRPr="00A808AC">
        <w:rPr>
          <w:bCs/>
          <w:i/>
        </w:rPr>
        <w:t>S549R</w:t>
      </w:r>
      <w:r w:rsidRPr="00A808AC">
        <w:rPr>
          <w:bCs/>
        </w:rPr>
        <w:t xml:space="preserve"> gating (</w:t>
      </w:r>
      <w:r w:rsidR="009C421D" w:rsidRPr="00A808AC">
        <w:rPr>
          <w:bCs/>
        </w:rPr>
        <w:t xml:space="preserve">class </w:t>
      </w:r>
      <w:r w:rsidRPr="00A808AC">
        <w:rPr>
          <w:bCs/>
        </w:rPr>
        <w:t>III)</w:t>
      </w:r>
      <w:r w:rsidR="004C57CC">
        <w:rPr>
          <w:bCs/>
        </w:rPr>
        <w:t>,</w:t>
      </w:r>
      <w:r w:rsidRPr="00A808AC">
        <w:rPr>
          <w:bCs/>
        </w:rPr>
        <w:t xml:space="preserve"> </w:t>
      </w:r>
      <w:r w:rsidR="004C57CC" w:rsidRPr="004C57CC">
        <w:rPr>
          <w:bCs/>
          <w:i/>
        </w:rPr>
        <w:t>G970R</w:t>
      </w:r>
      <w:r w:rsidR="004C57CC">
        <w:rPr>
          <w:bCs/>
        </w:rPr>
        <w:t xml:space="preserve"> </w:t>
      </w:r>
      <w:r w:rsidRPr="00A808AC">
        <w:rPr>
          <w:bCs/>
          <w:lang w:val="en-US"/>
        </w:rPr>
        <w:t xml:space="preserve">or </w:t>
      </w:r>
      <w:r w:rsidRPr="00A808AC">
        <w:rPr>
          <w:bCs/>
          <w:i/>
          <w:iCs/>
          <w:lang w:val="en-US"/>
        </w:rPr>
        <w:t xml:space="preserve">R117H </w:t>
      </w:r>
      <w:r w:rsidRPr="00A808AC">
        <w:rPr>
          <w:bCs/>
        </w:rPr>
        <w:t xml:space="preserve">mutation in at least one allele of the </w:t>
      </w:r>
      <w:r w:rsidRPr="00A808AC">
        <w:rPr>
          <w:bCs/>
          <w:i/>
        </w:rPr>
        <w:t>CFTR</w:t>
      </w:r>
      <w:r w:rsidRPr="00A808AC">
        <w:rPr>
          <w:bCs/>
        </w:rPr>
        <w:t xml:space="preserve"> gene were included in studies 1, 2, 5 and 6 (see section 5.1).</w:t>
      </w:r>
    </w:p>
    <w:p w14:paraId="7B3E8162" w14:textId="77777777" w:rsidR="00F976E8" w:rsidRPr="00A808AC" w:rsidRDefault="00F976E8" w:rsidP="000D02CF">
      <w:pPr>
        <w:spacing w:line="240" w:lineRule="auto"/>
        <w:rPr>
          <w:bCs/>
        </w:rPr>
      </w:pPr>
    </w:p>
    <w:p w14:paraId="27F681A4" w14:textId="2389BDA9" w:rsidR="00F976E8" w:rsidRPr="00A808AC" w:rsidRDefault="005A3D7D" w:rsidP="000D02CF">
      <w:pPr>
        <w:pStyle w:val="NormalIndent"/>
        <w:spacing w:after="0"/>
        <w:ind w:left="0"/>
        <w:rPr>
          <w:bCs/>
        </w:rPr>
      </w:pPr>
      <w:r w:rsidRPr="00A808AC">
        <w:rPr>
          <w:bCs/>
        </w:rPr>
        <w:t xml:space="preserve">In </w:t>
      </w:r>
      <w:r w:rsidR="00461BC7" w:rsidRPr="00A808AC">
        <w:rPr>
          <w:bCs/>
        </w:rPr>
        <w:t>study</w:t>
      </w:r>
      <w:r w:rsidR="00461BC7">
        <w:rPr>
          <w:bCs/>
        </w:rPr>
        <w:t> </w:t>
      </w:r>
      <w:r w:rsidRPr="00A808AC">
        <w:rPr>
          <w:bCs/>
        </w:rPr>
        <w:t xml:space="preserve">5, four patients with the </w:t>
      </w:r>
      <w:r w:rsidRPr="00A808AC">
        <w:rPr>
          <w:bCs/>
          <w:i/>
        </w:rPr>
        <w:t>G970R</w:t>
      </w:r>
      <w:r w:rsidRPr="00A808AC">
        <w:rPr>
          <w:bCs/>
        </w:rPr>
        <w:t xml:space="preserve"> mutation were included. In three of four patients the change in the sweat chloride test was &lt;</w:t>
      </w:r>
      <w:r w:rsidR="00CE76B9">
        <w:rPr>
          <w:bCs/>
        </w:rPr>
        <w:t> </w:t>
      </w:r>
      <w:r w:rsidRPr="00A808AC">
        <w:rPr>
          <w:bCs/>
        </w:rPr>
        <w:t>5 mmol/L and this group did not demonstrate a clinically relevant improvement in FEV</w:t>
      </w:r>
      <w:r w:rsidRPr="00A808AC">
        <w:rPr>
          <w:bCs/>
          <w:vertAlign w:val="subscript"/>
        </w:rPr>
        <w:t>1</w:t>
      </w:r>
      <w:r w:rsidRPr="00A808AC">
        <w:rPr>
          <w:bCs/>
        </w:rPr>
        <w:t xml:space="preserve"> after 8</w:t>
      </w:r>
      <w:r w:rsidR="000E24CD" w:rsidRPr="00A808AC">
        <w:rPr>
          <w:bCs/>
        </w:rPr>
        <w:t> </w:t>
      </w:r>
      <w:r w:rsidRPr="00A808AC">
        <w:rPr>
          <w:bCs/>
        </w:rPr>
        <w:t xml:space="preserve">weeks of treatment. Clinical efficacy in patients with the </w:t>
      </w:r>
      <w:r w:rsidRPr="00A808AC">
        <w:rPr>
          <w:bCs/>
          <w:i/>
        </w:rPr>
        <w:t>G970R</w:t>
      </w:r>
      <w:r w:rsidRPr="00A808AC">
        <w:rPr>
          <w:bCs/>
        </w:rPr>
        <w:t xml:space="preserve"> mu</w:t>
      </w:r>
      <w:r w:rsidRPr="00A808AC">
        <w:rPr>
          <w:bCs/>
        </w:rPr>
        <w:t xml:space="preserve">tation of the </w:t>
      </w:r>
      <w:r w:rsidRPr="00A808AC">
        <w:rPr>
          <w:bCs/>
          <w:i/>
        </w:rPr>
        <w:t>CFTR</w:t>
      </w:r>
      <w:r w:rsidRPr="00A808AC">
        <w:rPr>
          <w:bCs/>
        </w:rPr>
        <w:t xml:space="preserve"> gene could not be established (see section 5.1).</w:t>
      </w:r>
    </w:p>
    <w:p w14:paraId="36D83FEE" w14:textId="77777777" w:rsidR="00F976E8" w:rsidRPr="00A808AC" w:rsidRDefault="00F976E8" w:rsidP="000D02CF">
      <w:pPr>
        <w:pStyle w:val="NormalIndent"/>
        <w:spacing w:after="0"/>
        <w:ind w:left="0"/>
      </w:pPr>
    </w:p>
    <w:p w14:paraId="21194EA7" w14:textId="392FE5EC" w:rsidR="00F976E8" w:rsidRPr="00A808AC" w:rsidRDefault="005A3D7D" w:rsidP="000D02CF">
      <w:pPr>
        <w:pStyle w:val="NormalIndent"/>
        <w:spacing w:after="0"/>
        <w:ind w:left="0"/>
        <w:rPr>
          <w:bCs/>
        </w:rPr>
      </w:pPr>
      <w:r w:rsidRPr="00A808AC">
        <w:rPr>
          <w:bCs/>
        </w:rPr>
        <w:t xml:space="preserve">Efficacy results from a </w:t>
      </w:r>
      <w:r w:rsidR="00BA40DB">
        <w:rPr>
          <w:bCs/>
        </w:rPr>
        <w:t>p</w:t>
      </w:r>
      <w:r w:rsidRPr="00A808AC">
        <w:rPr>
          <w:bCs/>
        </w:rPr>
        <w:t xml:space="preserve">hase 2 </w:t>
      </w:r>
      <w:r w:rsidRPr="00CF556B">
        <w:rPr>
          <w:bCs/>
        </w:rPr>
        <w:t xml:space="preserve">study </w:t>
      </w:r>
      <w:r w:rsidRPr="00A808AC">
        <w:rPr>
          <w:bCs/>
        </w:rPr>
        <w:t xml:space="preserve">in patients with CF who are homozygous for the </w:t>
      </w:r>
      <w:r w:rsidRPr="00A808AC">
        <w:rPr>
          <w:bCs/>
          <w:i/>
        </w:rPr>
        <w:t xml:space="preserve">F508del </w:t>
      </w:r>
      <w:r w:rsidRPr="00A808AC">
        <w:rPr>
          <w:bCs/>
        </w:rPr>
        <w:t xml:space="preserve">mutation in the </w:t>
      </w:r>
      <w:r w:rsidRPr="00A808AC">
        <w:rPr>
          <w:bCs/>
          <w:i/>
        </w:rPr>
        <w:t>CFTR</w:t>
      </w:r>
      <w:r w:rsidRPr="00A808AC">
        <w:rPr>
          <w:bCs/>
        </w:rPr>
        <w:t xml:space="preserve"> gene showed no statistically significant difference in FEV</w:t>
      </w:r>
      <w:r w:rsidRPr="00A808AC">
        <w:rPr>
          <w:bCs/>
          <w:vertAlign w:val="subscript"/>
        </w:rPr>
        <w:t>1</w:t>
      </w:r>
      <w:r w:rsidRPr="00A808AC">
        <w:rPr>
          <w:bCs/>
        </w:rPr>
        <w:t xml:space="preserve"> over 16</w:t>
      </w:r>
      <w:r w:rsidR="000E24CD" w:rsidRPr="00A808AC">
        <w:rPr>
          <w:bCs/>
        </w:rPr>
        <w:t> </w:t>
      </w:r>
      <w:r w:rsidRPr="00A808AC">
        <w:rPr>
          <w:bCs/>
        </w:rPr>
        <w:t xml:space="preserve">weeks of ivacaftor treatment compared to placebo (see section 5.1). Therefore, use of </w:t>
      </w:r>
      <w:r w:rsidR="001D1CD8">
        <w:rPr>
          <w:bCs/>
        </w:rPr>
        <w:t>ivacaftor as</w:t>
      </w:r>
      <w:r w:rsidR="001D1CD8" w:rsidRPr="00A808AC">
        <w:rPr>
          <w:bCs/>
        </w:rPr>
        <w:t xml:space="preserve"> </w:t>
      </w:r>
      <w:r w:rsidR="0097061C">
        <w:rPr>
          <w:bCs/>
        </w:rPr>
        <w:t xml:space="preserve">monotherapy </w:t>
      </w:r>
      <w:r w:rsidRPr="00A808AC">
        <w:rPr>
          <w:bCs/>
        </w:rPr>
        <w:t>in these patients is not recommended.</w:t>
      </w:r>
    </w:p>
    <w:p w14:paraId="62EB1131" w14:textId="77777777" w:rsidR="00F976E8" w:rsidRPr="00A808AC" w:rsidRDefault="00F976E8" w:rsidP="000D02CF">
      <w:pPr>
        <w:pStyle w:val="NormalIndent"/>
        <w:spacing w:after="0"/>
        <w:ind w:left="0"/>
        <w:rPr>
          <w:iCs/>
        </w:rPr>
      </w:pPr>
    </w:p>
    <w:p w14:paraId="6EFF6B4D" w14:textId="37E14C10" w:rsidR="00F976E8" w:rsidRDefault="005A3D7D" w:rsidP="000D02CF">
      <w:pPr>
        <w:spacing w:line="240" w:lineRule="auto"/>
        <w:rPr>
          <w:bCs/>
        </w:rPr>
      </w:pPr>
      <w:r w:rsidRPr="00A808AC">
        <w:rPr>
          <w:bCs/>
        </w:rPr>
        <w:t>Less evidence of a positive effect of</w:t>
      </w:r>
      <w:r w:rsidRPr="00A808AC">
        <w:rPr>
          <w:bCs/>
        </w:rPr>
        <w:t xml:space="preserve"> ivacaftor has been shown for patients with an </w:t>
      </w:r>
      <w:r w:rsidRPr="00A808AC">
        <w:rPr>
          <w:bCs/>
          <w:i/>
        </w:rPr>
        <w:t>R117H</w:t>
      </w:r>
      <w:r w:rsidR="000E24CD" w:rsidRPr="00A808AC">
        <w:rPr>
          <w:bCs/>
          <w:i/>
        </w:rPr>
        <w:noBreakHyphen/>
      </w:r>
      <w:r w:rsidRPr="00A808AC">
        <w:rPr>
          <w:bCs/>
          <w:i/>
        </w:rPr>
        <w:t>7T</w:t>
      </w:r>
      <w:r w:rsidRPr="00A808AC">
        <w:rPr>
          <w:bCs/>
        </w:rPr>
        <w:t xml:space="preserve"> mutation associated with less severe disease</w:t>
      </w:r>
      <w:r w:rsidR="005C3799">
        <w:rPr>
          <w:bCs/>
        </w:rPr>
        <w:t xml:space="preserve"> in study</w:t>
      </w:r>
      <w:r w:rsidR="003A0DC8">
        <w:rPr>
          <w:bCs/>
        </w:rPr>
        <w:t> </w:t>
      </w:r>
      <w:r w:rsidR="005C3799">
        <w:rPr>
          <w:bCs/>
        </w:rPr>
        <w:t>6</w:t>
      </w:r>
      <w:r w:rsidR="00B75A80" w:rsidRPr="00A808AC">
        <w:rPr>
          <w:bCs/>
        </w:rPr>
        <w:t xml:space="preserve"> (see section</w:t>
      </w:r>
      <w:r w:rsidR="000E24CD" w:rsidRPr="00A808AC">
        <w:rPr>
          <w:bCs/>
        </w:rPr>
        <w:t> </w:t>
      </w:r>
      <w:r w:rsidR="00B75A80" w:rsidRPr="00A808AC">
        <w:rPr>
          <w:bCs/>
        </w:rPr>
        <w:t>5.1)</w:t>
      </w:r>
      <w:r w:rsidRPr="00A808AC">
        <w:rPr>
          <w:bCs/>
        </w:rPr>
        <w:t xml:space="preserve">. </w:t>
      </w:r>
    </w:p>
    <w:p w14:paraId="57C45565" w14:textId="77777777" w:rsidR="006E2510" w:rsidRPr="000A093B" w:rsidRDefault="006E2510" w:rsidP="000D02CF">
      <w:pPr>
        <w:spacing w:line="240" w:lineRule="auto"/>
        <w:rPr>
          <w:u w:val="single"/>
          <w:lang w:val="en-US"/>
        </w:rPr>
      </w:pPr>
    </w:p>
    <w:p w14:paraId="220CD73D" w14:textId="592FDB0D" w:rsidR="00EF13BD" w:rsidRPr="007B0741" w:rsidRDefault="005A3D7D" w:rsidP="00BA47B4">
      <w:pPr>
        <w:pStyle w:val="labeltext"/>
        <w:rPr>
          <w:sz w:val="22"/>
          <w:szCs w:val="22"/>
        </w:rPr>
      </w:pPr>
      <w:r>
        <w:rPr>
          <w:bCs/>
          <w:sz w:val="22"/>
          <w:szCs w:val="22"/>
        </w:rPr>
        <w:t>Ivacaftor</w:t>
      </w:r>
      <w:r w:rsidRPr="0044589F">
        <w:rPr>
          <w:bCs/>
          <w:sz w:val="22"/>
          <w:szCs w:val="22"/>
        </w:rPr>
        <w:t xml:space="preserve"> </w:t>
      </w:r>
      <w:r w:rsidR="009B1867" w:rsidRPr="0044589F">
        <w:rPr>
          <w:bCs/>
          <w:sz w:val="22"/>
          <w:szCs w:val="22"/>
        </w:rPr>
        <w:t xml:space="preserve">in </w:t>
      </w:r>
      <w:r>
        <w:rPr>
          <w:bCs/>
          <w:sz w:val="22"/>
          <w:szCs w:val="22"/>
        </w:rPr>
        <w:t xml:space="preserve">a </w:t>
      </w:r>
      <w:r w:rsidR="009B1867" w:rsidRPr="0044589F">
        <w:rPr>
          <w:bCs/>
          <w:sz w:val="22"/>
          <w:szCs w:val="22"/>
        </w:rPr>
        <w:t>combination</w:t>
      </w:r>
      <w:r>
        <w:rPr>
          <w:bCs/>
          <w:sz w:val="22"/>
          <w:szCs w:val="22"/>
        </w:rPr>
        <w:t xml:space="preserve"> regimen</w:t>
      </w:r>
      <w:r w:rsidR="009B1867" w:rsidRPr="0044589F">
        <w:rPr>
          <w:bCs/>
          <w:sz w:val="22"/>
          <w:szCs w:val="22"/>
        </w:rPr>
        <w:t xml:space="preserve"> with tezacaftor/ivacaftor should not be prescribed in patients with CF </w:t>
      </w:r>
      <w:r w:rsidR="009B1867" w:rsidRPr="0044589F">
        <w:rPr>
          <w:sz w:val="22"/>
          <w:szCs w:val="22"/>
        </w:rPr>
        <w:t xml:space="preserve">who are heterozygous for the </w:t>
      </w:r>
      <w:r w:rsidR="009B1867" w:rsidRPr="0044589F">
        <w:rPr>
          <w:i/>
          <w:sz w:val="22"/>
          <w:szCs w:val="22"/>
        </w:rPr>
        <w:t>F508del</w:t>
      </w:r>
      <w:r w:rsidR="009B1867" w:rsidRPr="0044589F">
        <w:rPr>
          <w:sz w:val="22"/>
          <w:szCs w:val="22"/>
        </w:rPr>
        <w:t xml:space="preserve"> mutation and have a second </w:t>
      </w:r>
      <w:r w:rsidR="009B1867" w:rsidRPr="0044589F">
        <w:rPr>
          <w:i/>
          <w:sz w:val="22"/>
          <w:szCs w:val="22"/>
        </w:rPr>
        <w:t>CFTR</w:t>
      </w:r>
      <w:r w:rsidR="009B1867" w:rsidRPr="0044589F">
        <w:rPr>
          <w:sz w:val="22"/>
          <w:szCs w:val="22"/>
        </w:rPr>
        <w:t xml:space="preserve"> mutation not </w:t>
      </w:r>
      <w:r w:rsidR="00293F81" w:rsidRPr="0044589F">
        <w:rPr>
          <w:sz w:val="22"/>
          <w:szCs w:val="22"/>
        </w:rPr>
        <w:t>listed in section 4.1</w:t>
      </w:r>
      <w:r w:rsidR="009B1867" w:rsidRPr="0044589F">
        <w:rPr>
          <w:sz w:val="22"/>
          <w:szCs w:val="22"/>
        </w:rPr>
        <w:t>.</w:t>
      </w:r>
    </w:p>
    <w:p w14:paraId="61AA06F1" w14:textId="77777777" w:rsidR="00A5675C" w:rsidRPr="00877B56" w:rsidRDefault="00A5675C" w:rsidP="000D02CF">
      <w:pPr>
        <w:spacing w:line="240" w:lineRule="auto"/>
        <w:rPr>
          <w:rFonts w:eastAsia="Times New Roman"/>
          <w:bCs/>
          <w:u w:val="single"/>
          <w:lang w:val="en-US" w:eastAsia="es-ES"/>
        </w:rPr>
      </w:pPr>
    </w:p>
    <w:p w14:paraId="52D925D7" w14:textId="77777777" w:rsidR="00F976E8" w:rsidRDefault="005A3D7D" w:rsidP="000A093B">
      <w:pPr>
        <w:keepNext/>
        <w:spacing w:line="240" w:lineRule="auto"/>
        <w:rPr>
          <w:rFonts w:eastAsia="Times New Roman"/>
          <w:bCs/>
          <w:u w:val="single"/>
          <w:lang w:eastAsia="es-ES"/>
        </w:rPr>
      </w:pPr>
      <w:r w:rsidRPr="00A808AC">
        <w:rPr>
          <w:rFonts w:eastAsia="Times New Roman"/>
          <w:bCs/>
          <w:u w:val="single"/>
          <w:lang w:eastAsia="es-ES"/>
        </w:rPr>
        <w:t>Effect on liver function tests</w:t>
      </w:r>
    </w:p>
    <w:p w14:paraId="6F8D7E39" w14:textId="77777777" w:rsidR="00B20DF3" w:rsidRPr="00A808AC" w:rsidRDefault="00B20DF3" w:rsidP="000A093B">
      <w:pPr>
        <w:keepNext/>
        <w:spacing w:line="240" w:lineRule="auto"/>
        <w:rPr>
          <w:rFonts w:eastAsia="Times New Roman"/>
          <w:bCs/>
          <w:u w:val="single"/>
          <w:lang w:eastAsia="es-ES"/>
        </w:rPr>
      </w:pPr>
    </w:p>
    <w:p w14:paraId="223037BC" w14:textId="63F7FEDE" w:rsidR="00F976E8" w:rsidRDefault="005A3D7D" w:rsidP="000A093B">
      <w:pPr>
        <w:pStyle w:val="NormalIndent"/>
        <w:keepNext/>
        <w:spacing w:after="0"/>
        <w:ind w:left="0"/>
        <w:rPr>
          <w:rFonts w:eastAsia="Times New Roman"/>
          <w:lang w:eastAsia="es-ES"/>
        </w:rPr>
      </w:pPr>
      <w:r w:rsidRPr="00A808AC">
        <w:rPr>
          <w:rFonts w:eastAsia="Times New Roman"/>
          <w:lang w:eastAsia="es-ES"/>
        </w:rPr>
        <w:t xml:space="preserve">Moderate transaminase </w:t>
      </w:r>
      <w:r w:rsidR="00136C4D" w:rsidRPr="00A808AC">
        <w:rPr>
          <w:rFonts w:eastAsia="Times New Roman"/>
          <w:lang w:eastAsia="es-ES"/>
        </w:rPr>
        <w:t>(</w:t>
      </w:r>
      <w:r w:rsidRPr="00A808AC">
        <w:rPr>
          <w:rFonts w:eastAsia="Times New Roman"/>
          <w:lang w:eastAsia="es-ES"/>
        </w:rPr>
        <w:t xml:space="preserve">alanine transaminase </w:t>
      </w:r>
      <w:r w:rsidR="00136C4D" w:rsidRPr="00A808AC">
        <w:rPr>
          <w:rFonts w:eastAsia="Times New Roman"/>
          <w:lang w:eastAsia="es-ES"/>
        </w:rPr>
        <w:t>[</w:t>
      </w:r>
      <w:r w:rsidRPr="00A808AC">
        <w:rPr>
          <w:rFonts w:eastAsia="Times New Roman"/>
          <w:lang w:eastAsia="es-ES"/>
        </w:rPr>
        <w:t>ALT</w:t>
      </w:r>
      <w:r w:rsidR="00136C4D" w:rsidRPr="00A808AC">
        <w:rPr>
          <w:rFonts w:eastAsia="Times New Roman"/>
          <w:lang w:eastAsia="es-ES"/>
        </w:rPr>
        <w:t xml:space="preserve">] </w:t>
      </w:r>
      <w:r w:rsidRPr="00A808AC">
        <w:rPr>
          <w:rFonts w:eastAsia="Times New Roman"/>
          <w:lang w:eastAsia="es-ES"/>
        </w:rPr>
        <w:t xml:space="preserve">or aspartate transaminase </w:t>
      </w:r>
      <w:r w:rsidR="00136C4D" w:rsidRPr="00A808AC">
        <w:rPr>
          <w:rFonts w:eastAsia="Times New Roman"/>
          <w:lang w:eastAsia="es-ES"/>
        </w:rPr>
        <w:t>[</w:t>
      </w:r>
      <w:r w:rsidRPr="00A808AC">
        <w:rPr>
          <w:rFonts w:eastAsia="Times New Roman"/>
          <w:lang w:eastAsia="es-ES"/>
        </w:rPr>
        <w:t>AST</w:t>
      </w:r>
      <w:r w:rsidR="00136C4D" w:rsidRPr="00A808AC">
        <w:rPr>
          <w:rFonts w:eastAsia="Times New Roman"/>
          <w:lang w:eastAsia="es-ES"/>
        </w:rPr>
        <w:t xml:space="preserve">]) </w:t>
      </w:r>
      <w:r w:rsidRPr="00A808AC">
        <w:rPr>
          <w:rFonts w:eastAsia="Times New Roman"/>
          <w:lang w:eastAsia="es-ES"/>
        </w:rPr>
        <w:t xml:space="preserve">elevations are common in subjects with CF. </w:t>
      </w:r>
      <w:r w:rsidR="00A5675C">
        <w:rPr>
          <w:rFonts w:eastAsia="Times New Roman"/>
          <w:lang w:eastAsia="es-ES"/>
        </w:rPr>
        <w:t xml:space="preserve">Transaminase elevations have </w:t>
      </w:r>
      <w:r w:rsidR="00A5675C" w:rsidRPr="001A3555">
        <w:rPr>
          <w:rFonts w:eastAsia="Times New Roman"/>
          <w:lang w:eastAsia="es-ES"/>
        </w:rPr>
        <w:t xml:space="preserve">been observed in some patients treated with </w:t>
      </w:r>
      <w:r w:rsidR="00A5675C">
        <w:rPr>
          <w:rFonts w:eastAsia="Times New Roman"/>
          <w:lang w:eastAsia="es-ES"/>
        </w:rPr>
        <w:t>ivacaftor</w:t>
      </w:r>
      <w:r w:rsidR="001D1CD8">
        <w:rPr>
          <w:rFonts w:eastAsia="Times New Roman"/>
          <w:lang w:eastAsia="es-ES"/>
        </w:rPr>
        <w:t xml:space="preserve"> as</w:t>
      </w:r>
      <w:r w:rsidR="00A5675C">
        <w:rPr>
          <w:rFonts w:eastAsia="Times New Roman"/>
          <w:lang w:eastAsia="es-ES"/>
        </w:rPr>
        <w:t xml:space="preserve"> monotherapy and in combination regimen</w:t>
      </w:r>
      <w:r w:rsidR="003650AF">
        <w:rPr>
          <w:rFonts w:eastAsia="Times New Roman"/>
          <w:lang w:eastAsia="es-ES"/>
        </w:rPr>
        <w:t>s</w:t>
      </w:r>
      <w:r w:rsidR="00A5675C">
        <w:rPr>
          <w:rFonts w:eastAsia="Times New Roman"/>
          <w:lang w:eastAsia="es-ES"/>
        </w:rPr>
        <w:t xml:space="preserve"> with tezacaftor/ivacaftor</w:t>
      </w:r>
      <w:r w:rsidR="003A351E">
        <w:rPr>
          <w:rFonts w:eastAsia="Times New Roman"/>
          <w:lang w:eastAsia="es-ES"/>
        </w:rPr>
        <w:t xml:space="preserve"> or </w:t>
      </w:r>
      <w:r w:rsidR="001D1CD8">
        <w:rPr>
          <w:rFonts w:eastAsia="Times New Roman"/>
          <w:lang w:eastAsia="es-ES"/>
        </w:rPr>
        <w:t>ivacaftor/tezacaftor/elexacaftor</w:t>
      </w:r>
      <w:r w:rsidR="00A5675C">
        <w:rPr>
          <w:rFonts w:eastAsia="Times New Roman"/>
          <w:lang w:eastAsia="es-ES"/>
        </w:rPr>
        <w:t xml:space="preserve">. </w:t>
      </w:r>
      <w:r w:rsidRPr="00A808AC">
        <w:rPr>
          <w:rFonts w:eastAsia="Times New Roman"/>
          <w:lang w:eastAsia="es-ES"/>
        </w:rPr>
        <w:t>Therefore, liver function tests are recommended for all patients prior to initiating ivacaftor, every 3</w:t>
      </w:r>
      <w:r w:rsidR="000E24CD" w:rsidRPr="00A808AC">
        <w:rPr>
          <w:rFonts w:eastAsia="Times New Roman"/>
          <w:lang w:eastAsia="es-ES"/>
        </w:rPr>
        <w:t> </w:t>
      </w:r>
      <w:r w:rsidRPr="00A808AC">
        <w:rPr>
          <w:rFonts w:eastAsia="Times New Roman"/>
          <w:lang w:eastAsia="es-ES"/>
        </w:rPr>
        <w:t>months during the first year of treatment and annually thereafter. For all patients with a history of transaminase e</w:t>
      </w:r>
      <w:r w:rsidRPr="00A808AC">
        <w:rPr>
          <w:rFonts w:eastAsia="Times New Roman"/>
          <w:lang w:eastAsia="es-ES"/>
        </w:rPr>
        <w:t>levations, more frequent monitoring of liver function tests should be considered.</w:t>
      </w:r>
      <w:r w:rsidR="00A5675C">
        <w:rPr>
          <w:rFonts w:eastAsia="Times New Roman"/>
          <w:lang w:eastAsia="es-ES"/>
        </w:rPr>
        <w:t xml:space="preserve"> </w:t>
      </w:r>
      <w:r w:rsidR="00A5675C" w:rsidRPr="001A3555">
        <w:rPr>
          <w:rFonts w:eastAsia="Times New Roman"/>
          <w:lang w:eastAsia="es-ES"/>
        </w:rPr>
        <w:t>In the event of significant elevations of transaminases (e.g., patients with ALT or AST &gt;</w:t>
      </w:r>
      <w:r w:rsidR="00CE76B9">
        <w:rPr>
          <w:rFonts w:eastAsia="Times New Roman"/>
          <w:lang w:eastAsia="es-ES"/>
        </w:rPr>
        <w:t> </w:t>
      </w:r>
      <w:r w:rsidR="00A5675C" w:rsidRPr="001A3555">
        <w:rPr>
          <w:rFonts w:eastAsia="Times New Roman"/>
          <w:lang w:eastAsia="es-ES"/>
        </w:rPr>
        <w:t>5 x the upper limit of normal (ULN), or ALT or AST &gt;</w:t>
      </w:r>
      <w:r w:rsidR="00CE76B9">
        <w:rPr>
          <w:rFonts w:eastAsia="Times New Roman"/>
          <w:lang w:eastAsia="es-ES"/>
        </w:rPr>
        <w:t> </w:t>
      </w:r>
      <w:r w:rsidR="00A5675C" w:rsidRPr="001A3555">
        <w:rPr>
          <w:rFonts w:eastAsia="Times New Roman"/>
          <w:lang w:eastAsia="es-ES"/>
        </w:rPr>
        <w:t>3 x ULN with bilirubin &gt;</w:t>
      </w:r>
      <w:r w:rsidR="00CE76B9">
        <w:rPr>
          <w:rFonts w:eastAsia="Times New Roman"/>
          <w:lang w:eastAsia="es-ES"/>
        </w:rPr>
        <w:t> </w:t>
      </w:r>
      <w:r w:rsidR="00A5675C" w:rsidRPr="001A3555">
        <w:rPr>
          <w:rFonts w:eastAsia="Times New Roman"/>
          <w:lang w:eastAsia="es-ES"/>
        </w:rPr>
        <w:t>2 x ULN), dosing should be interrupted</w:t>
      </w:r>
      <w:r w:rsidR="00555DFF">
        <w:rPr>
          <w:rFonts w:eastAsia="Times New Roman"/>
          <w:lang w:eastAsia="es-ES"/>
        </w:rPr>
        <w:t>,</w:t>
      </w:r>
      <w:r w:rsidR="00A5675C" w:rsidRPr="001A3555">
        <w:rPr>
          <w:rFonts w:eastAsia="Times New Roman"/>
          <w:lang w:eastAsia="es-ES"/>
        </w:rPr>
        <w:t xml:space="preserve"> and laboratory tests closely followed until the abnormalities resolve. Following resolution of transaminase elevations, the benefits and risks of resuming treatment should be considered (see section 4.8).</w:t>
      </w:r>
    </w:p>
    <w:p w14:paraId="2ED6F7D9" w14:textId="77777777" w:rsidR="00967FA3" w:rsidRPr="000A093B" w:rsidRDefault="00967FA3" w:rsidP="000A093B">
      <w:pPr>
        <w:pStyle w:val="NormalIndent"/>
        <w:keepNext/>
        <w:spacing w:after="0"/>
        <w:ind w:left="0"/>
      </w:pPr>
    </w:p>
    <w:p w14:paraId="07EEFD6D" w14:textId="77777777" w:rsidR="001B26F6" w:rsidRDefault="005A3D7D" w:rsidP="00291F5B">
      <w:pPr>
        <w:keepNext/>
        <w:spacing w:line="240" w:lineRule="auto"/>
        <w:rPr>
          <w:u w:val="single"/>
        </w:rPr>
      </w:pPr>
      <w:bookmarkStart w:id="4" w:name="_Hlk45278421"/>
      <w:r w:rsidRPr="00A808AC">
        <w:rPr>
          <w:u w:val="single"/>
        </w:rPr>
        <w:t>Hepatic impairme</w:t>
      </w:r>
      <w:r w:rsidRPr="00A808AC">
        <w:rPr>
          <w:u w:val="single"/>
        </w:rPr>
        <w:t>nt</w:t>
      </w:r>
    </w:p>
    <w:p w14:paraId="767CFDE9" w14:textId="77777777" w:rsidR="00B20DF3" w:rsidRDefault="00B20DF3" w:rsidP="00291F5B">
      <w:pPr>
        <w:keepNext/>
        <w:spacing w:line="240" w:lineRule="auto"/>
        <w:rPr>
          <w:u w:val="single"/>
        </w:rPr>
      </w:pPr>
    </w:p>
    <w:p w14:paraId="3425C024" w14:textId="6D201815" w:rsidR="006A4931" w:rsidRDefault="005A3D7D" w:rsidP="00A87722">
      <w:pPr>
        <w:spacing w:line="240" w:lineRule="auto"/>
      </w:pPr>
      <w:r w:rsidRPr="00A808AC">
        <w:t>Use of ivacaftor</w:t>
      </w:r>
      <w:r>
        <w:t>,</w:t>
      </w:r>
      <w:r w:rsidRPr="00A808AC">
        <w:t xml:space="preserve"> </w:t>
      </w:r>
      <w:r>
        <w:t xml:space="preserve">either as monotherapy or in a combination regimen with tezacaftor/ivacaftor, </w:t>
      </w:r>
      <w:r w:rsidRPr="00A808AC">
        <w:t>is not recommended in patients with severe hepatic impairment unless the benefits are expected to outweigh the risks.</w:t>
      </w:r>
      <w:r>
        <w:t xml:space="preserve"> Patients with severe hepatic impairment should not be treated with ivacaftor in a combination regimen with ivacaftor/tezacaftor/elexacaftor. (See Table 3 and sections 4.2 and 5.2). </w:t>
      </w:r>
    </w:p>
    <w:p w14:paraId="2748FF85" w14:textId="77777777" w:rsidR="006A4931" w:rsidRDefault="006A4931" w:rsidP="00A87722">
      <w:pPr>
        <w:spacing w:line="240" w:lineRule="auto"/>
      </w:pPr>
    </w:p>
    <w:p w14:paraId="367F4E02" w14:textId="77777777" w:rsidR="00A87722" w:rsidRDefault="005A3D7D" w:rsidP="00A87722">
      <w:pPr>
        <w:spacing w:line="240" w:lineRule="auto"/>
      </w:pPr>
      <w:r>
        <w:t>For patients with moderate hepatic impairment, u</w:t>
      </w:r>
      <w:r w:rsidR="009B1867">
        <w:t xml:space="preserve">se of ivacaftor in a combination regimen with </w:t>
      </w:r>
      <w:r>
        <w:t>ivacaftor/tezacaftor/elexacaftor</w:t>
      </w:r>
      <w:r w:rsidR="009B1867">
        <w:t xml:space="preserve"> is not recommended</w:t>
      </w:r>
      <w:r>
        <w:t>. Treatment should only be considered when there is a clear medical need and the benefits are expected to outweigh the risks. If used, it should be used with caution at a reduced dose</w:t>
      </w:r>
      <w:r w:rsidR="009B1867">
        <w:t xml:space="preserve"> (see</w:t>
      </w:r>
      <w:r>
        <w:t xml:space="preserve"> Table 3 and </w:t>
      </w:r>
      <w:r w:rsidR="009B1867">
        <w:t>sections 4.2 and 5.2).</w:t>
      </w:r>
    </w:p>
    <w:p w14:paraId="4CE08183" w14:textId="77777777" w:rsidR="003B5036" w:rsidRPr="000A093B" w:rsidRDefault="003B5036" w:rsidP="00A87722">
      <w:pPr>
        <w:spacing w:line="240" w:lineRule="auto"/>
      </w:pPr>
    </w:p>
    <w:bookmarkEnd w:id="4"/>
    <w:p w14:paraId="5BD54FD0" w14:textId="77777777" w:rsidR="00F976E8" w:rsidRDefault="005A3D7D" w:rsidP="000A093B">
      <w:pPr>
        <w:keepNext/>
        <w:spacing w:line="240" w:lineRule="auto"/>
        <w:rPr>
          <w:iCs/>
          <w:u w:val="single"/>
        </w:rPr>
      </w:pPr>
      <w:r w:rsidRPr="00A808AC">
        <w:rPr>
          <w:iCs/>
          <w:u w:val="single"/>
        </w:rPr>
        <w:t>Renal impairment</w:t>
      </w:r>
    </w:p>
    <w:p w14:paraId="2163B482" w14:textId="77777777" w:rsidR="00B20DF3" w:rsidRPr="00A808AC" w:rsidRDefault="00B20DF3" w:rsidP="000A093B">
      <w:pPr>
        <w:keepNext/>
        <w:spacing w:line="240" w:lineRule="auto"/>
        <w:rPr>
          <w:iCs/>
          <w:u w:val="single"/>
        </w:rPr>
      </w:pPr>
    </w:p>
    <w:p w14:paraId="09109FD2" w14:textId="29AE1377" w:rsidR="00DD5CCF" w:rsidRPr="000A093B" w:rsidRDefault="005A3D7D" w:rsidP="000A093B">
      <w:pPr>
        <w:pStyle w:val="labeltext"/>
        <w:keepNext/>
        <w:rPr>
          <w:i/>
          <w:sz w:val="22"/>
          <w:lang w:val="en-GB"/>
        </w:rPr>
      </w:pPr>
      <w:r w:rsidRPr="00A808AC">
        <w:rPr>
          <w:sz w:val="22"/>
          <w:szCs w:val="22"/>
          <w:lang w:val="en-GB"/>
        </w:rPr>
        <w:t xml:space="preserve">Caution is recommended while using </w:t>
      </w:r>
      <w:r w:rsidRPr="00A5675C">
        <w:rPr>
          <w:sz w:val="22"/>
          <w:szCs w:val="22"/>
          <w:lang w:val="en-GB"/>
        </w:rPr>
        <w:t>ivacaftor</w:t>
      </w:r>
      <w:r w:rsidR="00A5675C" w:rsidRPr="00A5675C">
        <w:rPr>
          <w:sz w:val="22"/>
          <w:szCs w:val="22"/>
          <w:lang w:val="en-GB"/>
        </w:rPr>
        <w:t xml:space="preserve">, </w:t>
      </w:r>
      <w:r w:rsidR="00A5675C" w:rsidRPr="00A5675C">
        <w:rPr>
          <w:sz w:val="22"/>
          <w:szCs w:val="22"/>
        </w:rPr>
        <w:t xml:space="preserve">either </w:t>
      </w:r>
      <w:r w:rsidR="00A832A0">
        <w:rPr>
          <w:sz w:val="22"/>
          <w:szCs w:val="22"/>
        </w:rPr>
        <w:t>as</w:t>
      </w:r>
      <w:r w:rsidR="00A832A0" w:rsidRPr="00A5675C">
        <w:rPr>
          <w:sz w:val="22"/>
          <w:szCs w:val="22"/>
        </w:rPr>
        <w:t xml:space="preserve"> </w:t>
      </w:r>
      <w:r w:rsidR="00A5675C" w:rsidRPr="00A5675C">
        <w:rPr>
          <w:sz w:val="22"/>
          <w:szCs w:val="22"/>
        </w:rPr>
        <w:t xml:space="preserve">monotherapy or in </w:t>
      </w:r>
      <w:r w:rsidR="00A832A0">
        <w:rPr>
          <w:sz w:val="22"/>
          <w:szCs w:val="22"/>
        </w:rPr>
        <w:t xml:space="preserve">a </w:t>
      </w:r>
      <w:r w:rsidR="00A5675C" w:rsidRPr="00A5675C">
        <w:rPr>
          <w:sz w:val="22"/>
          <w:szCs w:val="22"/>
        </w:rPr>
        <w:t xml:space="preserve">combination </w:t>
      </w:r>
      <w:r w:rsidR="00A5675C">
        <w:rPr>
          <w:sz w:val="22"/>
          <w:szCs w:val="22"/>
        </w:rPr>
        <w:t xml:space="preserve">regimen </w:t>
      </w:r>
      <w:r w:rsidR="00A5675C" w:rsidRPr="00A5675C">
        <w:rPr>
          <w:sz w:val="22"/>
          <w:szCs w:val="22"/>
        </w:rPr>
        <w:t>with tezacaftor/ivacaftor</w:t>
      </w:r>
      <w:r w:rsidR="00903451">
        <w:rPr>
          <w:sz w:val="22"/>
          <w:szCs w:val="22"/>
        </w:rPr>
        <w:t xml:space="preserve"> or </w:t>
      </w:r>
      <w:r w:rsidR="00A832A0">
        <w:rPr>
          <w:sz w:val="22"/>
          <w:szCs w:val="22"/>
        </w:rPr>
        <w:t>ivacaftor/tezacaftor/elexacaftor</w:t>
      </w:r>
      <w:r w:rsidR="00A5675C" w:rsidRPr="00A5675C">
        <w:rPr>
          <w:sz w:val="22"/>
          <w:szCs w:val="22"/>
        </w:rPr>
        <w:t>,</w:t>
      </w:r>
      <w:r w:rsidRPr="00A5675C">
        <w:rPr>
          <w:sz w:val="22"/>
          <w:szCs w:val="22"/>
          <w:lang w:val="en-GB"/>
        </w:rPr>
        <w:t xml:space="preserve"> in patients with severe renal impairm</w:t>
      </w:r>
      <w:r w:rsidRPr="00A5675C">
        <w:rPr>
          <w:sz w:val="22"/>
          <w:szCs w:val="22"/>
          <w:lang w:val="en-GB"/>
        </w:rPr>
        <w:t>ent or end</w:t>
      </w:r>
      <w:r w:rsidRPr="00A5675C">
        <w:rPr>
          <w:sz w:val="22"/>
          <w:szCs w:val="22"/>
          <w:lang w:val="en-GB"/>
        </w:rPr>
        <w:noBreakHyphen/>
        <w:t>stage renal disease (see sections 4.2 and 5.2).</w:t>
      </w:r>
    </w:p>
    <w:p w14:paraId="5DCFDE6E" w14:textId="77777777" w:rsidR="00F976E8" w:rsidRPr="00A808AC" w:rsidRDefault="00F976E8" w:rsidP="000D02CF">
      <w:pPr>
        <w:spacing w:line="240" w:lineRule="auto"/>
      </w:pPr>
    </w:p>
    <w:p w14:paraId="0A950312" w14:textId="77777777" w:rsidR="00F976E8" w:rsidRDefault="005A3D7D" w:rsidP="00291F5B">
      <w:pPr>
        <w:keepNext/>
        <w:spacing w:line="240" w:lineRule="auto"/>
        <w:rPr>
          <w:u w:val="single"/>
        </w:rPr>
      </w:pPr>
      <w:r w:rsidRPr="00A808AC">
        <w:rPr>
          <w:u w:val="single"/>
        </w:rPr>
        <w:t>Patients after organ transplantation</w:t>
      </w:r>
    </w:p>
    <w:p w14:paraId="11A38C9A" w14:textId="77777777" w:rsidR="00B20DF3" w:rsidRPr="00A808AC" w:rsidRDefault="00B20DF3" w:rsidP="00291F5B">
      <w:pPr>
        <w:keepNext/>
        <w:spacing w:line="240" w:lineRule="auto"/>
        <w:rPr>
          <w:u w:val="single"/>
        </w:rPr>
      </w:pPr>
    </w:p>
    <w:p w14:paraId="4A55B93A" w14:textId="162D8CDB" w:rsidR="00F976E8" w:rsidRPr="00A808AC" w:rsidRDefault="005A3D7D" w:rsidP="000A093B">
      <w:pPr>
        <w:keepNext/>
        <w:spacing w:line="240" w:lineRule="auto"/>
      </w:pPr>
      <w:r w:rsidRPr="00A808AC">
        <w:t>Ivacaftor</w:t>
      </w:r>
      <w:r w:rsidR="00A5675C" w:rsidRPr="00A5675C">
        <w:t xml:space="preserve">, either </w:t>
      </w:r>
      <w:r w:rsidR="00A832A0">
        <w:t>as</w:t>
      </w:r>
      <w:r w:rsidR="00A832A0" w:rsidRPr="00A5675C">
        <w:t xml:space="preserve"> </w:t>
      </w:r>
      <w:r w:rsidR="00A5675C" w:rsidRPr="00A5675C">
        <w:t xml:space="preserve">monotherapy or in </w:t>
      </w:r>
      <w:r w:rsidR="00A832A0">
        <w:t xml:space="preserve">a </w:t>
      </w:r>
      <w:r w:rsidR="00A5675C" w:rsidRPr="00A5675C">
        <w:t xml:space="preserve">combination </w:t>
      </w:r>
      <w:r w:rsidR="00A5675C">
        <w:t xml:space="preserve">regimen </w:t>
      </w:r>
      <w:r w:rsidR="00A5675C" w:rsidRPr="00A5675C">
        <w:t>with tezacaftor/ivacaftor</w:t>
      </w:r>
      <w:r w:rsidR="00903451">
        <w:t xml:space="preserve"> or </w:t>
      </w:r>
      <w:r w:rsidR="00A832A0">
        <w:t>ivacaftor/tezacaftor/elexacaftor</w:t>
      </w:r>
      <w:r w:rsidR="00A5675C" w:rsidRPr="00A5675C">
        <w:t>,</w:t>
      </w:r>
      <w:r w:rsidRPr="00A808AC">
        <w:t xml:space="preserve"> has not been studied in patients with CF who have undergone organ transplantation. Therefore, use in transplanted patients is not recommended. See section 4.5 for interactions with ciclosporin or tacrolimus.</w:t>
      </w:r>
    </w:p>
    <w:p w14:paraId="55AFB245" w14:textId="77777777" w:rsidR="005353B1" w:rsidRDefault="005353B1" w:rsidP="000A093B">
      <w:pPr>
        <w:keepNext/>
        <w:tabs>
          <w:tab w:val="clear" w:pos="567"/>
          <w:tab w:val="left" w:pos="720"/>
        </w:tabs>
        <w:spacing w:line="240" w:lineRule="auto"/>
        <w:rPr>
          <w:u w:val="single"/>
        </w:rPr>
      </w:pPr>
    </w:p>
    <w:p w14:paraId="5056F6DA" w14:textId="77777777" w:rsidR="005353B1" w:rsidRDefault="005A3D7D" w:rsidP="005353B1">
      <w:pPr>
        <w:keepNext/>
        <w:tabs>
          <w:tab w:val="clear" w:pos="567"/>
          <w:tab w:val="left" w:pos="720"/>
        </w:tabs>
        <w:spacing w:line="240" w:lineRule="auto"/>
        <w:rPr>
          <w:u w:val="single"/>
        </w:rPr>
      </w:pPr>
      <w:r>
        <w:rPr>
          <w:u w:val="single"/>
        </w:rPr>
        <w:t xml:space="preserve">Rash events </w:t>
      </w:r>
    </w:p>
    <w:p w14:paraId="3348F7B7" w14:textId="77777777" w:rsidR="005353B1" w:rsidRPr="000A093B" w:rsidRDefault="005353B1" w:rsidP="000A093B">
      <w:pPr>
        <w:keepNext/>
        <w:tabs>
          <w:tab w:val="clear" w:pos="567"/>
          <w:tab w:val="left" w:pos="720"/>
        </w:tabs>
        <w:spacing w:line="240" w:lineRule="auto"/>
      </w:pPr>
    </w:p>
    <w:p w14:paraId="1153FE40" w14:textId="5A06BD79" w:rsidR="00A9183F" w:rsidRPr="006E2510" w:rsidRDefault="005A3D7D" w:rsidP="005353B1">
      <w:pPr>
        <w:keepNext/>
        <w:tabs>
          <w:tab w:val="clear" w:pos="567"/>
          <w:tab w:val="left" w:pos="720"/>
        </w:tabs>
        <w:spacing w:line="240" w:lineRule="auto"/>
        <w:rPr>
          <w:i/>
        </w:rPr>
      </w:pPr>
      <w:r>
        <w:t xml:space="preserve">The </w:t>
      </w:r>
      <w:r w:rsidR="009B1867">
        <w:t>incidence of rash events with ivacaftor in a combination regimen with ivacaftor/tezacaftor/elexacaftor was higher in females than in males</w:t>
      </w:r>
      <w:r w:rsidR="009B1867">
        <w:rPr>
          <w:lang w:val="en-US"/>
        </w:rPr>
        <w:t>, particularly in females taking hormonal contraceptives</w:t>
      </w:r>
      <w:r w:rsidR="009B1867">
        <w:t>. A role for hormonal contraceptives in the occurrence of rash cannot be excluded. For patients taking hormonal contraceptives who develop rash, interrupting treatment with ivacaftor in a combination regimen with ivacaftor/tezacaftor/elexacaftor and hormonal contraceptives should be considered. Following the resolution of rash, it should be considered if resuming ivacaftor in a combination regimen with ivacaftor/tezacaftor/elexacaftor without hormonal contraceptives is appropriate. If rash does not recur, resumption of hormonal contraceptives can be considered (see section 4.8).</w:t>
      </w:r>
      <w:r w:rsidR="009B1867">
        <w:rPr>
          <w:i/>
        </w:rPr>
        <w:t xml:space="preserve"> </w:t>
      </w:r>
    </w:p>
    <w:p w14:paraId="5E4D9DC3" w14:textId="77777777" w:rsidR="00F976E8" w:rsidRPr="00A808AC" w:rsidRDefault="00F976E8" w:rsidP="000D02CF">
      <w:pPr>
        <w:spacing w:line="240" w:lineRule="auto"/>
        <w:rPr>
          <w:u w:val="single"/>
        </w:rPr>
      </w:pPr>
    </w:p>
    <w:p w14:paraId="62AA2ABD" w14:textId="77777777" w:rsidR="00F976E8" w:rsidRDefault="005A3D7D" w:rsidP="00291F5B">
      <w:pPr>
        <w:keepNext/>
        <w:spacing w:line="240" w:lineRule="auto"/>
        <w:rPr>
          <w:u w:val="single"/>
        </w:rPr>
      </w:pPr>
      <w:r w:rsidRPr="00A808AC">
        <w:rPr>
          <w:u w:val="single"/>
        </w:rPr>
        <w:t>Interactions w</w:t>
      </w:r>
      <w:r w:rsidRPr="00A808AC">
        <w:rPr>
          <w:u w:val="single"/>
        </w:rPr>
        <w:t>ith medicinal products</w:t>
      </w:r>
    </w:p>
    <w:p w14:paraId="353679E4" w14:textId="77777777" w:rsidR="00002A05" w:rsidRDefault="00002A05" w:rsidP="00291F5B">
      <w:pPr>
        <w:keepNext/>
        <w:spacing w:line="240" w:lineRule="auto"/>
        <w:rPr>
          <w:u w:val="single"/>
        </w:rPr>
      </w:pPr>
    </w:p>
    <w:p w14:paraId="05EEE285" w14:textId="77777777" w:rsidR="005B5E49" w:rsidRDefault="005A3D7D" w:rsidP="000A093B">
      <w:pPr>
        <w:keepNext/>
        <w:spacing w:line="240" w:lineRule="auto"/>
        <w:rPr>
          <w:i/>
        </w:rPr>
      </w:pPr>
      <w:r w:rsidRPr="003F1CB4">
        <w:rPr>
          <w:i/>
        </w:rPr>
        <w:t>CYP3A inducers</w:t>
      </w:r>
    </w:p>
    <w:p w14:paraId="3874AEC1" w14:textId="77777777" w:rsidR="00B154A2" w:rsidRDefault="00B154A2" w:rsidP="000A093B">
      <w:pPr>
        <w:keepNext/>
        <w:spacing w:line="240" w:lineRule="auto"/>
        <w:rPr>
          <w:i/>
        </w:rPr>
      </w:pPr>
    </w:p>
    <w:p w14:paraId="6F6102EB" w14:textId="557AB129" w:rsidR="00A808AC" w:rsidRPr="00D34757" w:rsidRDefault="005A3D7D" w:rsidP="000A093B">
      <w:pPr>
        <w:keepNext/>
        <w:spacing w:line="240" w:lineRule="auto"/>
      </w:pPr>
      <w:r w:rsidRPr="00D34757">
        <w:t xml:space="preserve">Exposure to ivacaftor </w:t>
      </w:r>
      <w:r w:rsidR="00B154A2">
        <w:t xml:space="preserve">is significantly decreased and exposures to elexacaftor and tezacaftor are expected to decrease </w:t>
      </w:r>
      <w:r w:rsidRPr="00D34757">
        <w:t>by the concomitant use of CYP3A inducers, potentially resulting in the loss of ivacaftor efficacy</w:t>
      </w:r>
      <w:r w:rsidR="00B154A2">
        <w:t>;</w:t>
      </w:r>
      <w:r w:rsidRPr="00D34757">
        <w:t xml:space="preserve"> </w:t>
      </w:r>
      <w:r w:rsidR="00B154A2">
        <w:t>t</w:t>
      </w:r>
      <w:r w:rsidR="00B154A2" w:rsidRPr="00D34757">
        <w:t>herefore</w:t>
      </w:r>
      <w:r w:rsidRPr="00D34757">
        <w:t xml:space="preserve">, co-administration </w:t>
      </w:r>
      <w:r w:rsidR="00F70A47">
        <w:t xml:space="preserve">of </w:t>
      </w:r>
      <w:r w:rsidR="00B154A2">
        <w:t xml:space="preserve">ivacaftor </w:t>
      </w:r>
      <w:r w:rsidR="00F70A47">
        <w:t>(</w:t>
      </w:r>
      <w:r w:rsidR="00B154A2">
        <w:t xml:space="preserve">as </w:t>
      </w:r>
      <w:r w:rsidR="00F70A47">
        <w:t xml:space="preserve">monotherapy or in </w:t>
      </w:r>
      <w:r w:rsidR="005A603D">
        <w:t xml:space="preserve">a </w:t>
      </w:r>
      <w:r w:rsidR="00F70A47">
        <w:t>combination</w:t>
      </w:r>
      <w:r w:rsidR="002E14C4">
        <w:t xml:space="preserve"> regimen</w:t>
      </w:r>
      <w:r w:rsidR="007459D6" w:rsidRPr="007459D6">
        <w:t xml:space="preserve"> with tezacaftor/ivacaftor</w:t>
      </w:r>
      <w:r w:rsidR="00903451">
        <w:t xml:space="preserve"> or </w:t>
      </w:r>
      <w:r w:rsidR="00B154A2">
        <w:t>ivacaftor/tezacaftor/elexacaftor</w:t>
      </w:r>
      <w:r w:rsidR="007459D6" w:rsidRPr="007459D6">
        <w:t xml:space="preserve">) </w:t>
      </w:r>
      <w:r w:rsidRPr="00D34757">
        <w:t>with strong CYP3A inducers is not recommended (see section</w:t>
      </w:r>
      <w:r w:rsidR="00573B9A">
        <w:t> </w:t>
      </w:r>
      <w:r w:rsidRPr="00D34757">
        <w:t xml:space="preserve">4.5). </w:t>
      </w:r>
    </w:p>
    <w:p w14:paraId="77B9E548" w14:textId="77777777" w:rsidR="00A808AC" w:rsidRPr="003F1CB4" w:rsidRDefault="00A808AC" w:rsidP="000D02CF">
      <w:pPr>
        <w:pStyle w:val="labeltext"/>
      </w:pPr>
    </w:p>
    <w:p w14:paraId="319DFB5C" w14:textId="77777777" w:rsidR="00A808AC" w:rsidRDefault="005A3D7D" w:rsidP="00291F5B">
      <w:pPr>
        <w:pStyle w:val="labeltext"/>
        <w:keepNext/>
        <w:keepLines/>
        <w:rPr>
          <w:i/>
          <w:sz w:val="22"/>
          <w:szCs w:val="22"/>
        </w:rPr>
      </w:pPr>
      <w:r w:rsidRPr="003F1CB4">
        <w:rPr>
          <w:i/>
          <w:sz w:val="22"/>
          <w:szCs w:val="22"/>
        </w:rPr>
        <w:t>CYP3A inhibitors</w:t>
      </w:r>
    </w:p>
    <w:p w14:paraId="14C0CA2C" w14:textId="77777777" w:rsidR="00B154A2" w:rsidRPr="003F1CB4" w:rsidRDefault="00B154A2" w:rsidP="00291F5B">
      <w:pPr>
        <w:pStyle w:val="labeltext"/>
        <w:keepNext/>
        <w:keepLines/>
        <w:rPr>
          <w:i/>
          <w:sz w:val="22"/>
          <w:szCs w:val="22"/>
        </w:rPr>
      </w:pPr>
    </w:p>
    <w:p w14:paraId="4318B3FB" w14:textId="056BC9F6" w:rsidR="00CA0F8B" w:rsidRPr="000A093B" w:rsidRDefault="005A3D7D" w:rsidP="00291F5B">
      <w:pPr>
        <w:pStyle w:val="labeltext"/>
        <w:keepNext/>
        <w:keepLines/>
        <w:rPr>
          <w:sz w:val="22"/>
        </w:rPr>
      </w:pPr>
      <w:r>
        <w:rPr>
          <w:sz w:val="22"/>
          <w:szCs w:val="22"/>
        </w:rPr>
        <w:t xml:space="preserve">Exposure to ivacaftor, tezacaftor and elexacaftor are increased when co-administered with strong or moderate CYP3A inhibitors. </w:t>
      </w:r>
      <w:r w:rsidR="0081173C">
        <w:rPr>
          <w:sz w:val="22"/>
          <w:szCs w:val="22"/>
        </w:rPr>
        <w:t xml:space="preserve">The dose of </w:t>
      </w:r>
      <w:r>
        <w:rPr>
          <w:sz w:val="22"/>
          <w:szCs w:val="22"/>
        </w:rPr>
        <w:t xml:space="preserve">ivacaftor </w:t>
      </w:r>
      <w:r w:rsidR="00F70A47">
        <w:rPr>
          <w:sz w:val="22"/>
          <w:szCs w:val="22"/>
        </w:rPr>
        <w:t>(</w:t>
      </w:r>
      <w:r>
        <w:rPr>
          <w:sz w:val="22"/>
          <w:szCs w:val="22"/>
        </w:rPr>
        <w:t xml:space="preserve">as </w:t>
      </w:r>
      <w:r w:rsidR="00F70A47">
        <w:rPr>
          <w:sz w:val="22"/>
          <w:szCs w:val="22"/>
        </w:rPr>
        <w:t xml:space="preserve">monotherapy or in </w:t>
      </w:r>
      <w:r w:rsidR="005A603D">
        <w:rPr>
          <w:sz w:val="22"/>
          <w:szCs w:val="22"/>
        </w:rPr>
        <w:t xml:space="preserve">a </w:t>
      </w:r>
      <w:r w:rsidR="00F70A47">
        <w:rPr>
          <w:sz w:val="22"/>
          <w:szCs w:val="22"/>
        </w:rPr>
        <w:t xml:space="preserve">combination </w:t>
      </w:r>
      <w:r w:rsidR="002E14C4">
        <w:rPr>
          <w:sz w:val="22"/>
          <w:szCs w:val="22"/>
        </w:rPr>
        <w:t xml:space="preserve">regimen </w:t>
      </w:r>
      <w:r w:rsidR="007459D6" w:rsidRPr="007459D6">
        <w:rPr>
          <w:sz w:val="22"/>
          <w:szCs w:val="22"/>
        </w:rPr>
        <w:t>with tezacaftor/ivacaftor</w:t>
      </w:r>
      <w:r w:rsidR="00903451">
        <w:rPr>
          <w:sz w:val="22"/>
          <w:szCs w:val="22"/>
        </w:rPr>
        <w:t xml:space="preserve"> </w:t>
      </w:r>
      <w:r w:rsidR="00903451" w:rsidRPr="00B154A2">
        <w:rPr>
          <w:sz w:val="22"/>
          <w:szCs w:val="22"/>
        </w:rPr>
        <w:t xml:space="preserve">or </w:t>
      </w:r>
      <w:r w:rsidRPr="00B154A2">
        <w:rPr>
          <w:sz w:val="22"/>
          <w:szCs w:val="22"/>
        </w:rPr>
        <w:t>ivacaftor/tezacaftor/elexacaftor</w:t>
      </w:r>
      <w:r w:rsidR="007459D6" w:rsidRPr="007459D6">
        <w:rPr>
          <w:sz w:val="22"/>
          <w:szCs w:val="22"/>
        </w:rPr>
        <w:t xml:space="preserve">) </w:t>
      </w:r>
      <w:r w:rsidR="00EA039D" w:rsidRPr="00460B2B">
        <w:rPr>
          <w:sz w:val="22"/>
          <w:szCs w:val="22"/>
        </w:rPr>
        <w:t xml:space="preserve">must be adjusted when </w:t>
      </w:r>
      <w:r w:rsidR="00BF4657">
        <w:rPr>
          <w:sz w:val="22"/>
          <w:szCs w:val="22"/>
        </w:rPr>
        <w:t xml:space="preserve">used </w:t>
      </w:r>
      <w:r w:rsidR="00EA039D" w:rsidRPr="00460B2B">
        <w:rPr>
          <w:sz w:val="22"/>
          <w:szCs w:val="22"/>
        </w:rPr>
        <w:t xml:space="preserve">concomitantly with strong or moderate CYP3A inhibitors (see </w:t>
      </w:r>
      <w:r w:rsidR="006E2510">
        <w:rPr>
          <w:sz w:val="22"/>
          <w:szCs w:val="22"/>
        </w:rPr>
        <w:t>Table</w:t>
      </w:r>
      <w:r w:rsidR="00F36197">
        <w:rPr>
          <w:sz w:val="22"/>
          <w:szCs w:val="22"/>
        </w:rPr>
        <w:t> </w:t>
      </w:r>
      <w:r w:rsidR="006E2510">
        <w:rPr>
          <w:sz w:val="22"/>
          <w:szCs w:val="22"/>
        </w:rPr>
        <w:t xml:space="preserve">2 and </w:t>
      </w:r>
      <w:r w:rsidR="00EA039D" w:rsidRPr="00460B2B">
        <w:rPr>
          <w:sz w:val="22"/>
          <w:szCs w:val="22"/>
        </w:rPr>
        <w:t>section</w:t>
      </w:r>
      <w:r w:rsidR="006A5B89" w:rsidRPr="00460B2B">
        <w:rPr>
          <w:sz w:val="22"/>
          <w:szCs w:val="22"/>
        </w:rPr>
        <w:t>s</w:t>
      </w:r>
      <w:r w:rsidR="00F62811" w:rsidRPr="00460B2B">
        <w:rPr>
          <w:sz w:val="22"/>
          <w:szCs w:val="22"/>
        </w:rPr>
        <w:t> </w:t>
      </w:r>
      <w:r w:rsidR="00EA039D" w:rsidRPr="00460B2B">
        <w:rPr>
          <w:sz w:val="22"/>
          <w:szCs w:val="22"/>
        </w:rPr>
        <w:t>4.2</w:t>
      </w:r>
      <w:r w:rsidR="002A52E9" w:rsidRPr="00460B2B">
        <w:rPr>
          <w:sz w:val="22"/>
          <w:szCs w:val="22"/>
        </w:rPr>
        <w:t xml:space="preserve"> and 4.5</w:t>
      </w:r>
      <w:r w:rsidR="00EA039D" w:rsidRPr="00460B2B">
        <w:rPr>
          <w:sz w:val="22"/>
          <w:szCs w:val="22"/>
        </w:rPr>
        <w:t>).</w:t>
      </w:r>
    </w:p>
    <w:p w14:paraId="25BD6E4A" w14:textId="77777777" w:rsidR="001F3335" w:rsidRPr="00E66F6D" w:rsidRDefault="001F3335" w:rsidP="000A093B">
      <w:pPr>
        <w:pStyle w:val="labeltext"/>
        <w:keepNext/>
        <w:keepLines/>
      </w:pPr>
    </w:p>
    <w:p w14:paraId="6F3CD902" w14:textId="77777777" w:rsidR="007451ED" w:rsidRDefault="005A3D7D" w:rsidP="000A093B">
      <w:pPr>
        <w:keepNext/>
        <w:spacing w:line="240" w:lineRule="auto"/>
        <w:rPr>
          <w:bCs/>
          <w:u w:val="single"/>
        </w:rPr>
      </w:pPr>
      <w:r>
        <w:rPr>
          <w:bCs/>
          <w:u w:val="single"/>
        </w:rPr>
        <w:t>Paediatric population</w:t>
      </w:r>
    </w:p>
    <w:p w14:paraId="0C5E108D" w14:textId="77777777" w:rsidR="007451ED" w:rsidRPr="000A093B" w:rsidRDefault="007451ED" w:rsidP="000A093B">
      <w:pPr>
        <w:keepNext/>
        <w:spacing w:line="240" w:lineRule="auto"/>
        <w:rPr>
          <w:u w:val="single"/>
        </w:rPr>
      </w:pPr>
    </w:p>
    <w:p w14:paraId="0FAD9737" w14:textId="706B54BD" w:rsidR="00F976E8" w:rsidRPr="000A093B" w:rsidRDefault="005A3D7D" w:rsidP="000A093B">
      <w:pPr>
        <w:keepNext/>
        <w:spacing w:line="240" w:lineRule="auto"/>
      </w:pPr>
      <w:r w:rsidRPr="00A808AC">
        <w:rPr>
          <w:bCs/>
          <w:iCs/>
        </w:rPr>
        <w:t>Cases of non</w:t>
      </w:r>
      <w:r w:rsidRPr="00A808AC">
        <w:rPr>
          <w:bCs/>
          <w:iCs/>
        </w:rPr>
        <w:noBreakHyphen/>
        <w:t>congenital lens opacities</w:t>
      </w:r>
      <w:r w:rsidR="007451ED">
        <w:rPr>
          <w:bCs/>
          <w:iCs/>
        </w:rPr>
        <w:t>/cataracts</w:t>
      </w:r>
      <w:r w:rsidRPr="00A808AC">
        <w:rPr>
          <w:bCs/>
          <w:iCs/>
        </w:rPr>
        <w:t xml:space="preserve"> without impact on vision have been reported in paediatric patients treated with </w:t>
      </w:r>
      <w:r w:rsidR="0042313F">
        <w:rPr>
          <w:bCs/>
          <w:iCs/>
        </w:rPr>
        <w:t xml:space="preserve">ivacaftor and </w:t>
      </w:r>
      <w:r w:rsidRPr="00A808AC">
        <w:rPr>
          <w:bCs/>
          <w:iCs/>
        </w:rPr>
        <w:t>ivacaftor</w:t>
      </w:r>
      <w:r w:rsidR="002A4219">
        <w:rPr>
          <w:bCs/>
          <w:iCs/>
        </w:rPr>
        <w:t>-containing regimens</w:t>
      </w:r>
      <w:r w:rsidRPr="00A808AC">
        <w:rPr>
          <w:bCs/>
          <w:iCs/>
        </w:rPr>
        <w:t>. Although other risk factors were present in some cases (such as corticosteroid use and exposure to radiation)</w:t>
      </w:r>
      <w:r w:rsidR="0068281C" w:rsidRPr="00A808AC">
        <w:rPr>
          <w:bCs/>
          <w:iCs/>
        </w:rPr>
        <w:t>,</w:t>
      </w:r>
      <w:r w:rsidRPr="00A808AC">
        <w:rPr>
          <w:bCs/>
          <w:iCs/>
        </w:rPr>
        <w:t xml:space="preserve"> a possible risk att</w:t>
      </w:r>
      <w:r w:rsidRPr="00A808AC">
        <w:rPr>
          <w:bCs/>
          <w:iCs/>
        </w:rPr>
        <w:t xml:space="preserve">ributable to </w:t>
      </w:r>
      <w:r w:rsidR="00BF4657">
        <w:rPr>
          <w:bCs/>
          <w:iCs/>
        </w:rPr>
        <w:t>treatment</w:t>
      </w:r>
      <w:r w:rsidR="00BF4657" w:rsidRPr="00A808AC">
        <w:rPr>
          <w:bCs/>
          <w:iCs/>
        </w:rPr>
        <w:t xml:space="preserve"> </w:t>
      </w:r>
      <w:r w:rsidR="007451ED">
        <w:rPr>
          <w:bCs/>
          <w:iCs/>
        </w:rPr>
        <w:t xml:space="preserve">with ivacaftor </w:t>
      </w:r>
      <w:r w:rsidRPr="00A808AC">
        <w:rPr>
          <w:bCs/>
          <w:iCs/>
        </w:rPr>
        <w:t>cannot be excluded. Baseline and follow</w:t>
      </w:r>
      <w:r w:rsidRPr="00A808AC">
        <w:rPr>
          <w:bCs/>
          <w:iCs/>
        </w:rPr>
        <w:noBreakHyphen/>
        <w:t>up ophthalmological examinations are recommended in paediatric patients initiating ivacaftor treatment</w:t>
      </w:r>
      <w:r w:rsidR="00BF4657" w:rsidRPr="00A5675C">
        <w:t xml:space="preserve">, either </w:t>
      </w:r>
      <w:r w:rsidR="007451ED">
        <w:t>as</w:t>
      </w:r>
      <w:r w:rsidR="007451ED" w:rsidRPr="00A5675C">
        <w:t xml:space="preserve"> </w:t>
      </w:r>
      <w:r w:rsidR="00BF4657" w:rsidRPr="00A5675C">
        <w:t xml:space="preserve">monotherapy or in </w:t>
      </w:r>
      <w:r w:rsidR="007451ED">
        <w:t xml:space="preserve">a </w:t>
      </w:r>
      <w:r w:rsidR="00BF4657" w:rsidRPr="00A5675C">
        <w:t xml:space="preserve">combination </w:t>
      </w:r>
      <w:r w:rsidR="00BF4657">
        <w:t xml:space="preserve">regimen </w:t>
      </w:r>
      <w:r w:rsidR="00BF4657" w:rsidRPr="00A5675C">
        <w:t>with tezacaftor/ivacaftor</w:t>
      </w:r>
      <w:r w:rsidR="00903451">
        <w:t xml:space="preserve"> or </w:t>
      </w:r>
      <w:r w:rsidR="007451ED">
        <w:t>ivacaftor/tezacaftor/elexacaftor</w:t>
      </w:r>
      <w:r w:rsidR="00BF4657">
        <w:t xml:space="preserve"> </w:t>
      </w:r>
      <w:r w:rsidR="00BF4657">
        <w:rPr>
          <w:bCs/>
          <w:iCs/>
        </w:rPr>
        <w:t>(see section</w:t>
      </w:r>
      <w:r w:rsidR="00573B9A">
        <w:rPr>
          <w:bCs/>
          <w:iCs/>
        </w:rPr>
        <w:t> </w:t>
      </w:r>
      <w:r w:rsidR="00BF4657">
        <w:rPr>
          <w:bCs/>
          <w:iCs/>
        </w:rPr>
        <w:t>5.3)</w:t>
      </w:r>
      <w:r w:rsidRPr="00A808AC">
        <w:rPr>
          <w:bCs/>
          <w:iCs/>
        </w:rPr>
        <w:t>.</w:t>
      </w:r>
    </w:p>
    <w:p w14:paraId="118ECFFB" w14:textId="77777777" w:rsidR="00F03D21" w:rsidRDefault="00F03D21" w:rsidP="000A093B">
      <w:pPr>
        <w:keepNext/>
        <w:spacing w:line="240" w:lineRule="auto"/>
        <w:rPr>
          <w:bCs/>
          <w:iCs/>
        </w:rPr>
      </w:pPr>
    </w:p>
    <w:p w14:paraId="2ECD9019" w14:textId="77777777" w:rsidR="00F976E8" w:rsidRDefault="005A3D7D" w:rsidP="000A093B">
      <w:pPr>
        <w:keepNext/>
        <w:spacing w:line="240" w:lineRule="auto"/>
        <w:rPr>
          <w:u w:val="single"/>
        </w:rPr>
      </w:pPr>
      <w:r w:rsidRPr="00A808AC">
        <w:rPr>
          <w:u w:val="single"/>
        </w:rPr>
        <w:t>Lactose</w:t>
      </w:r>
      <w:r w:rsidR="00B20DF3">
        <w:rPr>
          <w:u w:val="single"/>
        </w:rPr>
        <w:t xml:space="preserve"> content</w:t>
      </w:r>
    </w:p>
    <w:p w14:paraId="1F1DE69A" w14:textId="77777777" w:rsidR="00B20DF3" w:rsidRPr="00A808AC" w:rsidRDefault="00B20DF3" w:rsidP="000A093B">
      <w:pPr>
        <w:keepNext/>
        <w:spacing w:line="240" w:lineRule="auto"/>
        <w:rPr>
          <w:u w:val="single"/>
        </w:rPr>
      </w:pPr>
    </w:p>
    <w:p w14:paraId="59245B6A" w14:textId="4A7E176F" w:rsidR="00F976E8" w:rsidRPr="00A808AC" w:rsidRDefault="005A3D7D" w:rsidP="000A093B">
      <w:pPr>
        <w:keepNext/>
        <w:spacing w:line="240" w:lineRule="auto"/>
      </w:pPr>
      <w:r w:rsidRPr="00A808AC">
        <w:t>Kalydeco</w:t>
      </w:r>
      <w:r w:rsidR="009800DB" w:rsidRPr="00A808AC">
        <w:t xml:space="preserve"> </w:t>
      </w:r>
      <w:r w:rsidR="009B1867" w:rsidRPr="00A808AC">
        <w:t xml:space="preserve">contains lactose. Patients with rare hereditary problems of galactose intolerance, </w:t>
      </w:r>
      <w:r w:rsidR="00BF4657">
        <w:t>total</w:t>
      </w:r>
      <w:r w:rsidR="00BF4657" w:rsidRPr="00A808AC">
        <w:t xml:space="preserve"> </w:t>
      </w:r>
      <w:r w:rsidR="009B1867" w:rsidRPr="00A808AC">
        <w:t>lactase deficiency or glucose</w:t>
      </w:r>
      <w:r w:rsidR="009B1867" w:rsidRPr="00A808AC">
        <w:noBreakHyphen/>
        <w:t>galactose malabsorption should not take this medicin</w:t>
      </w:r>
      <w:r w:rsidR="00BF4657">
        <w:t>e</w:t>
      </w:r>
      <w:r w:rsidR="009B1867" w:rsidRPr="00A808AC">
        <w:t>.</w:t>
      </w:r>
    </w:p>
    <w:p w14:paraId="62D3D78F" w14:textId="77777777" w:rsidR="00F976E8" w:rsidRDefault="00F976E8" w:rsidP="000D02CF">
      <w:pPr>
        <w:spacing w:line="240" w:lineRule="auto"/>
      </w:pPr>
    </w:p>
    <w:p w14:paraId="740171EC" w14:textId="77777777" w:rsidR="00714FC1" w:rsidRDefault="005A3D7D" w:rsidP="000A093B">
      <w:pPr>
        <w:keepNext/>
        <w:spacing w:line="240" w:lineRule="auto"/>
        <w:rPr>
          <w:u w:val="single"/>
        </w:rPr>
      </w:pPr>
      <w:r w:rsidRPr="00714FC1">
        <w:rPr>
          <w:u w:val="single"/>
        </w:rPr>
        <w:t>Sodium</w:t>
      </w:r>
      <w:r w:rsidR="00B20DF3">
        <w:rPr>
          <w:u w:val="single"/>
        </w:rPr>
        <w:t xml:space="preserve"> content</w:t>
      </w:r>
    </w:p>
    <w:p w14:paraId="767C56EE" w14:textId="77777777" w:rsidR="00B20DF3" w:rsidRPr="00714FC1" w:rsidRDefault="00B20DF3" w:rsidP="000A093B">
      <w:pPr>
        <w:keepNext/>
        <w:spacing w:line="240" w:lineRule="auto"/>
        <w:rPr>
          <w:u w:val="single"/>
        </w:rPr>
      </w:pPr>
    </w:p>
    <w:p w14:paraId="1B1FCD64" w14:textId="77777777" w:rsidR="00714FC1" w:rsidRDefault="005A3D7D" w:rsidP="000A093B">
      <w:pPr>
        <w:keepNext/>
        <w:spacing w:line="240" w:lineRule="auto"/>
      </w:pPr>
      <w:r w:rsidRPr="00714FC1">
        <w:t>This medicine contains less than 1</w:t>
      </w:r>
      <w:r>
        <w:t> </w:t>
      </w:r>
      <w:r w:rsidRPr="00714FC1">
        <w:t>mmol sodium (23</w:t>
      </w:r>
      <w:r>
        <w:t> </w:t>
      </w:r>
      <w:r w:rsidRPr="00714FC1">
        <w:t xml:space="preserve">mg) per dose, </w:t>
      </w:r>
      <w:r w:rsidRPr="00714FC1">
        <w:t>that is to say essentially ‘sodium</w:t>
      </w:r>
      <w:r>
        <w:noBreakHyphen/>
      </w:r>
      <w:r w:rsidRPr="00714FC1">
        <w:t>free’</w:t>
      </w:r>
      <w:r>
        <w:t>.</w:t>
      </w:r>
    </w:p>
    <w:p w14:paraId="2E174295" w14:textId="77777777" w:rsidR="00002A05" w:rsidRPr="00A808AC" w:rsidRDefault="00002A05" w:rsidP="000D02CF">
      <w:pPr>
        <w:spacing w:line="240" w:lineRule="auto"/>
      </w:pPr>
    </w:p>
    <w:p w14:paraId="4D620C05" w14:textId="77777777" w:rsidR="00F976E8" w:rsidRPr="00A808AC" w:rsidRDefault="005A3D7D" w:rsidP="00291F5B">
      <w:pPr>
        <w:keepNext/>
        <w:numPr>
          <w:ilvl w:val="1"/>
          <w:numId w:val="9"/>
        </w:numPr>
        <w:suppressLineNumbers/>
        <w:spacing w:line="240" w:lineRule="auto"/>
        <w:ind w:left="562" w:hanging="562"/>
        <w:outlineLvl w:val="1"/>
        <w:rPr>
          <w:b/>
          <w:bCs/>
        </w:rPr>
      </w:pPr>
      <w:r w:rsidRPr="00A808AC">
        <w:rPr>
          <w:b/>
          <w:bCs/>
        </w:rPr>
        <w:t>Interaction with other medicinal products and other forms of interaction</w:t>
      </w:r>
    </w:p>
    <w:p w14:paraId="4573F701" w14:textId="77777777" w:rsidR="00F976E8" w:rsidRPr="00A808AC" w:rsidRDefault="00F976E8" w:rsidP="000A093B">
      <w:pPr>
        <w:keepNext/>
        <w:spacing w:line="240" w:lineRule="auto"/>
      </w:pPr>
    </w:p>
    <w:p w14:paraId="0CD7BD61" w14:textId="609EBB5D" w:rsidR="00F976E8" w:rsidRPr="00A808AC" w:rsidRDefault="005A3D7D" w:rsidP="000A093B">
      <w:pPr>
        <w:pStyle w:val="CommentText"/>
        <w:keepNext/>
        <w:spacing w:line="240" w:lineRule="auto"/>
        <w:rPr>
          <w:rFonts w:eastAsia="MS Mincho"/>
          <w:sz w:val="22"/>
          <w:szCs w:val="22"/>
          <w:lang w:eastAsia="ja-JP"/>
        </w:rPr>
      </w:pPr>
      <w:r w:rsidRPr="00A808AC">
        <w:rPr>
          <w:sz w:val="22"/>
          <w:szCs w:val="22"/>
        </w:rPr>
        <w:t>Ivacaftor is a substrate of CYP3A4 and CYP3A5. It is a weak inhibitor of CYP3A and P</w:t>
      </w:r>
      <w:r w:rsidRPr="00A808AC">
        <w:rPr>
          <w:sz w:val="22"/>
          <w:szCs w:val="22"/>
        </w:rPr>
        <w:noBreakHyphen/>
        <w:t>gp and a potential inhibitor of CYP2C9.</w:t>
      </w:r>
      <w:r w:rsidR="004F36A0">
        <w:rPr>
          <w:sz w:val="22"/>
          <w:szCs w:val="22"/>
        </w:rPr>
        <w:t xml:space="preserve"> </w:t>
      </w:r>
      <w:r w:rsidR="004F36A0" w:rsidRPr="008275D4">
        <w:rPr>
          <w:i/>
          <w:sz w:val="22"/>
          <w:szCs w:val="22"/>
        </w:rPr>
        <w:t>In vitro</w:t>
      </w:r>
      <w:r w:rsidR="004F36A0">
        <w:rPr>
          <w:sz w:val="22"/>
          <w:szCs w:val="22"/>
        </w:rPr>
        <w:t xml:space="preserve"> studies showed that ivacaftor is not a substrate for P</w:t>
      </w:r>
      <w:r w:rsidR="00BB3560">
        <w:rPr>
          <w:sz w:val="22"/>
          <w:szCs w:val="22"/>
        </w:rPr>
        <w:noBreakHyphen/>
      </w:r>
      <w:r w:rsidR="004F36A0">
        <w:rPr>
          <w:sz w:val="22"/>
          <w:szCs w:val="22"/>
        </w:rPr>
        <w:t>gp.</w:t>
      </w:r>
      <w:r w:rsidR="00CB7840">
        <w:rPr>
          <w:sz w:val="22"/>
          <w:szCs w:val="22"/>
        </w:rPr>
        <w:t xml:space="preserve"> </w:t>
      </w:r>
    </w:p>
    <w:p w14:paraId="4B88E7D0" w14:textId="77777777" w:rsidR="00F976E8" w:rsidRPr="00A808AC" w:rsidRDefault="00F976E8" w:rsidP="000D02CF">
      <w:pPr>
        <w:pStyle w:val="CommentText"/>
        <w:spacing w:line="240" w:lineRule="auto"/>
        <w:rPr>
          <w:rFonts w:eastAsia="MS Mincho"/>
          <w:sz w:val="22"/>
          <w:szCs w:val="22"/>
          <w:lang w:eastAsia="ja-JP"/>
        </w:rPr>
      </w:pPr>
    </w:p>
    <w:p w14:paraId="5E31EB88" w14:textId="77777777" w:rsidR="00F976E8" w:rsidRPr="00BA47B4" w:rsidRDefault="005A3D7D" w:rsidP="00291F5B">
      <w:pPr>
        <w:pStyle w:val="labeltext"/>
        <w:keepNext/>
        <w:rPr>
          <w:sz w:val="22"/>
          <w:lang w:val="en-GB"/>
        </w:rPr>
      </w:pPr>
      <w:r w:rsidRPr="007B0741">
        <w:rPr>
          <w:sz w:val="22"/>
          <w:u w:val="single"/>
          <w:lang w:val="en-GB"/>
        </w:rPr>
        <w:t>Medicinal products affecting the pharmacokinetics of ivacaftor</w:t>
      </w:r>
      <w:r w:rsidR="007451ED">
        <w:rPr>
          <w:sz w:val="22"/>
          <w:u w:val="single"/>
          <w:lang w:val="en-GB"/>
        </w:rPr>
        <w:t>, tezacaftor and/or elexacaftor</w:t>
      </w:r>
    </w:p>
    <w:p w14:paraId="3C25997F" w14:textId="77777777" w:rsidR="00993310" w:rsidRPr="00BA47B4" w:rsidRDefault="00993310" w:rsidP="00291F5B">
      <w:pPr>
        <w:pStyle w:val="labeltext"/>
        <w:keepNext/>
        <w:rPr>
          <w:sz w:val="22"/>
          <w:lang w:val="en-GB"/>
        </w:rPr>
      </w:pPr>
    </w:p>
    <w:p w14:paraId="097E75DB" w14:textId="77777777" w:rsidR="00F424FD" w:rsidRDefault="005A3D7D" w:rsidP="00291F5B">
      <w:pPr>
        <w:pStyle w:val="CommentText"/>
        <w:keepNext/>
        <w:spacing w:line="240" w:lineRule="auto"/>
        <w:rPr>
          <w:i/>
          <w:sz w:val="22"/>
        </w:rPr>
      </w:pPr>
      <w:r w:rsidRPr="007B0741">
        <w:rPr>
          <w:i/>
          <w:sz w:val="22"/>
        </w:rPr>
        <w:t>CYP3A inducers</w:t>
      </w:r>
    </w:p>
    <w:p w14:paraId="537C086E" w14:textId="77777777" w:rsidR="00987822" w:rsidRPr="007B0741" w:rsidRDefault="00987822" w:rsidP="00291F5B">
      <w:pPr>
        <w:pStyle w:val="CommentText"/>
        <w:keepNext/>
        <w:spacing w:line="240" w:lineRule="auto"/>
        <w:rPr>
          <w:i/>
          <w:sz w:val="22"/>
        </w:rPr>
      </w:pPr>
    </w:p>
    <w:p w14:paraId="585C54CD" w14:textId="4486BD6B" w:rsidR="00F424FD" w:rsidRPr="00A808AC" w:rsidRDefault="005A3D7D" w:rsidP="000A093B">
      <w:pPr>
        <w:pStyle w:val="CommentText"/>
        <w:keepNext/>
        <w:spacing w:line="240" w:lineRule="auto"/>
        <w:rPr>
          <w:sz w:val="22"/>
          <w:szCs w:val="22"/>
        </w:rPr>
      </w:pPr>
      <w:r w:rsidRPr="00A808AC">
        <w:rPr>
          <w:sz w:val="22"/>
          <w:szCs w:val="22"/>
        </w:rPr>
        <w:t>Co</w:t>
      </w:r>
      <w:r w:rsidRPr="00A808AC">
        <w:rPr>
          <w:sz w:val="22"/>
          <w:szCs w:val="22"/>
        </w:rPr>
        <w:noBreakHyphen/>
        <w:t>administration of ivacaftor with rifampicin, a strong CYP3A inducer, decreased i</w:t>
      </w:r>
      <w:r w:rsidRPr="00A808AC">
        <w:rPr>
          <w:sz w:val="22"/>
          <w:szCs w:val="22"/>
        </w:rPr>
        <w:t xml:space="preserve">vacaftor exposure (AUC) </w:t>
      </w:r>
      <w:r w:rsidRPr="00A808AC">
        <w:rPr>
          <w:kern w:val="28"/>
          <w:sz w:val="22"/>
          <w:szCs w:val="22"/>
        </w:rPr>
        <w:t xml:space="preserve">by 89% and decreased </w:t>
      </w:r>
      <w:r w:rsidR="004F36A0" w:rsidRPr="002902CB">
        <w:rPr>
          <w:kern w:val="28"/>
          <w:sz w:val="22"/>
          <w:szCs w:val="22"/>
        </w:rPr>
        <w:t xml:space="preserve">hydroxymethyl ivacaftor </w:t>
      </w:r>
      <w:r w:rsidR="004F36A0">
        <w:rPr>
          <w:kern w:val="28"/>
          <w:sz w:val="22"/>
          <w:szCs w:val="22"/>
        </w:rPr>
        <w:t>(</w:t>
      </w:r>
      <w:r w:rsidRPr="00A808AC">
        <w:rPr>
          <w:kern w:val="28"/>
          <w:sz w:val="22"/>
          <w:szCs w:val="22"/>
        </w:rPr>
        <w:t>M1</w:t>
      </w:r>
      <w:r w:rsidR="004F36A0">
        <w:rPr>
          <w:kern w:val="28"/>
          <w:sz w:val="22"/>
          <w:szCs w:val="22"/>
        </w:rPr>
        <w:t>)</w:t>
      </w:r>
      <w:r w:rsidRPr="00A808AC">
        <w:rPr>
          <w:kern w:val="28"/>
          <w:sz w:val="22"/>
          <w:szCs w:val="22"/>
        </w:rPr>
        <w:t xml:space="preserve"> to a lesser extent than ivacaftor. Co</w:t>
      </w:r>
      <w:r w:rsidRPr="00A808AC">
        <w:rPr>
          <w:kern w:val="28"/>
          <w:sz w:val="22"/>
          <w:szCs w:val="22"/>
        </w:rPr>
        <w:noBreakHyphen/>
        <w:t xml:space="preserve">administration </w:t>
      </w:r>
      <w:r w:rsidR="00B6008D" w:rsidRPr="00B6008D">
        <w:rPr>
          <w:kern w:val="28"/>
          <w:sz w:val="22"/>
          <w:szCs w:val="22"/>
        </w:rPr>
        <w:t xml:space="preserve">of </w:t>
      </w:r>
      <w:r w:rsidR="007451ED">
        <w:rPr>
          <w:kern w:val="28"/>
          <w:sz w:val="22"/>
          <w:szCs w:val="22"/>
        </w:rPr>
        <w:t>ivacaftor</w:t>
      </w:r>
      <w:r w:rsidR="007451ED" w:rsidRPr="00B6008D">
        <w:rPr>
          <w:kern w:val="28"/>
          <w:sz w:val="22"/>
          <w:szCs w:val="22"/>
        </w:rPr>
        <w:t xml:space="preserve"> </w:t>
      </w:r>
      <w:r w:rsidR="00B6008D" w:rsidRPr="00B6008D">
        <w:rPr>
          <w:kern w:val="28"/>
          <w:sz w:val="22"/>
          <w:szCs w:val="22"/>
        </w:rPr>
        <w:t xml:space="preserve">(as monotherapy or in </w:t>
      </w:r>
      <w:r w:rsidR="007451ED">
        <w:rPr>
          <w:kern w:val="28"/>
          <w:sz w:val="22"/>
          <w:szCs w:val="22"/>
        </w:rPr>
        <w:t xml:space="preserve">a </w:t>
      </w:r>
      <w:r w:rsidR="00B6008D" w:rsidRPr="00B6008D">
        <w:rPr>
          <w:kern w:val="28"/>
          <w:sz w:val="22"/>
          <w:szCs w:val="22"/>
        </w:rPr>
        <w:t>combination regimen with tezacaftor/</w:t>
      </w:r>
      <w:r w:rsidR="00B6008D" w:rsidRPr="000A093B">
        <w:rPr>
          <w:sz w:val="22"/>
        </w:rPr>
        <w:t>ivacaftor</w:t>
      </w:r>
      <w:r w:rsidR="00903451" w:rsidRPr="007451ED">
        <w:rPr>
          <w:sz w:val="22"/>
          <w:szCs w:val="22"/>
        </w:rPr>
        <w:t xml:space="preserve"> or </w:t>
      </w:r>
      <w:r w:rsidR="007451ED" w:rsidRPr="007451ED">
        <w:rPr>
          <w:sz w:val="22"/>
          <w:szCs w:val="22"/>
        </w:rPr>
        <w:t>ivacaftor/tezacaftor/elexacaftor</w:t>
      </w:r>
      <w:r w:rsidR="00B6008D" w:rsidRPr="000A093B">
        <w:rPr>
          <w:sz w:val="22"/>
        </w:rPr>
        <w:t>)</w:t>
      </w:r>
      <w:r w:rsidR="00B6008D" w:rsidRPr="00B6008D">
        <w:rPr>
          <w:kern w:val="28"/>
          <w:sz w:val="22"/>
          <w:szCs w:val="22"/>
        </w:rPr>
        <w:t xml:space="preserve"> </w:t>
      </w:r>
      <w:r w:rsidRPr="00A808AC">
        <w:rPr>
          <w:kern w:val="28"/>
          <w:sz w:val="22"/>
          <w:szCs w:val="22"/>
        </w:rPr>
        <w:t xml:space="preserve">with strong </w:t>
      </w:r>
      <w:r w:rsidRPr="00A808AC">
        <w:rPr>
          <w:sz w:val="22"/>
          <w:szCs w:val="22"/>
        </w:rPr>
        <w:t>CYP3A inducers, such as rifampicin, rifabutin, phenobarbital, carbamazepine, phenytoin and St. John’s wort (</w:t>
      </w:r>
      <w:r w:rsidRPr="00A808AC">
        <w:rPr>
          <w:i/>
          <w:sz w:val="22"/>
          <w:szCs w:val="22"/>
        </w:rPr>
        <w:t>Hypericum perforatum</w:t>
      </w:r>
      <w:r w:rsidRPr="00A808AC">
        <w:rPr>
          <w:sz w:val="22"/>
          <w:szCs w:val="22"/>
        </w:rPr>
        <w:t>), is not recommended (see section 4.4).</w:t>
      </w:r>
    </w:p>
    <w:p w14:paraId="692E2B70" w14:textId="77777777" w:rsidR="00F424FD" w:rsidRPr="00A808AC" w:rsidRDefault="00F424FD" w:rsidP="00F424FD">
      <w:pPr>
        <w:pStyle w:val="CommentText"/>
        <w:spacing w:line="240" w:lineRule="auto"/>
        <w:rPr>
          <w:sz w:val="22"/>
          <w:szCs w:val="22"/>
        </w:rPr>
      </w:pPr>
    </w:p>
    <w:p w14:paraId="2B456844" w14:textId="001D9B86" w:rsidR="00F424FD" w:rsidRPr="003F1CB4" w:rsidRDefault="005A3D7D" w:rsidP="00F424FD">
      <w:pPr>
        <w:pStyle w:val="CommentText"/>
        <w:spacing w:line="240" w:lineRule="auto"/>
        <w:rPr>
          <w:sz w:val="22"/>
          <w:szCs w:val="22"/>
        </w:rPr>
      </w:pPr>
      <w:r w:rsidRPr="00B6008D">
        <w:rPr>
          <w:sz w:val="22"/>
          <w:szCs w:val="22"/>
        </w:rPr>
        <w:t xml:space="preserve">No dose adjustment is recommended when </w:t>
      </w:r>
      <w:r w:rsidR="007451ED">
        <w:rPr>
          <w:sz w:val="22"/>
          <w:szCs w:val="22"/>
        </w:rPr>
        <w:t>ivacaftor</w:t>
      </w:r>
      <w:r w:rsidR="007451ED" w:rsidRPr="00B6008D">
        <w:rPr>
          <w:sz w:val="22"/>
          <w:szCs w:val="22"/>
        </w:rPr>
        <w:t xml:space="preserve"> </w:t>
      </w:r>
      <w:r w:rsidRPr="00B6008D">
        <w:rPr>
          <w:sz w:val="22"/>
          <w:szCs w:val="22"/>
        </w:rPr>
        <w:t>(as monotherapy or in</w:t>
      </w:r>
      <w:r w:rsidR="007451ED">
        <w:rPr>
          <w:sz w:val="22"/>
          <w:szCs w:val="22"/>
        </w:rPr>
        <w:t xml:space="preserve"> a</w:t>
      </w:r>
      <w:r w:rsidRPr="00B6008D">
        <w:rPr>
          <w:sz w:val="22"/>
          <w:szCs w:val="22"/>
        </w:rPr>
        <w:t xml:space="preserve"> combination regimen with tezacaftor/ivacaftor</w:t>
      </w:r>
      <w:r w:rsidR="00903451">
        <w:rPr>
          <w:sz w:val="22"/>
          <w:szCs w:val="22"/>
        </w:rPr>
        <w:t xml:space="preserve"> </w:t>
      </w:r>
      <w:r w:rsidR="00903451" w:rsidRPr="009E1289">
        <w:rPr>
          <w:sz w:val="22"/>
          <w:szCs w:val="22"/>
        </w:rPr>
        <w:t xml:space="preserve">or </w:t>
      </w:r>
      <w:r w:rsidR="007451ED">
        <w:rPr>
          <w:sz w:val="22"/>
          <w:szCs w:val="22"/>
        </w:rPr>
        <w:t>ivacaftor/tezacaftor/elexacaftor</w:t>
      </w:r>
      <w:r w:rsidRPr="00B6008D">
        <w:rPr>
          <w:sz w:val="22"/>
          <w:szCs w:val="22"/>
        </w:rPr>
        <w:t>) is used with moderate or weak CYP3A inducers</w:t>
      </w:r>
      <w:r>
        <w:rPr>
          <w:sz w:val="22"/>
          <w:szCs w:val="22"/>
        </w:rPr>
        <w:t xml:space="preserve">. </w:t>
      </w:r>
    </w:p>
    <w:p w14:paraId="20BDC6DB" w14:textId="77777777" w:rsidR="00ED72D6" w:rsidRPr="003F1CB4" w:rsidRDefault="00ED72D6" w:rsidP="000D02CF">
      <w:pPr>
        <w:pStyle w:val="labeltext"/>
        <w:keepNext/>
        <w:rPr>
          <w:sz w:val="22"/>
          <w:szCs w:val="22"/>
          <w:u w:val="single"/>
          <w:lang w:val="en-GB"/>
        </w:rPr>
      </w:pPr>
    </w:p>
    <w:p w14:paraId="2B828458" w14:textId="77777777" w:rsidR="00F976E8" w:rsidRDefault="005A3D7D" w:rsidP="00291F5B">
      <w:pPr>
        <w:pStyle w:val="labeltext"/>
        <w:keepNext/>
        <w:rPr>
          <w:i/>
          <w:sz w:val="22"/>
          <w:lang w:val="en-GB"/>
        </w:rPr>
      </w:pPr>
      <w:r w:rsidRPr="007B0741">
        <w:rPr>
          <w:i/>
          <w:sz w:val="22"/>
          <w:lang w:val="en-GB"/>
        </w:rPr>
        <w:t>CYP3A inhibitors</w:t>
      </w:r>
    </w:p>
    <w:p w14:paraId="491BF411" w14:textId="77777777" w:rsidR="00987822" w:rsidRPr="007B0741" w:rsidRDefault="00987822" w:rsidP="00291F5B">
      <w:pPr>
        <w:pStyle w:val="labeltext"/>
        <w:keepNext/>
        <w:rPr>
          <w:i/>
          <w:sz w:val="22"/>
          <w:lang w:val="en-GB"/>
        </w:rPr>
      </w:pPr>
    </w:p>
    <w:p w14:paraId="506F10AF" w14:textId="0AE41B81" w:rsidR="00F976E8" w:rsidRPr="00A808AC" w:rsidRDefault="005A3D7D" w:rsidP="000A093B">
      <w:pPr>
        <w:pStyle w:val="labeltext"/>
        <w:keepNext/>
        <w:rPr>
          <w:sz w:val="22"/>
          <w:szCs w:val="22"/>
          <w:lang w:val="en-GB"/>
        </w:rPr>
      </w:pPr>
      <w:r w:rsidRPr="00A808AC">
        <w:rPr>
          <w:sz w:val="22"/>
          <w:szCs w:val="22"/>
          <w:lang w:val="en-GB"/>
        </w:rPr>
        <w:t xml:space="preserve">Ivacaftor is a sensitive CYP3A substrate. </w:t>
      </w:r>
      <w:r w:rsidRPr="00A808AC">
        <w:rPr>
          <w:sz w:val="22"/>
          <w:szCs w:val="22"/>
          <w:lang w:val="en-GB"/>
        </w:rPr>
        <w:t>Co-administration with ketoconazole, a strong CYP3A inhibitor, increased ivacaftor exposure (measured as area under the curve [AUC]) by 8.5</w:t>
      </w:r>
      <w:r w:rsidRPr="00A808AC">
        <w:rPr>
          <w:sz w:val="22"/>
          <w:szCs w:val="22"/>
          <w:lang w:val="en-GB"/>
        </w:rPr>
        <w:noBreakHyphen/>
        <w:t xml:space="preserve">fold and increased M1 to a lesser extent than ivacaftor. A reduction of the </w:t>
      </w:r>
      <w:r w:rsidR="007451ED">
        <w:rPr>
          <w:sz w:val="22"/>
          <w:szCs w:val="22"/>
          <w:lang w:val="en-GB"/>
        </w:rPr>
        <w:t>ivacaftor</w:t>
      </w:r>
      <w:r w:rsidR="007451ED" w:rsidRPr="00A808AC">
        <w:rPr>
          <w:sz w:val="22"/>
          <w:szCs w:val="22"/>
          <w:lang w:val="en-GB"/>
        </w:rPr>
        <w:t xml:space="preserve"> </w:t>
      </w:r>
      <w:r w:rsidRPr="00A808AC">
        <w:rPr>
          <w:sz w:val="22"/>
          <w:szCs w:val="22"/>
          <w:lang w:val="en-GB"/>
        </w:rPr>
        <w:t xml:space="preserve">dose </w:t>
      </w:r>
      <w:r w:rsidR="00B6008D" w:rsidRPr="00B6008D">
        <w:rPr>
          <w:sz w:val="22"/>
          <w:szCs w:val="22"/>
          <w:lang w:val="en-GB"/>
        </w:rPr>
        <w:t>(as monotherapy or in a combination regimen with tezacaftor/ivacaftor</w:t>
      </w:r>
      <w:r w:rsidR="00903451">
        <w:rPr>
          <w:sz w:val="22"/>
          <w:szCs w:val="22"/>
          <w:lang w:val="en-GB"/>
        </w:rPr>
        <w:t xml:space="preserve"> </w:t>
      </w:r>
      <w:r w:rsidR="00903451" w:rsidRPr="009E1289">
        <w:rPr>
          <w:sz w:val="22"/>
          <w:szCs w:val="22"/>
          <w:lang w:val="en-GB"/>
        </w:rPr>
        <w:t xml:space="preserve">or </w:t>
      </w:r>
      <w:r w:rsidR="007451ED">
        <w:rPr>
          <w:sz w:val="22"/>
          <w:szCs w:val="22"/>
          <w:lang w:val="en-GB"/>
        </w:rPr>
        <w:t>ivacaftor/tezacaftor/elexacaftor</w:t>
      </w:r>
      <w:r w:rsidR="00B6008D" w:rsidRPr="00B6008D">
        <w:rPr>
          <w:sz w:val="22"/>
          <w:szCs w:val="22"/>
          <w:lang w:val="en-GB"/>
        </w:rPr>
        <w:t>)</w:t>
      </w:r>
      <w:r w:rsidR="00B6008D">
        <w:rPr>
          <w:sz w:val="22"/>
          <w:szCs w:val="22"/>
          <w:lang w:val="en-GB"/>
        </w:rPr>
        <w:t xml:space="preserve"> </w:t>
      </w:r>
      <w:r w:rsidRPr="00A808AC">
        <w:rPr>
          <w:sz w:val="22"/>
          <w:szCs w:val="22"/>
          <w:lang w:val="en-GB"/>
        </w:rPr>
        <w:t>is recommended for co</w:t>
      </w:r>
      <w:r w:rsidRPr="00A808AC">
        <w:rPr>
          <w:sz w:val="22"/>
          <w:szCs w:val="22"/>
          <w:lang w:val="en-GB"/>
        </w:rPr>
        <w:noBreakHyphen/>
        <w:t>administration with strong CYP3A inhibitors, such as ketoconazole, itraconazole, posaconazole, voriconazole, telithromycin and clarithromycin</w:t>
      </w:r>
      <w:r w:rsidR="007D0194" w:rsidRPr="00A808AC">
        <w:rPr>
          <w:sz w:val="22"/>
          <w:szCs w:val="22"/>
          <w:lang w:val="en-GB"/>
        </w:rPr>
        <w:t xml:space="preserve"> (see section</w:t>
      </w:r>
      <w:r w:rsidR="006A5B89" w:rsidRPr="00A808AC">
        <w:rPr>
          <w:sz w:val="22"/>
          <w:szCs w:val="22"/>
          <w:lang w:val="en-GB"/>
        </w:rPr>
        <w:t>s</w:t>
      </w:r>
      <w:r w:rsidR="007D0194" w:rsidRPr="00A808AC">
        <w:rPr>
          <w:sz w:val="22"/>
          <w:szCs w:val="22"/>
          <w:lang w:val="en-GB"/>
        </w:rPr>
        <w:t> 4.2 and 4.4)</w:t>
      </w:r>
      <w:r w:rsidRPr="00A808AC">
        <w:rPr>
          <w:sz w:val="22"/>
          <w:szCs w:val="22"/>
          <w:lang w:val="en-GB"/>
        </w:rPr>
        <w:t>.</w:t>
      </w:r>
    </w:p>
    <w:p w14:paraId="4FDFE19D" w14:textId="77777777" w:rsidR="00F976E8" w:rsidRPr="00A808AC" w:rsidRDefault="00F976E8" w:rsidP="000D02CF">
      <w:pPr>
        <w:pStyle w:val="labeltext"/>
        <w:rPr>
          <w:sz w:val="22"/>
          <w:szCs w:val="22"/>
          <w:u w:val="single"/>
          <w:lang w:val="en-GB"/>
        </w:rPr>
      </w:pPr>
    </w:p>
    <w:p w14:paraId="5ADF2E48" w14:textId="74B23B4E" w:rsidR="009C7EB9" w:rsidRDefault="005A3D7D" w:rsidP="000D02CF">
      <w:pPr>
        <w:pStyle w:val="labeltext"/>
        <w:rPr>
          <w:sz w:val="22"/>
          <w:szCs w:val="22"/>
          <w:lang w:val="en-GB"/>
        </w:rPr>
      </w:pPr>
      <w:r w:rsidRPr="00A808AC">
        <w:rPr>
          <w:sz w:val="22"/>
          <w:szCs w:val="22"/>
          <w:lang w:val="en-GB"/>
        </w:rPr>
        <w:t>Co</w:t>
      </w:r>
      <w:r w:rsidRPr="00A808AC">
        <w:rPr>
          <w:sz w:val="22"/>
          <w:szCs w:val="22"/>
          <w:lang w:val="en-GB"/>
        </w:rPr>
        <w:noBreakHyphen/>
        <w:t>administration with fluconazole, a moderate inhibitor of CYP3A, increased ivacaftor exposure by 3</w:t>
      </w:r>
      <w:r w:rsidRPr="00A808AC">
        <w:rPr>
          <w:sz w:val="22"/>
          <w:szCs w:val="22"/>
          <w:lang w:val="en-GB"/>
        </w:rPr>
        <w:noBreakHyphen/>
        <w:t xml:space="preserve">fold and increased M1 to a lesser extent than ivacaftor. A reduction of the </w:t>
      </w:r>
      <w:r w:rsidR="007451ED">
        <w:rPr>
          <w:sz w:val="22"/>
          <w:szCs w:val="22"/>
          <w:lang w:val="en-GB"/>
        </w:rPr>
        <w:t>ivacaftor</w:t>
      </w:r>
      <w:r w:rsidR="007451ED" w:rsidRPr="00A808AC">
        <w:rPr>
          <w:sz w:val="22"/>
          <w:szCs w:val="22"/>
          <w:lang w:val="en-GB"/>
        </w:rPr>
        <w:t xml:space="preserve"> </w:t>
      </w:r>
      <w:r w:rsidRPr="00A808AC">
        <w:rPr>
          <w:sz w:val="22"/>
          <w:szCs w:val="22"/>
          <w:lang w:val="en-GB"/>
        </w:rPr>
        <w:t xml:space="preserve">dose </w:t>
      </w:r>
      <w:r w:rsidR="00B6008D" w:rsidRPr="00B6008D">
        <w:rPr>
          <w:sz w:val="22"/>
          <w:szCs w:val="22"/>
          <w:lang w:val="en-GB"/>
        </w:rPr>
        <w:t>(as monotherapy or in a combination regimen with tezacaftor/ivacaftor</w:t>
      </w:r>
      <w:r w:rsidR="00903451">
        <w:rPr>
          <w:sz w:val="22"/>
          <w:szCs w:val="22"/>
          <w:lang w:val="en-GB"/>
        </w:rPr>
        <w:t xml:space="preserve"> </w:t>
      </w:r>
      <w:r w:rsidR="00903451" w:rsidRPr="009E1289">
        <w:rPr>
          <w:sz w:val="22"/>
          <w:szCs w:val="22"/>
          <w:lang w:val="en-GB"/>
        </w:rPr>
        <w:t xml:space="preserve">or </w:t>
      </w:r>
      <w:r w:rsidR="007451ED">
        <w:rPr>
          <w:sz w:val="22"/>
          <w:szCs w:val="22"/>
          <w:lang w:val="en-GB"/>
        </w:rPr>
        <w:t>ivacaftor/tezacaftor/elexacaftor</w:t>
      </w:r>
      <w:r w:rsidR="00B6008D" w:rsidRPr="00B6008D">
        <w:rPr>
          <w:sz w:val="22"/>
          <w:szCs w:val="22"/>
          <w:lang w:val="en-GB"/>
        </w:rPr>
        <w:t>)</w:t>
      </w:r>
      <w:r w:rsidR="00B6008D">
        <w:rPr>
          <w:sz w:val="22"/>
          <w:szCs w:val="22"/>
          <w:lang w:val="en-GB"/>
        </w:rPr>
        <w:t xml:space="preserve"> </w:t>
      </w:r>
      <w:r w:rsidRPr="00A808AC">
        <w:rPr>
          <w:sz w:val="22"/>
          <w:szCs w:val="22"/>
          <w:lang w:val="en-GB"/>
        </w:rPr>
        <w:t>is recommended for patients taking concomitant moderate CYP3A inhibitors, such as fluconazole</w:t>
      </w:r>
      <w:r w:rsidR="00D3392A">
        <w:rPr>
          <w:sz w:val="22"/>
          <w:szCs w:val="22"/>
          <w:lang w:val="en-GB"/>
        </w:rPr>
        <w:t>,</w:t>
      </w:r>
      <w:r w:rsidRPr="00A808AC">
        <w:rPr>
          <w:sz w:val="22"/>
          <w:szCs w:val="22"/>
          <w:lang w:val="en-GB"/>
        </w:rPr>
        <w:t xml:space="preserve"> erythromycin</w:t>
      </w:r>
      <w:r w:rsidR="00E327DD">
        <w:rPr>
          <w:sz w:val="22"/>
          <w:szCs w:val="22"/>
          <w:lang w:val="en-GB"/>
        </w:rPr>
        <w:t>, and verapamil</w:t>
      </w:r>
      <w:r w:rsidR="007D0194" w:rsidRPr="00A808AC">
        <w:rPr>
          <w:sz w:val="22"/>
          <w:szCs w:val="22"/>
          <w:lang w:val="en-GB"/>
        </w:rPr>
        <w:t xml:space="preserve"> (see section</w:t>
      </w:r>
      <w:r w:rsidR="006A5B89" w:rsidRPr="00A808AC">
        <w:rPr>
          <w:sz w:val="22"/>
          <w:szCs w:val="22"/>
          <w:lang w:val="en-GB"/>
        </w:rPr>
        <w:t>s</w:t>
      </w:r>
      <w:r w:rsidR="007D0194" w:rsidRPr="00A808AC">
        <w:rPr>
          <w:sz w:val="22"/>
          <w:szCs w:val="22"/>
          <w:lang w:val="en-GB"/>
        </w:rPr>
        <w:t> 4.2 and 4.4)</w:t>
      </w:r>
      <w:r w:rsidRPr="00A808AC">
        <w:rPr>
          <w:sz w:val="22"/>
          <w:szCs w:val="22"/>
          <w:lang w:val="en-GB"/>
        </w:rPr>
        <w:t>.</w:t>
      </w:r>
    </w:p>
    <w:p w14:paraId="749A19B1" w14:textId="77777777" w:rsidR="004F0618" w:rsidRPr="000A093B" w:rsidRDefault="004F0618" w:rsidP="000D02CF">
      <w:pPr>
        <w:pStyle w:val="labeltext"/>
        <w:rPr>
          <w:sz w:val="22"/>
          <w:u w:val="single"/>
          <w:lang w:val="en-GB"/>
        </w:rPr>
      </w:pPr>
    </w:p>
    <w:p w14:paraId="3EFF6FBA" w14:textId="40B36A21" w:rsidR="00F976E8" w:rsidRPr="00A808AC" w:rsidRDefault="005A3D7D" w:rsidP="000D02CF">
      <w:pPr>
        <w:pStyle w:val="labeltext"/>
        <w:rPr>
          <w:sz w:val="22"/>
          <w:szCs w:val="22"/>
          <w:lang w:val="en-GB"/>
        </w:rPr>
      </w:pPr>
      <w:r w:rsidRPr="00A808AC">
        <w:rPr>
          <w:sz w:val="22"/>
          <w:szCs w:val="22"/>
          <w:lang w:val="en-GB"/>
        </w:rPr>
        <w:t>Co</w:t>
      </w:r>
      <w:r w:rsidRPr="00A808AC">
        <w:rPr>
          <w:sz w:val="22"/>
          <w:szCs w:val="22"/>
          <w:lang w:val="en-GB"/>
        </w:rPr>
        <w:noBreakHyphen/>
        <w:t xml:space="preserve">administration of </w:t>
      </w:r>
      <w:r w:rsidRPr="00A808AC">
        <w:rPr>
          <w:sz w:val="22"/>
          <w:szCs w:val="22"/>
          <w:lang w:val="en-GB"/>
        </w:rPr>
        <w:t xml:space="preserve">ivacaftor with grapefruit juice, which contains one or more components that moderately inhibit CYP3A, may increase exposure to ivacaftor. Food </w:t>
      </w:r>
      <w:r w:rsidR="008E0FFC">
        <w:rPr>
          <w:sz w:val="22"/>
          <w:szCs w:val="22"/>
          <w:lang w:val="en-GB"/>
        </w:rPr>
        <w:t xml:space="preserve">or drink </w:t>
      </w:r>
      <w:r w:rsidRPr="00A808AC">
        <w:rPr>
          <w:sz w:val="22"/>
          <w:szCs w:val="22"/>
          <w:lang w:val="en-GB"/>
        </w:rPr>
        <w:t xml:space="preserve">containing grapefruit should be avoided during treatment with </w:t>
      </w:r>
      <w:r w:rsidR="007451ED">
        <w:rPr>
          <w:sz w:val="22"/>
          <w:szCs w:val="22"/>
          <w:lang w:val="en-GB"/>
        </w:rPr>
        <w:t xml:space="preserve">ivacaftor </w:t>
      </w:r>
      <w:r w:rsidR="007D0194" w:rsidRPr="00A808AC">
        <w:rPr>
          <w:sz w:val="22"/>
          <w:szCs w:val="22"/>
          <w:lang w:val="en-GB"/>
        </w:rPr>
        <w:t>(</w:t>
      </w:r>
      <w:r w:rsidR="00B6008D" w:rsidRPr="00B6008D">
        <w:rPr>
          <w:sz w:val="22"/>
          <w:szCs w:val="22"/>
          <w:lang w:val="en-GB"/>
        </w:rPr>
        <w:t>as monotherapy or in a combination regimen with tezacaftor/ivacaftor</w:t>
      </w:r>
      <w:r w:rsidR="00903451">
        <w:rPr>
          <w:sz w:val="22"/>
          <w:szCs w:val="22"/>
          <w:lang w:val="en-GB"/>
        </w:rPr>
        <w:t xml:space="preserve"> </w:t>
      </w:r>
      <w:r w:rsidR="00903451" w:rsidRPr="009E1289">
        <w:rPr>
          <w:sz w:val="22"/>
          <w:szCs w:val="22"/>
          <w:lang w:val="en-GB"/>
        </w:rPr>
        <w:t xml:space="preserve">or </w:t>
      </w:r>
      <w:r w:rsidR="007451ED">
        <w:rPr>
          <w:sz w:val="22"/>
          <w:szCs w:val="22"/>
          <w:lang w:val="en-GB"/>
        </w:rPr>
        <w:t>ivacaftor/tezacaftor/elexacaftor</w:t>
      </w:r>
      <w:r w:rsidR="00B6008D" w:rsidRPr="00B6008D">
        <w:rPr>
          <w:sz w:val="22"/>
          <w:szCs w:val="22"/>
          <w:lang w:val="en-GB"/>
        </w:rPr>
        <w:t xml:space="preserve">, </w:t>
      </w:r>
      <w:r w:rsidR="007D0194" w:rsidRPr="00A808AC">
        <w:rPr>
          <w:sz w:val="22"/>
          <w:szCs w:val="22"/>
          <w:lang w:val="en-GB"/>
        </w:rPr>
        <w:t>see section 4.2)</w:t>
      </w:r>
      <w:r w:rsidRPr="00A808AC">
        <w:rPr>
          <w:sz w:val="22"/>
          <w:szCs w:val="22"/>
          <w:lang w:val="en-GB"/>
        </w:rPr>
        <w:t>.</w:t>
      </w:r>
    </w:p>
    <w:p w14:paraId="686DF7CD" w14:textId="77777777" w:rsidR="00F976E8" w:rsidRDefault="00F976E8" w:rsidP="000D02CF">
      <w:pPr>
        <w:pStyle w:val="CommentText"/>
        <w:spacing w:line="240" w:lineRule="auto"/>
        <w:rPr>
          <w:sz w:val="22"/>
          <w:szCs w:val="22"/>
        </w:rPr>
      </w:pPr>
    </w:p>
    <w:p w14:paraId="5DC86D61" w14:textId="77777777" w:rsidR="00E327DD" w:rsidRPr="000A093B" w:rsidRDefault="005A3D7D" w:rsidP="000A093B">
      <w:pPr>
        <w:pStyle w:val="CommentText"/>
        <w:keepNext/>
        <w:spacing w:line="240" w:lineRule="auto"/>
        <w:rPr>
          <w:i/>
          <w:sz w:val="22"/>
        </w:rPr>
      </w:pPr>
      <w:r w:rsidRPr="000A093B">
        <w:rPr>
          <w:i/>
          <w:sz w:val="22"/>
        </w:rPr>
        <w:t>Potential for ivacaftor to interact with transporters</w:t>
      </w:r>
    </w:p>
    <w:p w14:paraId="6D191061" w14:textId="77777777" w:rsidR="00E327DD" w:rsidRPr="001B672D" w:rsidRDefault="00E327DD" w:rsidP="000A093B">
      <w:pPr>
        <w:pStyle w:val="CommentText"/>
        <w:keepNext/>
        <w:spacing w:line="240" w:lineRule="auto"/>
        <w:rPr>
          <w:rFonts w:eastAsia="MS Mincho"/>
          <w:sz w:val="22"/>
          <w:szCs w:val="22"/>
          <w:u w:val="single"/>
          <w:lang w:eastAsia="ja-JP"/>
        </w:rPr>
      </w:pPr>
    </w:p>
    <w:p w14:paraId="759659E3" w14:textId="77777777" w:rsidR="00E327DD" w:rsidRPr="003F1CB4" w:rsidRDefault="005A3D7D" w:rsidP="000A093B">
      <w:pPr>
        <w:pStyle w:val="CommentText"/>
        <w:keepNext/>
        <w:spacing w:line="240" w:lineRule="auto"/>
        <w:rPr>
          <w:rFonts w:eastAsia="MS Mincho"/>
          <w:sz w:val="22"/>
          <w:szCs w:val="22"/>
          <w:lang w:eastAsia="ja-JP"/>
        </w:rPr>
      </w:pPr>
      <w:r w:rsidRPr="007B7CFB">
        <w:rPr>
          <w:rFonts w:eastAsia="MS Mincho"/>
          <w:i/>
          <w:sz w:val="22"/>
          <w:szCs w:val="22"/>
          <w:lang w:eastAsia="ja-JP"/>
        </w:rPr>
        <w:t>In vitro</w:t>
      </w:r>
      <w:r>
        <w:rPr>
          <w:rFonts w:eastAsia="MS Mincho"/>
          <w:sz w:val="22"/>
          <w:szCs w:val="22"/>
          <w:lang w:eastAsia="ja-JP"/>
        </w:rPr>
        <w:t xml:space="preserve"> studies showed that ivacaftor is not a substrate for OATP1B1 or OATP1B3. Ivacaftor and its metabolites are substrates of BCRP </w:t>
      </w:r>
      <w:r w:rsidRPr="007B7CFB">
        <w:rPr>
          <w:rFonts w:eastAsia="MS Mincho"/>
          <w:i/>
          <w:sz w:val="22"/>
          <w:szCs w:val="22"/>
          <w:lang w:eastAsia="ja-JP"/>
        </w:rPr>
        <w:t>in vitro</w:t>
      </w:r>
      <w:r>
        <w:rPr>
          <w:rFonts w:eastAsia="MS Mincho"/>
          <w:sz w:val="22"/>
          <w:szCs w:val="22"/>
          <w:lang w:eastAsia="ja-JP"/>
        </w:rPr>
        <w:t>. Due to its high intrinsic permeability and low likelihood of being excreted intact, co-administration of BCRP inhibitor</w:t>
      </w:r>
      <w:r>
        <w:rPr>
          <w:rFonts w:eastAsia="MS Mincho"/>
          <w:sz w:val="22"/>
          <w:szCs w:val="22"/>
          <w:lang w:eastAsia="ja-JP"/>
        </w:rPr>
        <w:t>s is not expected to alter exposure of ivacaftor and M1</w:t>
      </w:r>
      <w:r>
        <w:rPr>
          <w:rFonts w:eastAsia="MS Mincho"/>
          <w:sz w:val="22"/>
          <w:szCs w:val="22"/>
          <w:lang w:eastAsia="ja-JP"/>
        </w:rPr>
        <w:noBreakHyphen/>
        <w:t xml:space="preserve">IVA, </w:t>
      </w:r>
      <w:r w:rsidRPr="00A7304B">
        <w:rPr>
          <w:rFonts w:eastAsia="MS Mincho"/>
          <w:sz w:val="22"/>
          <w:szCs w:val="22"/>
          <w:lang w:eastAsia="ja-JP"/>
        </w:rPr>
        <w:t>while any potential changes in M6</w:t>
      </w:r>
      <w:r w:rsidRPr="00A7304B">
        <w:rPr>
          <w:rFonts w:eastAsia="MS Mincho"/>
          <w:sz w:val="22"/>
          <w:szCs w:val="22"/>
          <w:lang w:eastAsia="ja-JP"/>
        </w:rPr>
        <w:noBreakHyphen/>
        <w:t>IVA exposures are not expected to be clinically relevant.</w:t>
      </w:r>
      <w:r>
        <w:rPr>
          <w:rFonts w:eastAsia="MS Mincho"/>
          <w:sz w:val="22"/>
          <w:szCs w:val="22"/>
          <w:lang w:eastAsia="ja-JP"/>
        </w:rPr>
        <w:t xml:space="preserve"> </w:t>
      </w:r>
    </w:p>
    <w:p w14:paraId="24035506" w14:textId="77777777" w:rsidR="00E327DD" w:rsidRPr="000A093B" w:rsidRDefault="00E327DD" w:rsidP="000A093B">
      <w:pPr>
        <w:pStyle w:val="CommentText"/>
        <w:keepNext/>
        <w:keepLines/>
        <w:spacing w:line="240" w:lineRule="auto"/>
        <w:rPr>
          <w:i/>
          <w:sz w:val="22"/>
        </w:rPr>
      </w:pPr>
    </w:p>
    <w:p w14:paraId="2EE18EE3" w14:textId="77777777" w:rsidR="005B5E49" w:rsidRDefault="005A3D7D" w:rsidP="00291F5B">
      <w:pPr>
        <w:pStyle w:val="CommentText"/>
        <w:keepNext/>
        <w:keepLines/>
        <w:spacing w:line="240" w:lineRule="auto"/>
        <w:rPr>
          <w:i/>
          <w:sz w:val="22"/>
        </w:rPr>
      </w:pPr>
      <w:r w:rsidRPr="007B0741">
        <w:rPr>
          <w:i/>
          <w:sz w:val="22"/>
        </w:rPr>
        <w:t>Ciprofloxacin</w:t>
      </w:r>
    </w:p>
    <w:p w14:paraId="1E336DCA" w14:textId="77777777" w:rsidR="00987822" w:rsidRPr="008B6996" w:rsidRDefault="00987822" w:rsidP="00291F5B">
      <w:pPr>
        <w:pStyle w:val="CommentText"/>
        <w:keepNext/>
        <w:keepLines/>
        <w:spacing w:line="240" w:lineRule="auto"/>
        <w:rPr>
          <w:i/>
          <w:sz w:val="22"/>
          <w:szCs w:val="22"/>
        </w:rPr>
      </w:pPr>
    </w:p>
    <w:p w14:paraId="36079143" w14:textId="2DA08CD9" w:rsidR="00F976E8" w:rsidRPr="00A808AC" w:rsidRDefault="005A3D7D" w:rsidP="00291F5B">
      <w:pPr>
        <w:pStyle w:val="CommentText"/>
        <w:keepNext/>
        <w:keepLines/>
        <w:spacing w:line="240" w:lineRule="auto"/>
        <w:rPr>
          <w:sz w:val="22"/>
          <w:szCs w:val="22"/>
        </w:rPr>
      </w:pPr>
      <w:r w:rsidRPr="00A808AC">
        <w:rPr>
          <w:sz w:val="22"/>
          <w:szCs w:val="22"/>
        </w:rPr>
        <w:t>Co</w:t>
      </w:r>
      <w:r w:rsidRPr="00A808AC">
        <w:rPr>
          <w:sz w:val="22"/>
          <w:szCs w:val="22"/>
        </w:rPr>
        <w:noBreakHyphen/>
        <w:t xml:space="preserve">administration of ciprofloxacin with ivacaftor did not affect </w:t>
      </w:r>
      <w:r w:rsidR="00D32F33" w:rsidRPr="00A808AC">
        <w:rPr>
          <w:sz w:val="22"/>
          <w:szCs w:val="22"/>
        </w:rPr>
        <w:t xml:space="preserve">the </w:t>
      </w:r>
      <w:r w:rsidRPr="00A808AC">
        <w:rPr>
          <w:sz w:val="22"/>
          <w:szCs w:val="22"/>
        </w:rPr>
        <w:t>exposure of ivaca</w:t>
      </w:r>
      <w:r w:rsidRPr="00A808AC">
        <w:rPr>
          <w:sz w:val="22"/>
          <w:szCs w:val="22"/>
        </w:rPr>
        <w:t xml:space="preserve">ftor. No dose adjustment is required when </w:t>
      </w:r>
      <w:r w:rsidR="00D3392A">
        <w:rPr>
          <w:sz w:val="22"/>
          <w:szCs w:val="22"/>
        </w:rPr>
        <w:t>i</w:t>
      </w:r>
      <w:r w:rsidR="009800DB">
        <w:rPr>
          <w:sz w:val="22"/>
          <w:szCs w:val="22"/>
        </w:rPr>
        <w:t>vacaftor</w:t>
      </w:r>
      <w:r w:rsidRPr="00A808AC">
        <w:rPr>
          <w:sz w:val="22"/>
          <w:szCs w:val="22"/>
        </w:rPr>
        <w:t xml:space="preserve"> </w:t>
      </w:r>
      <w:r w:rsidR="008F7154" w:rsidRPr="008F7154">
        <w:rPr>
          <w:sz w:val="22"/>
          <w:szCs w:val="22"/>
        </w:rPr>
        <w:t>(as monotherapy or in a combination regimen with tezacaftor/ivacaftor</w:t>
      </w:r>
      <w:r w:rsidR="00903451">
        <w:rPr>
          <w:sz w:val="22"/>
          <w:szCs w:val="22"/>
        </w:rPr>
        <w:t xml:space="preserve"> </w:t>
      </w:r>
      <w:r w:rsidR="00903451" w:rsidRPr="009E1289">
        <w:rPr>
          <w:sz w:val="22"/>
          <w:szCs w:val="22"/>
        </w:rPr>
        <w:t xml:space="preserve">or </w:t>
      </w:r>
      <w:r w:rsidR="00E327DD">
        <w:rPr>
          <w:sz w:val="22"/>
          <w:szCs w:val="22"/>
        </w:rPr>
        <w:t>ivacaftor/tezacaftor/elexacaftor</w:t>
      </w:r>
      <w:r w:rsidR="008F7154" w:rsidRPr="008F7154">
        <w:rPr>
          <w:sz w:val="22"/>
          <w:szCs w:val="22"/>
        </w:rPr>
        <w:t>)</w:t>
      </w:r>
      <w:r w:rsidR="008F7154">
        <w:rPr>
          <w:sz w:val="22"/>
          <w:szCs w:val="22"/>
        </w:rPr>
        <w:t xml:space="preserve"> </w:t>
      </w:r>
      <w:r w:rsidRPr="00A808AC">
        <w:rPr>
          <w:sz w:val="22"/>
          <w:szCs w:val="22"/>
        </w:rPr>
        <w:t>is co</w:t>
      </w:r>
      <w:r w:rsidRPr="00A808AC">
        <w:rPr>
          <w:sz w:val="22"/>
          <w:szCs w:val="22"/>
        </w:rPr>
        <w:noBreakHyphen/>
        <w:t>administered with ciprofloxacin.</w:t>
      </w:r>
    </w:p>
    <w:p w14:paraId="5B5C77A1" w14:textId="77777777" w:rsidR="00F976E8" w:rsidRPr="00A808AC" w:rsidRDefault="00F976E8" w:rsidP="000D02CF">
      <w:pPr>
        <w:pStyle w:val="CommentText"/>
        <w:spacing w:line="240" w:lineRule="auto"/>
        <w:rPr>
          <w:sz w:val="22"/>
          <w:szCs w:val="22"/>
        </w:rPr>
      </w:pPr>
    </w:p>
    <w:p w14:paraId="05662F7D" w14:textId="77777777" w:rsidR="00F976E8" w:rsidRPr="007B0741" w:rsidRDefault="005A3D7D" w:rsidP="00291F5B">
      <w:pPr>
        <w:pStyle w:val="labeltext"/>
        <w:keepNext/>
        <w:rPr>
          <w:sz w:val="22"/>
          <w:u w:val="single"/>
          <w:lang w:val="en-GB"/>
        </w:rPr>
      </w:pPr>
      <w:r w:rsidRPr="007B0741">
        <w:rPr>
          <w:sz w:val="22"/>
          <w:u w:val="single"/>
          <w:lang w:val="en-GB"/>
        </w:rPr>
        <w:t>Medicinal products affected by ivacaftor</w:t>
      </w:r>
      <w:r w:rsidR="007451ED">
        <w:rPr>
          <w:sz w:val="22"/>
          <w:u w:val="single"/>
          <w:lang w:val="en-GB"/>
        </w:rPr>
        <w:t>, tezacaftor and/or elexacaftor</w:t>
      </w:r>
    </w:p>
    <w:p w14:paraId="3C387347" w14:textId="77777777" w:rsidR="00993310" w:rsidRPr="007B0741" w:rsidRDefault="00993310" w:rsidP="00291F5B">
      <w:pPr>
        <w:pStyle w:val="labeltext"/>
        <w:keepNext/>
        <w:rPr>
          <w:sz w:val="22"/>
          <w:u w:val="single"/>
          <w:lang w:val="en-GB"/>
        </w:rPr>
      </w:pPr>
    </w:p>
    <w:p w14:paraId="5CAB2C5B" w14:textId="77777777" w:rsidR="000D6132" w:rsidRDefault="005A3D7D" w:rsidP="000A093B">
      <w:pPr>
        <w:pStyle w:val="CommentText"/>
        <w:keepNext/>
        <w:spacing w:line="240" w:lineRule="auto"/>
        <w:rPr>
          <w:sz w:val="22"/>
          <w:szCs w:val="22"/>
        </w:rPr>
      </w:pPr>
      <w:r w:rsidRPr="000D6132">
        <w:rPr>
          <w:sz w:val="22"/>
          <w:szCs w:val="22"/>
        </w:rPr>
        <w:t xml:space="preserve">Administration of ivacaftor may increase systemic exposure of medicinal products that are sensitive substrates of </w:t>
      </w:r>
      <w:r w:rsidR="008C19C3" w:rsidRPr="000D6132">
        <w:rPr>
          <w:sz w:val="22"/>
          <w:szCs w:val="22"/>
        </w:rPr>
        <w:t>CYP2C9</w:t>
      </w:r>
      <w:r w:rsidRPr="000D6132">
        <w:rPr>
          <w:sz w:val="22"/>
          <w:szCs w:val="22"/>
        </w:rPr>
        <w:t xml:space="preserve">, </w:t>
      </w:r>
      <w:r w:rsidR="00037046">
        <w:rPr>
          <w:sz w:val="22"/>
          <w:szCs w:val="22"/>
        </w:rPr>
        <w:t xml:space="preserve">and/or </w:t>
      </w:r>
      <w:r>
        <w:rPr>
          <w:sz w:val="22"/>
          <w:szCs w:val="22"/>
        </w:rPr>
        <w:t>P</w:t>
      </w:r>
      <w:r>
        <w:rPr>
          <w:sz w:val="22"/>
          <w:szCs w:val="22"/>
        </w:rPr>
        <w:noBreakHyphen/>
      </w:r>
      <w:r w:rsidR="007D067D">
        <w:rPr>
          <w:sz w:val="22"/>
          <w:szCs w:val="22"/>
        </w:rPr>
        <w:t>gp</w:t>
      </w:r>
      <w:r w:rsidR="00FF312D">
        <w:rPr>
          <w:sz w:val="22"/>
          <w:szCs w:val="22"/>
        </w:rPr>
        <w:t>,</w:t>
      </w:r>
      <w:r w:rsidR="007D067D">
        <w:rPr>
          <w:sz w:val="22"/>
          <w:szCs w:val="22"/>
        </w:rPr>
        <w:t xml:space="preserve"> and/or </w:t>
      </w:r>
      <w:r w:rsidR="008C19C3" w:rsidRPr="000D6132">
        <w:rPr>
          <w:sz w:val="22"/>
          <w:szCs w:val="22"/>
        </w:rPr>
        <w:t xml:space="preserve">CYP3A </w:t>
      </w:r>
      <w:r w:rsidRPr="000D6132">
        <w:rPr>
          <w:sz w:val="22"/>
          <w:szCs w:val="22"/>
        </w:rPr>
        <w:t>which may increase or prolong their therapeutic effect and adverse reactions.</w:t>
      </w:r>
    </w:p>
    <w:p w14:paraId="2DD1766D" w14:textId="77777777" w:rsidR="008C0652" w:rsidRPr="000D6132" w:rsidRDefault="008C0652" w:rsidP="00F60825">
      <w:pPr>
        <w:pStyle w:val="CommentText"/>
        <w:spacing w:line="240" w:lineRule="auto"/>
        <w:rPr>
          <w:sz w:val="22"/>
          <w:szCs w:val="22"/>
        </w:rPr>
      </w:pPr>
    </w:p>
    <w:p w14:paraId="57B9057E" w14:textId="77777777" w:rsidR="008C0652" w:rsidRDefault="005A3D7D" w:rsidP="000A093B">
      <w:pPr>
        <w:keepNext/>
        <w:spacing w:line="240" w:lineRule="auto"/>
        <w:rPr>
          <w:i/>
        </w:rPr>
      </w:pPr>
      <w:r w:rsidRPr="007B0741">
        <w:rPr>
          <w:i/>
        </w:rPr>
        <w:t>CYP2C9 substrates</w:t>
      </w:r>
    </w:p>
    <w:p w14:paraId="7014A111" w14:textId="77777777" w:rsidR="00987822" w:rsidRPr="007B0741" w:rsidRDefault="00987822" w:rsidP="000A093B">
      <w:pPr>
        <w:keepNext/>
        <w:spacing w:line="240" w:lineRule="auto"/>
        <w:rPr>
          <w:i/>
        </w:rPr>
      </w:pPr>
    </w:p>
    <w:p w14:paraId="6273F166" w14:textId="034831E9" w:rsidR="008C0652" w:rsidRPr="000A62A0" w:rsidRDefault="005A3D7D" w:rsidP="000A093B">
      <w:pPr>
        <w:pStyle w:val="CommentText"/>
        <w:keepNext/>
        <w:spacing w:line="240" w:lineRule="auto"/>
        <w:rPr>
          <w:i/>
          <w:sz w:val="22"/>
          <w:szCs w:val="22"/>
          <w:bdr w:val="single" w:sz="4" w:space="0" w:color="auto"/>
        </w:rPr>
      </w:pPr>
      <w:r w:rsidRPr="000A62A0">
        <w:rPr>
          <w:sz w:val="22"/>
          <w:szCs w:val="22"/>
        </w:rPr>
        <w:t xml:space="preserve">Ivacaftor may inhibit CYP2C9. Therefore, monitoring of the international normalised ratio (INR) </w:t>
      </w:r>
      <w:r>
        <w:rPr>
          <w:sz w:val="22"/>
          <w:szCs w:val="22"/>
        </w:rPr>
        <w:t xml:space="preserve">is recommended </w:t>
      </w:r>
      <w:r w:rsidRPr="000A62A0">
        <w:rPr>
          <w:sz w:val="22"/>
          <w:szCs w:val="22"/>
        </w:rPr>
        <w:t>during co</w:t>
      </w:r>
      <w:r w:rsidRPr="000A62A0">
        <w:rPr>
          <w:sz w:val="22"/>
          <w:szCs w:val="22"/>
        </w:rPr>
        <w:noBreakHyphen/>
        <w:t xml:space="preserve">administration </w:t>
      </w:r>
      <w:r>
        <w:rPr>
          <w:sz w:val="22"/>
          <w:szCs w:val="22"/>
        </w:rPr>
        <w:t xml:space="preserve">of </w:t>
      </w:r>
      <w:r w:rsidRPr="000A62A0">
        <w:rPr>
          <w:sz w:val="22"/>
          <w:szCs w:val="22"/>
        </w:rPr>
        <w:t>warfarin</w:t>
      </w:r>
      <w:r>
        <w:rPr>
          <w:sz w:val="22"/>
          <w:szCs w:val="22"/>
        </w:rPr>
        <w:t xml:space="preserve"> with </w:t>
      </w:r>
      <w:r w:rsidR="00E327DD">
        <w:rPr>
          <w:sz w:val="22"/>
          <w:szCs w:val="22"/>
        </w:rPr>
        <w:t xml:space="preserve">ivacaftor </w:t>
      </w:r>
      <w:r>
        <w:rPr>
          <w:sz w:val="22"/>
          <w:szCs w:val="22"/>
        </w:rPr>
        <w:t xml:space="preserve">(as monotherapy or in a combination regimen with </w:t>
      </w:r>
      <w:r>
        <w:rPr>
          <w:sz w:val="22"/>
          <w:szCs w:val="22"/>
        </w:rPr>
        <w:t>tezacaftor/ivacaftor</w:t>
      </w:r>
      <w:r w:rsidR="00903451">
        <w:rPr>
          <w:sz w:val="22"/>
          <w:szCs w:val="22"/>
        </w:rPr>
        <w:t xml:space="preserve"> </w:t>
      </w:r>
      <w:r w:rsidR="00903451" w:rsidRPr="009E1289">
        <w:rPr>
          <w:sz w:val="22"/>
          <w:szCs w:val="22"/>
        </w:rPr>
        <w:t xml:space="preserve">or </w:t>
      </w:r>
      <w:r w:rsidR="00E327DD">
        <w:rPr>
          <w:sz w:val="22"/>
          <w:szCs w:val="22"/>
        </w:rPr>
        <w:t>ivacaftor/tezacaftor/elexacaftor</w:t>
      </w:r>
      <w:r>
        <w:rPr>
          <w:sz w:val="22"/>
          <w:szCs w:val="22"/>
        </w:rPr>
        <w:t>)</w:t>
      </w:r>
      <w:r w:rsidRPr="000A62A0">
        <w:rPr>
          <w:sz w:val="22"/>
          <w:szCs w:val="22"/>
        </w:rPr>
        <w:t>. Other medicinal products for which exposure may be increased include glimepiride and glipizide; these medicinal products should be used with caution.</w:t>
      </w:r>
    </w:p>
    <w:p w14:paraId="1500C95F" w14:textId="77777777" w:rsidR="008C0652" w:rsidRPr="00454DF0" w:rsidRDefault="008C0652" w:rsidP="00F60825">
      <w:pPr>
        <w:pStyle w:val="CommentText"/>
        <w:spacing w:line="240" w:lineRule="auto"/>
        <w:rPr>
          <w:sz w:val="22"/>
          <w:szCs w:val="22"/>
          <w:u w:val="single"/>
        </w:rPr>
      </w:pPr>
    </w:p>
    <w:p w14:paraId="5A3A09E4" w14:textId="77777777" w:rsidR="008C0652" w:rsidRDefault="005A3D7D" w:rsidP="000A093B">
      <w:pPr>
        <w:keepNext/>
        <w:rPr>
          <w:i/>
        </w:rPr>
      </w:pPr>
      <w:r w:rsidRPr="007B0741">
        <w:rPr>
          <w:i/>
        </w:rPr>
        <w:t>Digoxin and other P</w:t>
      </w:r>
      <w:r w:rsidR="004809B7" w:rsidRPr="007B0741">
        <w:rPr>
          <w:i/>
        </w:rPr>
        <w:noBreakHyphen/>
      </w:r>
      <w:r w:rsidRPr="007B0741">
        <w:rPr>
          <w:i/>
        </w:rPr>
        <w:t>gp substrates</w:t>
      </w:r>
    </w:p>
    <w:p w14:paraId="7F9A5B7F" w14:textId="77777777" w:rsidR="00987822" w:rsidRPr="007B0741" w:rsidRDefault="00987822" w:rsidP="000A093B">
      <w:pPr>
        <w:keepNext/>
        <w:rPr>
          <w:i/>
        </w:rPr>
      </w:pPr>
    </w:p>
    <w:p w14:paraId="5FB51803" w14:textId="03AF594B" w:rsidR="008C0652" w:rsidRPr="000A62A0" w:rsidRDefault="005A3D7D" w:rsidP="000A093B">
      <w:pPr>
        <w:pStyle w:val="CommentText"/>
        <w:keepNext/>
        <w:spacing w:line="240" w:lineRule="auto"/>
        <w:rPr>
          <w:sz w:val="22"/>
          <w:szCs w:val="22"/>
        </w:rPr>
      </w:pPr>
      <w:r w:rsidRPr="000A62A0">
        <w:rPr>
          <w:sz w:val="22"/>
          <w:szCs w:val="22"/>
        </w:rPr>
        <w:t>Co</w:t>
      </w:r>
      <w:r w:rsidRPr="000A62A0">
        <w:rPr>
          <w:sz w:val="22"/>
          <w:szCs w:val="22"/>
        </w:rPr>
        <w:noBreakHyphen/>
        <w:t>administ</w:t>
      </w:r>
      <w:r w:rsidRPr="000A62A0">
        <w:rPr>
          <w:sz w:val="22"/>
          <w:szCs w:val="22"/>
        </w:rPr>
        <w:t>ration with digoxin, a sensitive P</w:t>
      </w:r>
      <w:r w:rsidRPr="000A62A0">
        <w:rPr>
          <w:sz w:val="22"/>
          <w:szCs w:val="22"/>
        </w:rPr>
        <w:noBreakHyphen/>
        <w:t>gp substrate, increased digoxin exposure by 1.3</w:t>
      </w:r>
      <w:r>
        <w:rPr>
          <w:sz w:val="22"/>
          <w:szCs w:val="22"/>
        </w:rPr>
        <w:noBreakHyphen/>
      </w:r>
      <w:r w:rsidRPr="000A62A0">
        <w:rPr>
          <w:sz w:val="22"/>
          <w:szCs w:val="22"/>
        </w:rPr>
        <w:t>fold, consistent with weak inhibition of P</w:t>
      </w:r>
      <w:r>
        <w:rPr>
          <w:sz w:val="22"/>
          <w:szCs w:val="22"/>
        </w:rPr>
        <w:noBreakHyphen/>
      </w:r>
      <w:r w:rsidRPr="000A62A0">
        <w:rPr>
          <w:sz w:val="22"/>
          <w:szCs w:val="22"/>
        </w:rPr>
        <w:t xml:space="preserve">gp by ivacaftor. </w:t>
      </w:r>
      <w:r w:rsidRPr="00CB17DD">
        <w:rPr>
          <w:sz w:val="22"/>
          <w:szCs w:val="22"/>
        </w:rPr>
        <w:t xml:space="preserve">Administration of </w:t>
      </w:r>
      <w:r w:rsidR="00E327DD">
        <w:rPr>
          <w:sz w:val="22"/>
          <w:szCs w:val="22"/>
        </w:rPr>
        <w:t xml:space="preserve">ivacaftor </w:t>
      </w:r>
      <w:r>
        <w:rPr>
          <w:sz w:val="22"/>
          <w:szCs w:val="22"/>
        </w:rPr>
        <w:t>(as monotherapy or in a combination regimen with tezacaftor/ivacaftor</w:t>
      </w:r>
      <w:r w:rsidR="00E327DD">
        <w:rPr>
          <w:sz w:val="22"/>
          <w:szCs w:val="22"/>
        </w:rPr>
        <w:t xml:space="preserve"> or ivacaftor/tezacaftor/elexacaftor</w:t>
      </w:r>
      <w:r>
        <w:rPr>
          <w:sz w:val="22"/>
          <w:szCs w:val="22"/>
        </w:rPr>
        <w:t>)</w:t>
      </w:r>
      <w:r w:rsidRPr="00CB17DD">
        <w:rPr>
          <w:sz w:val="22"/>
          <w:szCs w:val="22"/>
        </w:rPr>
        <w:t xml:space="preserve"> may increase systemic exposure of medicinal products that are sensitive substrates of P</w:t>
      </w:r>
      <w:r w:rsidR="004809B7">
        <w:rPr>
          <w:sz w:val="22"/>
          <w:szCs w:val="22"/>
        </w:rPr>
        <w:noBreakHyphen/>
      </w:r>
      <w:r w:rsidRPr="00CB17DD">
        <w:rPr>
          <w:sz w:val="22"/>
          <w:szCs w:val="22"/>
        </w:rPr>
        <w:t>gp, which may increase or prolong their therapeutic effect and adverse reactions.</w:t>
      </w:r>
      <w:r>
        <w:rPr>
          <w:sz w:val="22"/>
          <w:szCs w:val="22"/>
        </w:rPr>
        <w:t xml:space="preserve"> </w:t>
      </w:r>
      <w:r w:rsidRPr="00CB17DD">
        <w:rPr>
          <w:sz w:val="22"/>
          <w:szCs w:val="22"/>
        </w:rPr>
        <w:t>When used concomitantly</w:t>
      </w:r>
      <w:r w:rsidRPr="000A62A0">
        <w:rPr>
          <w:sz w:val="22"/>
          <w:szCs w:val="22"/>
          <w:lang w:val="en-US"/>
        </w:rPr>
        <w:t xml:space="preserve"> with</w:t>
      </w:r>
      <w:r w:rsidRPr="000A62A0">
        <w:rPr>
          <w:sz w:val="22"/>
          <w:szCs w:val="22"/>
        </w:rPr>
        <w:t xml:space="preserve"> digoxin or other substrates of P</w:t>
      </w:r>
      <w:r>
        <w:rPr>
          <w:sz w:val="22"/>
          <w:szCs w:val="22"/>
        </w:rPr>
        <w:noBreakHyphen/>
      </w:r>
      <w:r w:rsidRPr="000A62A0">
        <w:rPr>
          <w:sz w:val="22"/>
          <w:szCs w:val="22"/>
        </w:rPr>
        <w:t>gp</w:t>
      </w:r>
      <w:r w:rsidRPr="000A62A0">
        <w:rPr>
          <w:sz w:val="22"/>
          <w:szCs w:val="22"/>
        </w:rPr>
        <w:t xml:space="preserve"> with </w:t>
      </w:r>
      <w:r>
        <w:rPr>
          <w:sz w:val="22"/>
          <w:szCs w:val="22"/>
        </w:rPr>
        <w:t xml:space="preserve">a </w:t>
      </w:r>
      <w:r w:rsidRPr="000A62A0">
        <w:rPr>
          <w:sz w:val="22"/>
          <w:szCs w:val="22"/>
        </w:rPr>
        <w:t>narrow therapeutic index, such as ciclosporin, everolimus, sirolimus or tacrolimus</w:t>
      </w:r>
      <w:r>
        <w:rPr>
          <w:sz w:val="22"/>
          <w:szCs w:val="22"/>
        </w:rPr>
        <w:t xml:space="preserve">, </w:t>
      </w:r>
      <w:r w:rsidRPr="00CB17DD">
        <w:rPr>
          <w:sz w:val="22"/>
          <w:szCs w:val="22"/>
        </w:rPr>
        <w:t>caution and appropriate monitoring should be used</w:t>
      </w:r>
      <w:r w:rsidRPr="000A62A0">
        <w:rPr>
          <w:sz w:val="22"/>
          <w:szCs w:val="22"/>
        </w:rPr>
        <w:t>.</w:t>
      </w:r>
    </w:p>
    <w:p w14:paraId="4167151D" w14:textId="77777777" w:rsidR="008C0652" w:rsidRDefault="008C0652" w:rsidP="00F60825">
      <w:pPr>
        <w:pStyle w:val="CommentText"/>
        <w:spacing w:line="240" w:lineRule="auto"/>
        <w:rPr>
          <w:sz w:val="22"/>
          <w:szCs w:val="22"/>
        </w:rPr>
      </w:pPr>
    </w:p>
    <w:p w14:paraId="2AA1D433" w14:textId="77777777" w:rsidR="007E0D8E" w:rsidRDefault="005A3D7D" w:rsidP="000A093B">
      <w:pPr>
        <w:pStyle w:val="CommentText"/>
        <w:keepNext/>
        <w:spacing w:line="240" w:lineRule="auto"/>
        <w:rPr>
          <w:i/>
          <w:sz w:val="22"/>
        </w:rPr>
      </w:pPr>
      <w:r w:rsidRPr="007B0741">
        <w:rPr>
          <w:i/>
          <w:sz w:val="22"/>
        </w:rPr>
        <w:t xml:space="preserve">CYP3A substrates </w:t>
      </w:r>
    </w:p>
    <w:p w14:paraId="1D567A20" w14:textId="77777777" w:rsidR="00987822" w:rsidRPr="007B0741" w:rsidRDefault="00987822" w:rsidP="000A093B">
      <w:pPr>
        <w:pStyle w:val="CommentText"/>
        <w:keepNext/>
        <w:spacing w:line="240" w:lineRule="auto"/>
        <w:rPr>
          <w:i/>
          <w:sz w:val="22"/>
        </w:rPr>
      </w:pPr>
    </w:p>
    <w:p w14:paraId="1997F00C" w14:textId="3E50303B" w:rsidR="007E0D8E" w:rsidRDefault="005A3D7D" w:rsidP="000A093B">
      <w:pPr>
        <w:pStyle w:val="CommentText"/>
        <w:keepNext/>
        <w:spacing w:line="240" w:lineRule="auto"/>
        <w:rPr>
          <w:sz w:val="22"/>
          <w:szCs w:val="22"/>
        </w:rPr>
      </w:pPr>
      <w:r w:rsidRPr="00A808AC">
        <w:rPr>
          <w:sz w:val="22"/>
          <w:szCs w:val="22"/>
        </w:rPr>
        <w:t>Co</w:t>
      </w:r>
      <w:r w:rsidRPr="00A808AC">
        <w:rPr>
          <w:sz w:val="22"/>
          <w:szCs w:val="22"/>
        </w:rPr>
        <w:noBreakHyphen/>
        <w:t xml:space="preserve">administration with (oral) midazolam, a sensitive CYP3A substrate, increased </w:t>
      </w:r>
      <w:r w:rsidRPr="00A808AC">
        <w:rPr>
          <w:sz w:val="22"/>
          <w:szCs w:val="22"/>
        </w:rPr>
        <w:t>midazolam exposure 1.5</w:t>
      </w:r>
      <w:r w:rsidRPr="00A808AC">
        <w:rPr>
          <w:sz w:val="22"/>
          <w:szCs w:val="22"/>
        </w:rPr>
        <w:noBreakHyphen/>
        <w:t xml:space="preserve">fold, consistent with weak inhibition of CYP3A by ivacaftor. </w:t>
      </w:r>
      <w:r w:rsidR="005C2D74" w:rsidRPr="001D5FD4">
        <w:rPr>
          <w:sz w:val="22"/>
          <w:szCs w:val="22"/>
        </w:rPr>
        <w:t>No dose adjustment of CYP3A substrates</w:t>
      </w:r>
      <w:r w:rsidR="005C2D74">
        <w:rPr>
          <w:sz w:val="22"/>
          <w:szCs w:val="22"/>
        </w:rPr>
        <w:t>,</w:t>
      </w:r>
      <w:r w:rsidR="005C2D74" w:rsidRPr="001D5FD4">
        <w:rPr>
          <w:sz w:val="22"/>
          <w:szCs w:val="22"/>
        </w:rPr>
        <w:t xml:space="preserve"> such as midazolam, alprazolam, diazepam or triazolam</w:t>
      </w:r>
      <w:r w:rsidR="005C2D74">
        <w:rPr>
          <w:sz w:val="22"/>
          <w:szCs w:val="22"/>
        </w:rPr>
        <w:t>,</w:t>
      </w:r>
      <w:r w:rsidR="005C2D74" w:rsidRPr="001D5FD4">
        <w:rPr>
          <w:sz w:val="22"/>
          <w:szCs w:val="22"/>
        </w:rPr>
        <w:t xml:space="preserve"> is required when these are co</w:t>
      </w:r>
      <w:r w:rsidR="00454DF0">
        <w:rPr>
          <w:sz w:val="22"/>
          <w:szCs w:val="22"/>
        </w:rPr>
        <w:noBreakHyphen/>
      </w:r>
      <w:r w:rsidR="005C2D74" w:rsidRPr="001D5FD4">
        <w:rPr>
          <w:sz w:val="22"/>
          <w:szCs w:val="22"/>
        </w:rPr>
        <w:t>administered with ivacaftor</w:t>
      </w:r>
      <w:r w:rsidR="005C2D74">
        <w:rPr>
          <w:sz w:val="22"/>
          <w:szCs w:val="22"/>
        </w:rPr>
        <w:t xml:space="preserve"> (</w:t>
      </w:r>
      <w:r w:rsidR="0001221B">
        <w:rPr>
          <w:sz w:val="22"/>
          <w:szCs w:val="22"/>
        </w:rPr>
        <w:t xml:space="preserve">as </w:t>
      </w:r>
      <w:r w:rsidR="005C2D74" w:rsidRPr="001D5FD4">
        <w:rPr>
          <w:sz w:val="22"/>
          <w:szCs w:val="22"/>
        </w:rPr>
        <w:t>monotherapy or in a combination regimen with tezacaftor/ivacaftor</w:t>
      </w:r>
      <w:r w:rsidR="00903451">
        <w:rPr>
          <w:sz w:val="22"/>
          <w:szCs w:val="22"/>
        </w:rPr>
        <w:t xml:space="preserve"> </w:t>
      </w:r>
      <w:r w:rsidR="00903451" w:rsidRPr="009E1289">
        <w:rPr>
          <w:sz w:val="22"/>
          <w:szCs w:val="22"/>
        </w:rPr>
        <w:t xml:space="preserve">or </w:t>
      </w:r>
      <w:r w:rsidR="00E327DD">
        <w:rPr>
          <w:sz w:val="22"/>
          <w:szCs w:val="22"/>
        </w:rPr>
        <w:t>ivacaftor/tezacaftor/elexacaftor</w:t>
      </w:r>
      <w:r w:rsidR="005C2D74">
        <w:rPr>
          <w:sz w:val="22"/>
          <w:szCs w:val="22"/>
        </w:rPr>
        <w:t>)</w:t>
      </w:r>
      <w:r w:rsidR="005C2D74" w:rsidRPr="001D5FD4">
        <w:rPr>
          <w:sz w:val="22"/>
          <w:szCs w:val="22"/>
        </w:rPr>
        <w:t xml:space="preserve">. </w:t>
      </w:r>
    </w:p>
    <w:p w14:paraId="74E0CEB4" w14:textId="77777777" w:rsidR="00F60825" w:rsidRPr="00A808AC" w:rsidRDefault="00F60825" w:rsidP="00F60825">
      <w:pPr>
        <w:pStyle w:val="CommentText"/>
        <w:spacing w:line="240" w:lineRule="auto"/>
        <w:rPr>
          <w:sz w:val="22"/>
          <w:szCs w:val="22"/>
        </w:rPr>
      </w:pPr>
    </w:p>
    <w:p w14:paraId="6F66C121" w14:textId="77777777" w:rsidR="007E0D8E" w:rsidRPr="000A093B" w:rsidRDefault="005A3D7D" w:rsidP="00A0798C">
      <w:pPr>
        <w:keepNext/>
        <w:suppressLineNumbers/>
        <w:spacing w:line="240" w:lineRule="auto"/>
        <w:rPr>
          <w:i/>
        </w:rPr>
      </w:pPr>
      <w:r w:rsidRPr="000A093B">
        <w:rPr>
          <w:i/>
        </w:rPr>
        <w:t>Hormonal contraceptives</w:t>
      </w:r>
    </w:p>
    <w:p w14:paraId="540C0500" w14:textId="77777777" w:rsidR="00B20DF3" w:rsidRPr="0093503D" w:rsidRDefault="00B20DF3" w:rsidP="0069106A">
      <w:pPr>
        <w:keepNext/>
        <w:suppressLineNumbers/>
        <w:spacing w:line="240" w:lineRule="auto"/>
        <w:rPr>
          <w:u w:val="single"/>
        </w:rPr>
      </w:pPr>
    </w:p>
    <w:p w14:paraId="6C28AE22" w14:textId="77777777" w:rsidR="00F976E8" w:rsidRDefault="005A3D7D" w:rsidP="000A093B">
      <w:pPr>
        <w:pStyle w:val="CommentText"/>
        <w:keepNext/>
        <w:spacing w:line="240" w:lineRule="auto"/>
        <w:rPr>
          <w:sz w:val="22"/>
          <w:szCs w:val="22"/>
        </w:rPr>
      </w:pPr>
      <w:r w:rsidRPr="00A808AC">
        <w:rPr>
          <w:sz w:val="22"/>
          <w:szCs w:val="22"/>
        </w:rPr>
        <w:t xml:space="preserve">Ivacaftor </w:t>
      </w:r>
      <w:r w:rsidR="008C0652" w:rsidRPr="008C0652">
        <w:rPr>
          <w:sz w:val="22"/>
          <w:szCs w:val="22"/>
        </w:rPr>
        <w:t>(as monotherapy or in a combination regimen with tezacaftor/ivacaftor</w:t>
      </w:r>
      <w:r w:rsidR="00903451">
        <w:rPr>
          <w:sz w:val="22"/>
          <w:szCs w:val="22"/>
        </w:rPr>
        <w:t xml:space="preserve"> </w:t>
      </w:r>
      <w:r w:rsidR="00903451" w:rsidRPr="009E1289">
        <w:rPr>
          <w:sz w:val="22"/>
          <w:szCs w:val="22"/>
        </w:rPr>
        <w:t xml:space="preserve">or </w:t>
      </w:r>
      <w:r w:rsidR="00E327DD">
        <w:rPr>
          <w:sz w:val="22"/>
          <w:szCs w:val="22"/>
        </w:rPr>
        <w:t>ivacaftor/tezacaftor/elexacaftor</w:t>
      </w:r>
      <w:r w:rsidR="008C0652" w:rsidRPr="008C0652">
        <w:rPr>
          <w:sz w:val="22"/>
          <w:szCs w:val="22"/>
        </w:rPr>
        <w:t xml:space="preserve">) </w:t>
      </w:r>
      <w:r w:rsidRPr="00A808AC">
        <w:rPr>
          <w:sz w:val="22"/>
          <w:szCs w:val="22"/>
        </w:rPr>
        <w:t>has been studied with an</w:t>
      </w:r>
      <w:r w:rsidRPr="00A808AC">
        <w:rPr>
          <w:sz w:val="22"/>
          <w:szCs w:val="22"/>
        </w:rPr>
        <w:t xml:space="preserve"> oestrogen/progesterone oral contraceptive and was found to have no significant effect on the exposures of the oral contraceptive. </w:t>
      </w:r>
      <w:r w:rsidRPr="003F1CB4">
        <w:rPr>
          <w:sz w:val="22"/>
          <w:szCs w:val="22"/>
        </w:rPr>
        <w:t>Therefore, no dose adjustment of oral contraceptives is necessary.</w:t>
      </w:r>
    </w:p>
    <w:p w14:paraId="6FAD4616" w14:textId="77777777" w:rsidR="00F976E8" w:rsidRPr="000A093B" w:rsidRDefault="00F976E8" w:rsidP="002F0872">
      <w:pPr>
        <w:pStyle w:val="CommentText"/>
        <w:spacing w:line="240" w:lineRule="auto"/>
      </w:pPr>
    </w:p>
    <w:p w14:paraId="65669E05" w14:textId="77777777" w:rsidR="00F424FD" w:rsidRDefault="005A3D7D" w:rsidP="000A093B">
      <w:pPr>
        <w:pStyle w:val="NormalWeb"/>
        <w:keepNext/>
        <w:spacing w:before="0" w:beforeAutospacing="0" w:after="0" w:afterAutospacing="0"/>
        <w:rPr>
          <w:sz w:val="22"/>
          <w:szCs w:val="22"/>
          <w:u w:val="single"/>
          <w:lang w:val="en-GB"/>
        </w:rPr>
      </w:pPr>
      <w:r w:rsidRPr="00A808AC">
        <w:rPr>
          <w:sz w:val="22"/>
          <w:szCs w:val="22"/>
          <w:u w:val="single"/>
          <w:lang w:val="en-GB"/>
        </w:rPr>
        <w:t>Paediatric population</w:t>
      </w:r>
    </w:p>
    <w:p w14:paraId="2CC9128A" w14:textId="77777777" w:rsidR="00B20DF3" w:rsidRPr="00A808AC" w:rsidRDefault="00B20DF3" w:rsidP="000A093B">
      <w:pPr>
        <w:pStyle w:val="NormalWeb"/>
        <w:keepNext/>
        <w:spacing w:before="0" w:beforeAutospacing="0" w:after="0" w:afterAutospacing="0"/>
        <w:rPr>
          <w:sz w:val="22"/>
          <w:szCs w:val="22"/>
          <w:u w:val="single"/>
          <w:lang w:val="en-GB"/>
        </w:rPr>
      </w:pPr>
    </w:p>
    <w:p w14:paraId="38D9011D" w14:textId="77777777" w:rsidR="00F424FD" w:rsidRDefault="005A3D7D" w:rsidP="000A093B">
      <w:pPr>
        <w:pStyle w:val="NormalWeb"/>
        <w:keepNext/>
        <w:spacing w:before="0" w:beforeAutospacing="0" w:after="0" w:afterAutospacing="0"/>
        <w:rPr>
          <w:sz w:val="22"/>
          <w:szCs w:val="22"/>
          <w:lang w:val="en-GB"/>
        </w:rPr>
      </w:pPr>
      <w:r w:rsidRPr="00A808AC">
        <w:rPr>
          <w:sz w:val="22"/>
          <w:szCs w:val="22"/>
          <w:lang w:val="en-GB"/>
        </w:rPr>
        <w:t xml:space="preserve">Interaction studies have only </w:t>
      </w:r>
      <w:r w:rsidRPr="00A808AC">
        <w:rPr>
          <w:sz w:val="22"/>
          <w:szCs w:val="22"/>
          <w:lang w:val="en-GB"/>
        </w:rPr>
        <w:t>been performed in adults.</w:t>
      </w:r>
    </w:p>
    <w:p w14:paraId="780C8C39" w14:textId="77777777" w:rsidR="00A82F40" w:rsidRPr="000A093B" w:rsidRDefault="00A82F40" w:rsidP="000A093B">
      <w:pPr>
        <w:pStyle w:val="NormalWeb"/>
        <w:keepNext/>
        <w:spacing w:before="0" w:beforeAutospacing="0" w:after="0" w:afterAutospacing="0"/>
        <w:rPr>
          <w:i/>
          <w:sz w:val="22"/>
          <w:lang w:val="en-GB"/>
        </w:rPr>
      </w:pPr>
    </w:p>
    <w:p w14:paraId="146C6CFB" w14:textId="77777777" w:rsidR="00F976E8" w:rsidRPr="00A808AC" w:rsidRDefault="005A3D7D" w:rsidP="00A0798C">
      <w:pPr>
        <w:keepNext/>
        <w:suppressLineNumbers/>
        <w:spacing w:line="240" w:lineRule="auto"/>
        <w:ind w:left="562" w:hanging="562"/>
        <w:outlineLvl w:val="1"/>
      </w:pPr>
      <w:r w:rsidRPr="00A808AC">
        <w:rPr>
          <w:b/>
          <w:bCs/>
        </w:rPr>
        <w:t>4.6</w:t>
      </w:r>
      <w:r w:rsidRPr="00A808AC">
        <w:rPr>
          <w:b/>
          <w:bCs/>
        </w:rPr>
        <w:tab/>
        <w:t>Fertility, pregnancy and lactation</w:t>
      </w:r>
    </w:p>
    <w:p w14:paraId="1E9D9FD8" w14:textId="77777777" w:rsidR="00F976E8" w:rsidRPr="00A808AC" w:rsidRDefault="00F976E8" w:rsidP="000A093B">
      <w:pPr>
        <w:pStyle w:val="NormalWeb"/>
        <w:keepNext/>
        <w:spacing w:before="0" w:beforeAutospacing="0" w:after="0" w:afterAutospacing="0"/>
        <w:rPr>
          <w:iCs/>
          <w:sz w:val="22"/>
          <w:szCs w:val="22"/>
        </w:rPr>
      </w:pPr>
    </w:p>
    <w:p w14:paraId="2009DFF6" w14:textId="77777777" w:rsidR="00F976E8" w:rsidRDefault="005A3D7D" w:rsidP="000A093B">
      <w:pPr>
        <w:pStyle w:val="labeltext"/>
        <w:keepNext/>
        <w:suppressLineNumbers/>
        <w:ind w:left="562" w:hanging="562"/>
        <w:rPr>
          <w:sz w:val="22"/>
          <w:szCs w:val="22"/>
          <w:u w:val="single"/>
          <w:lang w:val="en-GB"/>
        </w:rPr>
      </w:pPr>
      <w:r w:rsidRPr="00A808AC">
        <w:rPr>
          <w:sz w:val="22"/>
          <w:szCs w:val="22"/>
          <w:u w:val="single"/>
          <w:lang w:val="en-GB"/>
        </w:rPr>
        <w:t>Pregnancy</w:t>
      </w:r>
    </w:p>
    <w:p w14:paraId="35E1A693" w14:textId="77777777" w:rsidR="00B20DF3" w:rsidRPr="00A808AC" w:rsidRDefault="00B20DF3" w:rsidP="000A093B">
      <w:pPr>
        <w:pStyle w:val="labeltext"/>
        <w:keepNext/>
        <w:suppressLineNumbers/>
        <w:ind w:left="562" w:hanging="562"/>
        <w:rPr>
          <w:sz w:val="22"/>
          <w:szCs w:val="22"/>
          <w:u w:val="single"/>
          <w:lang w:val="en-GB"/>
        </w:rPr>
      </w:pPr>
    </w:p>
    <w:p w14:paraId="2CC036D0" w14:textId="25571762" w:rsidR="00F976E8" w:rsidRPr="00A808AC" w:rsidRDefault="005A3D7D" w:rsidP="000A093B">
      <w:pPr>
        <w:pStyle w:val="labeltext"/>
        <w:keepNext/>
        <w:rPr>
          <w:sz w:val="22"/>
          <w:szCs w:val="22"/>
          <w:lang w:val="en-GB"/>
        </w:rPr>
      </w:pPr>
      <w:r w:rsidRPr="00A808AC">
        <w:rPr>
          <w:sz w:val="22"/>
          <w:szCs w:val="22"/>
          <w:lang w:val="en-GB"/>
        </w:rPr>
        <w:t>There are no or limited amount of data (less than 300 pregnancy outcomes) from the use of ivacaftor in pregnant women.</w:t>
      </w:r>
      <w:r w:rsidR="00EA039D" w:rsidRPr="00A808AC">
        <w:rPr>
          <w:sz w:val="22"/>
          <w:szCs w:val="22"/>
          <w:lang w:val="en-GB"/>
        </w:rPr>
        <w:t xml:space="preserve"> </w:t>
      </w:r>
      <w:r w:rsidR="00B13836" w:rsidRPr="00A808AC">
        <w:rPr>
          <w:sz w:val="22"/>
          <w:szCs w:val="22"/>
          <w:lang w:val="en-GB"/>
        </w:rPr>
        <w:t xml:space="preserve">Animals studies do not indicate direct or indirect harmful effects with respect to reproductive toxicity (see section 5.3). </w:t>
      </w:r>
      <w:r w:rsidRPr="00A808AC">
        <w:rPr>
          <w:sz w:val="22"/>
          <w:szCs w:val="22"/>
          <w:lang w:val="en-GB"/>
        </w:rPr>
        <w:t xml:space="preserve">As a precautionary measure, it is </w:t>
      </w:r>
      <w:r w:rsidR="00B13836" w:rsidRPr="00A808AC">
        <w:rPr>
          <w:sz w:val="22"/>
          <w:szCs w:val="22"/>
          <w:lang w:val="en-GB"/>
        </w:rPr>
        <w:t xml:space="preserve">preferable </w:t>
      </w:r>
      <w:r w:rsidRPr="00A808AC">
        <w:rPr>
          <w:sz w:val="22"/>
          <w:szCs w:val="22"/>
          <w:lang w:val="en-GB"/>
        </w:rPr>
        <w:t xml:space="preserve">to avoid the use of </w:t>
      </w:r>
      <w:r w:rsidR="00E327DD">
        <w:rPr>
          <w:sz w:val="22"/>
          <w:szCs w:val="22"/>
          <w:lang w:val="en-GB"/>
        </w:rPr>
        <w:t>ivacaftor</w:t>
      </w:r>
      <w:r w:rsidR="00E327DD" w:rsidRPr="00A808AC">
        <w:rPr>
          <w:sz w:val="22"/>
          <w:szCs w:val="22"/>
          <w:lang w:val="en-GB"/>
        </w:rPr>
        <w:t xml:space="preserve"> </w:t>
      </w:r>
      <w:r w:rsidRPr="00A808AC">
        <w:rPr>
          <w:sz w:val="22"/>
          <w:szCs w:val="22"/>
          <w:lang w:val="en-GB"/>
        </w:rPr>
        <w:t>during pregnancy</w:t>
      </w:r>
      <w:r w:rsidR="00EA039D" w:rsidRPr="00A808AC">
        <w:rPr>
          <w:sz w:val="22"/>
          <w:szCs w:val="22"/>
          <w:lang w:val="en-GB"/>
        </w:rPr>
        <w:t>.</w:t>
      </w:r>
    </w:p>
    <w:p w14:paraId="65038222" w14:textId="77777777" w:rsidR="00F976E8" w:rsidRPr="00A808AC" w:rsidRDefault="00F976E8" w:rsidP="000D02CF">
      <w:pPr>
        <w:pStyle w:val="NormalIndent"/>
        <w:tabs>
          <w:tab w:val="left" w:pos="0"/>
        </w:tabs>
        <w:spacing w:after="0"/>
        <w:ind w:left="0"/>
      </w:pPr>
    </w:p>
    <w:p w14:paraId="52A43182" w14:textId="77777777" w:rsidR="00F976E8" w:rsidRDefault="005A3D7D" w:rsidP="00A0798C">
      <w:pPr>
        <w:keepNext/>
        <w:spacing w:line="240" w:lineRule="auto"/>
        <w:rPr>
          <w:u w:val="single"/>
        </w:rPr>
      </w:pPr>
      <w:r w:rsidRPr="00A808AC">
        <w:rPr>
          <w:u w:val="single"/>
        </w:rPr>
        <w:t>Breast</w:t>
      </w:r>
      <w:r w:rsidRPr="00A808AC">
        <w:rPr>
          <w:u w:val="single"/>
        </w:rPr>
        <w:noBreakHyphen/>
        <w:t>feeding</w:t>
      </w:r>
    </w:p>
    <w:p w14:paraId="000C3C4B" w14:textId="77777777" w:rsidR="00B20DF3" w:rsidRPr="00A808AC" w:rsidRDefault="00B20DF3" w:rsidP="0069106A">
      <w:pPr>
        <w:keepNext/>
        <w:spacing w:line="240" w:lineRule="auto"/>
        <w:rPr>
          <w:u w:val="single"/>
        </w:rPr>
      </w:pPr>
    </w:p>
    <w:p w14:paraId="7071CA95" w14:textId="1928DD2D" w:rsidR="00F976E8" w:rsidRPr="00A808AC" w:rsidRDefault="005A3D7D" w:rsidP="000A093B">
      <w:pPr>
        <w:pStyle w:val="labeltext"/>
        <w:keepNext/>
        <w:rPr>
          <w:sz w:val="22"/>
          <w:szCs w:val="22"/>
          <w:lang w:val="en-GB"/>
        </w:rPr>
      </w:pPr>
      <w:r w:rsidRPr="00A808AC">
        <w:rPr>
          <w:sz w:val="22"/>
          <w:szCs w:val="22"/>
          <w:lang w:val="en-GB"/>
        </w:rPr>
        <w:t xml:space="preserve">It is unknown whether ivacaftor and/or its metabolites are excreted in human milk. </w:t>
      </w:r>
      <w:r w:rsidR="00A047EB" w:rsidRPr="00A808AC">
        <w:rPr>
          <w:sz w:val="22"/>
          <w:szCs w:val="22"/>
          <w:lang w:val="en-GB"/>
        </w:rPr>
        <w:t xml:space="preserve">Available pharmacokinetic data in animals have shown excretion of ivacaftor </w:t>
      </w:r>
      <w:r w:rsidRPr="00A808AC">
        <w:rPr>
          <w:sz w:val="22"/>
          <w:szCs w:val="22"/>
          <w:lang w:val="en-GB"/>
        </w:rPr>
        <w:t xml:space="preserve">into the milk of lactating female rats. </w:t>
      </w:r>
      <w:r w:rsidR="00A047EB" w:rsidRPr="00A808AC">
        <w:rPr>
          <w:sz w:val="22"/>
          <w:szCs w:val="22"/>
          <w:lang w:val="en-GB"/>
        </w:rPr>
        <w:t xml:space="preserve">As such, </w:t>
      </w:r>
      <w:r w:rsidR="008F4483" w:rsidRPr="00A808AC">
        <w:rPr>
          <w:sz w:val="22"/>
          <w:szCs w:val="22"/>
          <w:lang w:val="en-GB"/>
        </w:rPr>
        <w:t xml:space="preserve">a </w:t>
      </w:r>
      <w:r w:rsidR="00A047EB" w:rsidRPr="00A808AC">
        <w:rPr>
          <w:sz w:val="22"/>
          <w:szCs w:val="22"/>
          <w:lang w:val="en-GB"/>
        </w:rPr>
        <w:t>risk to the newborns/infants cannot be excluded. A decision must be made whether to discontinue breast</w:t>
      </w:r>
      <w:r w:rsidR="000E24CD" w:rsidRPr="00A808AC">
        <w:rPr>
          <w:sz w:val="22"/>
          <w:szCs w:val="22"/>
          <w:lang w:val="en-GB"/>
        </w:rPr>
        <w:noBreakHyphen/>
      </w:r>
      <w:r w:rsidR="00A047EB" w:rsidRPr="00A808AC">
        <w:rPr>
          <w:sz w:val="22"/>
          <w:szCs w:val="22"/>
          <w:lang w:val="en-GB"/>
        </w:rPr>
        <w:t xml:space="preserve">feeding or to discontinue/abstain from </w:t>
      </w:r>
      <w:r w:rsidR="00E327DD">
        <w:rPr>
          <w:sz w:val="22"/>
          <w:szCs w:val="22"/>
          <w:lang w:val="en-GB"/>
        </w:rPr>
        <w:t>ivacaftor</w:t>
      </w:r>
      <w:r w:rsidR="00E327DD" w:rsidRPr="00A808AC">
        <w:rPr>
          <w:sz w:val="22"/>
          <w:szCs w:val="22"/>
          <w:lang w:val="en-GB"/>
        </w:rPr>
        <w:t xml:space="preserve"> </w:t>
      </w:r>
      <w:r w:rsidR="00A047EB" w:rsidRPr="00A808AC">
        <w:rPr>
          <w:sz w:val="22"/>
          <w:szCs w:val="22"/>
          <w:lang w:val="en-GB"/>
        </w:rPr>
        <w:t>therapy taking into account the benefit of breast</w:t>
      </w:r>
      <w:r w:rsidR="000E24CD" w:rsidRPr="00A808AC">
        <w:rPr>
          <w:sz w:val="22"/>
          <w:szCs w:val="22"/>
          <w:lang w:val="en-GB"/>
        </w:rPr>
        <w:noBreakHyphen/>
      </w:r>
      <w:r w:rsidR="00A047EB" w:rsidRPr="00A808AC">
        <w:rPr>
          <w:sz w:val="22"/>
          <w:szCs w:val="22"/>
          <w:lang w:val="en-GB"/>
        </w:rPr>
        <w:t>feeding for the child and the benefit of</w:t>
      </w:r>
      <w:r w:rsidR="00D74E2C" w:rsidRPr="00A808AC">
        <w:rPr>
          <w:sz w:val="22"/>
          <w:szCs w:val="22"/>
          <w:lang w:val="en-GB"/>
        </w:rPr>
        <w:t xml:space="preserve"> </w:t>
      </w:r>
      <w:r w:rsidR="00A047EB" w:rsidRPr="00A808AC">
        <w:rPr>
          <w:sz w:val="22"/>
          <w:szCs w:val="22"/>
          <w:lang w:val="en-GB"/>
        </w:rPr>
        <w:t xml:space="preserve">therapy for the </w:t>
      </w:r>
      <w:r w:rsidR="00762C49" w:rsidRPr="00A808AC">
        <w:rPr>
          <w:sz w:val="22"/>
          <w:szCs w:val="22"/>
          <w:lang w:val="en-GB"/>
        </w:rPr>
        <w:t>woman</w:t>
      </w:r>
      <w:r w:rsidR="009A7DCA" w:rsidRPr="00A808AC">
        <w:rPr>
          <w:sz w:val="22"/>
          <w:szCs w:val="22"/>
          <w:lang w:val="en-GB"/>
        </w:rPr>
        <w:t>.</w:t>
      </w:r>
    </w:p>
    <w:p w14:paraId="58759EF4" w14:textId="77777777" w:rsidR="00F976E8" w:rsidRPr="00A808AC" w:rsidRDefault="00F976E8" w:rsidP="000D02CF">
      <w:pPr>
        <w:pStyle w:val="NormalIndent"/>
        <w:tabs>
          <w:tab w:val="left" w:pos="0"/>
        </w:tabs>
        <w:spacing w:after="0"/>
        <w:ind w:left="0"/>
      </w:pPr>
    </w:p>
    <w:p w14:paraId="335FE29D" w14:textId="77777777" w:rsidR="00F976E8" w:rsidRDefault="005A3D7D" w:rsidP="00BA47B4">
      <w:pPr>
        <w:pStyle w:val="NormalIndent"/>
        <w:keepNext/>
        <w:keepLines/>
        <w:tabs>
          <w:tab w:val="left" w:pos="0"/>
        </w:tabs>
        <w:spacing w:after="0"/>
        <w:ind w:left="0"/>
        <w:rPr>
          <w:u w:val="single"/>
        </w:rPr>
      </w:pPr>
      <w:r w:rsidRPr="00A808AC">
        <w:rPr>
          <w:u w:val="single"/>
        </w:rPr>
        <w:t>Fertility</w:t>
      </w:r>
    </w:p>
    <w:p w14:paraId="00857110" w14:textId="77777777" w:rsidR="00B20DF3" w:rsidRPr="00A808AC" w:rsidRDefault="00B20DF3" w:rsidP="008B6996">
      <w:pPr>
        <w:pStyle w:val="NormalIndent"/>
        <w:keepNext/>
        <w:keepLines/>
        <w:tabs>
          <w:tab w:val="left" w:pos="0"/>
        </w:tabs>
        <w:spacing w:after="0"/>
        <w:ind w:left="0"/>
        <w:rPr>
          <w:u w:val="single"/>
        </w:rPr>
      </w:pPr>
    </w:p>
    <w:p w14:paraId="1A4F25FE" w14:textId="77777777" w:rsidR="00F976E8" w:rsidRPr="00A808AC" w:rsidRDefault="005A3D7D" w:rsidP="00BA47B4">
      <w:pPr>
        <w:keepNext/>
        <w:keepLines/>
        <w:spacing w:line="240" w:lineRule="auto"/>
        <w:rPr>
          <w:rFonts w:eastAsia="MS Mincho"/>
          <w:lang w:eastAsia="ja-JP"/>
        </w:rPr>
      </w:pPr>
      <w:r w:rsidRPr="00CF556B">
        <w:rPr>
          <w:rFonts w:eastAsia="MS Mincho"/>
          <w:lang w:eastAsia="ja-JP"/>
        </w:rPr>
        <w:t>There are no data availa</w:t>
      </w:r>
      <w:r w:rsidRPr="00CF556B">
        <w:rPr>
          <w:rFonts w:eastAsia="MS Mincho"/>
          <w:lang w:eastAsia="ja-JP"/>
        </w:rPr>
        <w:t>ble on the effect of ivacaftor on fertility in humans. Ivacaftor had an effect on fertility in rats (see section 5.3)</w:t>
      </w:r>
      <w:r w:rsidR="00EA039D" w:rsidRPr="00A808AC">
        <w:rPr>
          <w:rFonts w:eastAsia="MS Mincho"/>
          <w:lang w:eastAsia="ja-JP"/>
        </w:rPr>
        <w:t>.</w:t>
      </w:r>
    </w:p>
    <w:p w14:paraId="69713712" w14:textId="77777777" w:rsidR="00DD7E08" w:rsidRPr="00A808AC" w:rsidRDefault="00DD7E08" w:rsidP="000D02CF">
      <w:pPr>
        <w:pStyle w:val="NormalWeb"/>
        <w:spacing w:before="0" w:beforeAutospacing="0" w:after="0" w:afterAutospacing="0"/>
        <w:rPr>
          <w:bCs/>
          <w:sz w:val="22"/>
          <w:szCs w:val="22"/>
        </w:rPr>
      </w:pPr>
    </w:p>
    <w:p w14:paraId="375AA2EA" w14:textId="77777777" w:rsidR="00F976E8" w:rsidRPr="00A808AC" w:rsidRDefault="005A3D7D" w:rsidP="00A0798C">
      <w:pPr>
        <w:keepNext/>
        <w:suppressLineNumbers/>
        <w:spacing w:line="240" w:lineRule="auto"/>
        <w:outlineLvl w:val="1"/>
      </w:pPr>
      <w:r w:rsidRPr="00A808AC">
        <w:rPr>
          <w:b/>
          <w:bCs/>
        </w:rPr>
        <w:t>4.7</w:t>
      </w:r>
      <w:r w:rsidRPr="00A808AC">
        <w:rPr>
          <w:b/>
          <w:bCs/>
        </w:rPr>
        <w:tab/>
        <w:t>Effects on ability to drive and use machines</w:t>
      </w:r>
    </w:p>
    <w:p w14:paraId="2B28C66C" w14:textId="77777777" w:rsidR="00F976E8" w:rsidRPr="00A808AC" w:rsidRDefault="00F976E8" w:rsidP="0069106A">
      <w:pPr>
        <w:keepNext/>
        <w:spacing w:line="240" w:lineRule="auto"/>
      </w:pPr>
    </w:p>
    <w:p w14:paraId="5650E7C9" w14:textId="4FB9C144" w:rsidR="00F976E8" w:rsidRPr="00A808AC" w:rsidRDefault="005A3D7D" w:rsidP="000A093B">
      <w:pPr>
        <w:keepNext/>
        <w:spacing w:line="240" w:lineRule="auto"/>
        <w:rPr>
          <w:bCs/>
        </w:rPr>
      </w:pPr>
      <w:r>
        <w:rPr>
          <w:bCs/>
        </w:rPr>
        <w:t>Ivacaftor</w:t>
      </w:r>
      <w:r w:rsidRPr="00A808AC">
        <w:rPr>
          <w:bCs/>
        </w:rPr>
        <w:t xml:space="preserve"> </w:t>
      </w:r>
      <w:r w:rsidR="00EA039D" w:rsidRPr="00A808AC">
        <w:rPr>
          <w:bCs/>
        </w:rPr>
        <w:t>has minor influence on the ability to drive or use machines. Ivacaftor may cause dizziness (see section</w:t>
      </w:r>
      <w:r w:rsidR="000E24CD" w:rsidRPr="00A808AC">
        <w:rPr>
          <w:bCs/>
        </w:rPr>
        <w:t> </w:t>
      </w:r>
      <w:r w:rsidR="00EA039D" w:rsidRPr="00A808AC">
        <w:rPr>
          <w:bCs/>
        </w:rPr>
        <w:t>4.8) and, therefore,</w:t>
      </w:r>
      <w:r w:rsidR="00EA039D" w:rsidRPr="00A808AC">
        <w:t xml:space="preserve"> </w:t>
      </w:r>
      <w:r w:rsidR="00EA039D" w:rsidRPr="00A808AC">
        <w:rPr>
          <w:bCs/>
        </w:rPr>
        <w:t>patients experiencing dizziness should be advised not to drive or use machines until symptoms abate.</w:t>
      </w:r>
    </w:p>
    <w:p w14:paraId="78D8FFF4" w14:textId="77777777" w:rsidR="00F976E8" w:rsidRPr="00A808AC" w:rsidRDefault="00F976E8" w:rsidP="000D02CF">
      <w:pPr>
        <w:spacing w:line="240" w:lineRule="auto"/>
      </w:pPr>
    </w:p>
    <w:p w14:paraId="37E03019" w14:textId="77777777" w:rsidR="00F976E8" w:rsidRPr="00A808AC" w:rsidRDefault="005A3D7D" w:rsidP="000A093B">
      <w:pPr>
        <w:keepNext/>
        <w:suppressLineNumbers/>
        <w:spacing w:line="240" w:lineRule="auto"/>
        <w:outlineLvl w:val="1"/>
        <w:rPr>
          <w:b/>
          <w:bCs/>
        </w:rPr>
      </w:pPr>
      <w:r w:rsidRPr="00A808AC">
        <w:rPr>
          <w:b/>
          <w:bCs/>
        </w:rPr>
        <w:t>4.8</w:t>
      </w:r>
      <w:r w:rsidRPr="00A808AC">
        <w:rPr>
          <w:b/>
          <w:bCs/>
        </w:rPr>
        <w:tab/>
      </w:r>
      <w:bookmarkStart w:id="5" w:name="_Hlk36070162"/>
      <w:r w:rsidRPr="00A808AC">
        <w:rPr>
          <w:b/>
          <w:bCs/>
        </w:rPr>
        <w:t>Undesirable effects</w:t>
      </w:r>
    </w:p>
    <w:p w14:paraId="2EA1FDAF" w14:textId="77777777" w:rsidR="009C7EB9" w:rsidRPr="00A808AC" w:rsidRDefault="009C7EB9" w:rsidP="000A093B">
      <w:pPr>
        <w:pStyle w:val="labeltext"/>
        <w:keepNext/>
        <w:rPr>
          <w:sz w:val="22"/>
          <w:szCs w:val="22"/>
          <w:u w:val="single"/>
          <w:lang w:val="en-GB"/>
        </w:rPr>
      </w:pPr>
    </w:p>
    <w:p w14:paraId="178DEACF" w14:textId="77777777" w:rsidR="00F976E8" w:rsidRDefault="005A3D7D" w:rsidP="000A093B">
      <w:pPr>
        <w:pStyle w:val="labeltext"/>
        <w:keepNext/>
        <w:rPr>
          <w:sz w:val="22"/>
          <w:szCs w:val="22"/>
          <w:u w:val="single"/>
          <w:lang w:val="en-GB"/>
        </w:rPr>
      </w:pPr>
      <w:r w:rsidRPr="00A808AC">
        <w:rPr>
          <w:sz w:val="22"/>
          <w:szCs w:val="22"/>
          <w:u w:val="single"/>
          <w:lang w:val="en-GB"/>
        </w:rPr>
        <w:t>Summary of the safety profile</w:t>
      </w:r>
    </w:p>
    <w:p w14:paraId="3A75BE92" w14:textId="77777777" w:rsidR="00987822" w:rsidRDefault="00987822" w:rsidP="000A093B">
      <w:pPr>
        <w:pStyle w:val="labeltext"/>
        <w:keepNext/>
        <w:rPr>
          <w:sz w:val="22"/>
          <w:szCs w:val="22"/>
          <w:u w:val="single"/>
          <w:lang w:val="en-GB"/>
        </w:rPr>
      </w:pPr>
    </w:p>
    <w:p w14:paraId="521CC9CB" w14:textId="58BFBE28" w:rsidR="00B3664F" w:rsidRPr="00A808AC" w:rsidRDefault="005A3D7D" w:rsidP="000A093B">
      <w:pPr>
        <w:pStyle w:val="labeltext"/>
        <w:keepNext/>
      </w:pPr>
      <w:r w:rsidRPr="00A808AC">
        <w:rPr>
          <w:sz w:val="22"/>
        </w:rPr>
        <w:t xml:space="preserve">The most common adverse reactions </w:t>
      </w:r>
      <w:r w:rsidRPr="00A808AC">
        <w:rPr>
          <w:sz w:val="22"/>
        </w:rPr>
        <w:t>experienced by patients aged 6</w:t>
      </w:r>
      <w:r w:rsidR="000E24CD" w:rsidRPr="00A808AC">
        <w:rPr>
          <w:sz w:val="22"/>
        </w:rPr>
        <w:t> </w:t>
      </w:r>
      <w:r w:rsidRPr="00A808AC">
        <w:rPr>
          <w:sz w:val="22"/>
        </w:rPr>
        <w:t xml:space="preserve">years and older who received ivacaftor </w:t>
      </w:r>
      <w:r w:rsidR="00E327DD">
        <w:rPr>
          <w:sz w:val="22"/>
        </w:rPr>
        <w:t xml:space="preserve">are </w:t>
      </w:r>
      <w:r w:rsidRPr="00A808AC">
        <w:rPr>
          <w:sz w:val="22"/>
        </w:rPr>
        <w:t>headache (23.9%</w:t>
      </w:r>
      <w:r w:rsidR="00F54DD3" w:rsidRPr="00A808AC">
        <w:rPr>
          <w:sz w:val="22"/>
        </w:rPr>
        <w:t>)</w:t>
      </w:r>
      <w:r w:rsidRPr="00A808AC">
        <w:rPr>
          <w:sz w:val="22"/>
        </w:rPr>
        <w:t>, oropharyngeal pain (22.0</w:t>
      </w:r>
      <w:r w:rsidR="00D66A0F" w:rsidRPr="00A808AC">
        <w:rPr>
          <w:sz w:val="22"/>
        </w:rPr>
        <w:t>%</w:t>
      </w:r>
      <w:r w:rsidRPr="00A808AC">
        <w:rPr>
          <w:sz w:val="22"/>
        </w:rPr>
        <w:t>), upper respiratory tract infection (22.0%), nasal congestion (20.2%), abdominal pain (15.6%), nasopharyngitis (14.7%), diarrhoea (12.8%),</w:t>
      </w:r>
      <w:r w:rsidRPr="00A808AC">
        <w:rPr>
          <w:sz w:val="22"/>
        </w:rPr>
        <w:t xml:space="preserve"> </w:t>
      </w:r>
      <w:r w:rsidR="00F54DD3" w:rsidRPr="00A808AC">
        <w:rPr>
          <w:sz w:val="22"/>
          <w:lang w:val="en-GB"/>
        </w:rPr>
        <w:t xml:space="preserve">dizziness (9.2%), </w:t>
      </w:r>
      <w:r w:rsidRPr="00A808AC">
        <w:rPr>
          <w:sz w:val="22"/>
        </w:rPr>
        <w:t>rash (12.8%</w:t>
      </w:r>
      <w:r w:rsidRPr="00A808AC">
        <w:rPr>
          <w:sz w:val="22"/>
          <w:lang w:val="en-GB"/>
        </w:rPr>
        <w:t xml:space="preserve">) and </w:t>
      </w:r>
      <w:r w:rsidRPr="00A808AC">
        <w:rPr>
          <w:sz w:val="22"/>
          <w:szCs w:val="22"/>
          <w:lang w:val="en-GB"/>
        </w:rPr>
        <w:t>bacteria</w:t>
      </w:r>
      <w:r w:rsidRPr="00A808AC">
        <w:rPr>
          <w:rFonts w:eastAsia="Times New Roman"/>
          <w:sz w:val="22"/>
          <w:szCs w:val="22"/>
        </w:rPr>
        <w:t xml:space="preserve"> </w:t>
      </w:r>
      <w:r w:rsidR="00BB746E" w:rsidRPr="00A808AC">
        <w:rPr>
          <w:rFonts w:eastAsia="Times New Roman"/>
          <w:sz w:val="22"/>
          <w:szCs w:val="22"/>
        </w:rPr>
        <w:t xml:space="preserve">in </w:t>
      </w:r>
      <w:r w:rsidRPr="00A808AC">
        <w:rPr>
          <w:sz w:val="22"/>
          <w:szCs w:val="22"/>
        </w:rPr>
        <w:t>sputum (12.8%).</w:t>
      </w:r>
      <w:r w:rsidR="00F54DD3" w:rsidRPr="00A808AC">
        <w:rPr>
          <w:rFonts w:eastAsia="Times New Roman"/>
          <w:sz w:val="22"/>
          <w:szCs w:val="22"/>
          <w:lang w:val="en-GB"/>
        </w:rPr>
        <w:t xml:space="preserve"> </w:t>
      </w:r>
      <w:r w:rsidR="00F54DD3" w:rsidRPr="00A808AC">
        <w:rPr>
          <w:sz w:val="22"/>
          <w:szCs w:val="22"/>
          <w:lang w:val="en-GB"/>
        </w:rPr>
        <w:t>Transaminase elevations occurred in 12.8% of ivacaftor-treated patients versus 11.5% of placebo</w:t>
      </w:r>
      <w:r w:rsidR="000E24CD" w:rsidRPr="00A808AC">
        <w:rPr>
          <w:sz w:val="22"/>
          <w:szCs w:val="22"/>
          <w:lang w:val="en-GB"/>
        </w:rPr>
        <w:noBreakHyphen/>
      </w:r>
      <w:r w:rsidR="00F54DD3" w:rsidRPr="00A808AC">
        <w:rPr>
          <w:sz w:val="22"/>
          <w:szCs w:val="22"/>
          <w:lang w:val="en-GB"/>
        </w:rPr>
        <w:t>treated patients.</w:t>
      </w:r>
    </w:p>
    <w:p w14:paraId="35765A05" w14:textId="77777777" w:rsidR="00B3664F" w:rsidRPr="00A808AC" w:rsidRDefault="00B3664F" w:rsidP="000D02CF">
      <w:pPr>
        <w:pStyle w:val="labeltext"/>
        <w:rPr>
          <w:u w:val="single"/>
        </w:rPr>
      </w:pPr>
    </w:p>
    <w:p w14:paraId="18685387" w14:textId="77777777" w:rsidR="00136C4D" w:rsidRPr="00A808AC" w:rsidRDefault="005A3D7D" w:rsidP="000D02CF">
      <w:pPr>
        <w:spacing w:line="240" w:lineRule="auto"/>
        <w:rPr>
          <w:rFonts w:eastAsia="Times New Roman"/>
        </w:rPr>
      </w:pPr>
      <w:r w:rsidRPr="00A808AC">
        <w:rPr>
          <w:rFonts w:eastAsia="Times New Roman"/>
        </w:rPr>
        <w:t>In patients aged 2 to less than 6</w:t>
      </w:r>
      <w:r w:rsidR="000E24CD" w:rsidRPr="00A808AC">
        <w:rPr>
          <w:rFonts w:eastAsia="Times New Roman"/>
        </w:rPr>
        <w:t> </w:t>
      </w:r>
      <w:r w:rsidRPr="00A808AC">
        <w:rPr>
          <w:rFonts w:eastAsia="Times New Roman"/>
        </w:rPr>
        <w:t xml:space="preserve">years the most common adverse </w:t>
      </w:r>
      <w:r w:rsidRPr="00A808AC">
        <w:rPr>
          <w:rFonts w:eastAsia="Times New Roman"/>
        </w:rPr>
        <w:t>reactions were nasal congestion (26.5%), upper respiratory tract infection (23.5%), transaminase elevations (14.7%), rash (11.8%), and bacteria in sputum (11.8%).</w:t>
      </w:r>
    </w:p>
    <w:p w14:paraId="7559101F" w14:textId="77777777" w:rsidR="00136C4D" w:rsidRPr="00A808AC" w:rsidRDefault="00136C4D" w:rsidP="000D02CF">
      <w:pPr>
        <w:pStyle w:val="labeltext"/>
        <w:rPr>
          <w:u w:val="single"/>
        </w:rPr>
      </w:pPr>
    </w:p>
    <w:p w14:paraId="74CC6A4C" w14:textId="77777777" w:rsidR="00B3664F" w:rsidRPr="00A808AC" w:rsidRDefault="005A3D7D" w:rsidP="000D02CF">
      <w:pPr>
        <w:pStyle w:val="labeltext"/>
        <w:rPr>
          <w:sz w:val="22"/>
          <w:szCs w:val="22"/>
        </w:rPr>
      </w:pPr>
      <w:r w:rsidRPr="00A808AC">
        <w:rPr>
          <w:sz w:val="22"/>
          <w:szCs w:val="22"/>
        </w:rPr>
        <w:t>Serious adverse reactions in patients who received ivacaftor include</w:t>
      </w:r>
      <w:r w:rsidR="00BB746E" w:rsidRPr="00A808AC">
        <w:rPr>
          <w:sz w:val="22"/>
          <w:szCs w:val="22"/>
        </w:rPr>
        <w:t>d</w:t>
      </w:r>
      <w:r w:rsidRPr="00A808AC">
        <w:rPr>
          <w:sz w:val="22"/>
          <w:szCs w:val="22"/>
        </w:rPr>
        <w:t xml:space="preserve"> abdominal pain and tra</w:t>
      </w:r>
      <w:r w:rsidRPr="00A808AC">
        <w:rPr>
          <w:sz w:val="22"/>
          <w:szCs w:val="22"/>
        </w:rPr>
        <w:t>nsaminase elevations (see section</w:t>
      </w:r>
      <w:r w:rsidR="000E24CD" w:rsidRPr="00A808AC">
        <w:rPr>
          <w:sz w:val="22"/>
          <w:szCs w:val="22"/>
        </w:rPr>
        <w:t> </w:t>
      </w:r>
      <w:r w:rsidRPr="00A808AC">
        <w:rPr>
          <w:sz w:val="22"/>
          <w:szCs w:val="22"/>
        </w:rPr>
        <w:t>4.4).</w:t>
      </w:r>
    </w:p>
    <w:p w14:paraId="6116DB52" w14:textId="77777777" w:rsidR="00D05293" w:rsidRDefault="00D05293" w:rsidP="000D02CF">
      <w:pPr>
        <w:pStyle w:val="labeltext"/>
        <w:rPr>
          <w:sz w:val="22"/>
          <w:szCs w:val="22"/>
          <w:u w:val="single"/>
          <w:lang w:val="en-GB"/>
        </w:rPr>
      </w:pPr>
    </w:p>
    <w:p w14:paraId="44E8C06A" w14:textId="77777777" w:rsidR="00F976E8" w:rsidRDefault="005A3D7D" w:rsidP="000A093B">
      <w:pPr>
        <w:pStyle w:val="labeltext"/>
        <w:keepNext/>
        <w:rPr>
          <w:sz w:val="22"/>
          <w:szCs w:val="22"/>
          <w:u w:val="single"/>
          <w:lang w:val="en-GB"/>
        </w:rPr>
      </w:pPr>
      <w:bookmarkStart w:id="6" w:name="_Hlk45279317"/>
      <w:r w:rsidRPr="00A808AC">
        <w:rPr>
          <w:sz w:val="22"/>
          <w:szCs w:val="22"/>
          <w:u w:val="single"/>
          <w:lang w:val="en-GB"/>
        </w:rPr>
        <w:t>Tabulated list of adverse reactions</w:t>
      </w:r>
    </w:p>
    <w:p w14:paraId="302A845E" w14:textId="77777777" w:rsidR="002A5658" w:rsidRPr="000A093B" w:rsidRDefault="002A5658" w:rsidP="000A093B">
      <w:pPr>
        <w:keepNext/>
        <w:spacing w:line="240" w:lineRule="auto"/>
      </w:pPr>
    </w:p>
    <w:p w14:paraId="6A24C62A" w14:textId="47D5FDF8" w:rsidR="00E327DD" w:rsidRPr="000A093B" w:rsidRDefault="005A3D7D" w:rsidP="000A093B">
      <w:pPr>
        <w:keepNext/>
        <w:spacing w:line="240" w:lineRule="auto"/>
      </w:pPr>
      <w:r w:rsidRPr="00A808AC">
        <w:rPr>
          <w:bCs/>
          <w:lang w:val="en-US"/>
        </w:rPr>
        <w:t>Table</w:t>
      </w:r>
      <w:r w:rsidR="004F6F1C">
        <w:rPr>
          <w:bCs/>
          <w:lang w:val="en-US"/>
        </w:rPr>
        <w:t> </w:t>
      </w:r>
      <w:r w:rsidR="002C5C21">
        <w:rPr>
          <w:bCs/>
          <w:lang w:val="en-US"/>
        </w:rPr>
        <w:t>4</w:t>
      </w:r>
      <w:r w:rsidR="0021352D" w:rsidRPr="00A808AC">
        <w:rPr>
          <w:bCs/>
          <w:lang w:val="en-US"/>
        </w:rPr>
        <w:t xml:space="preserve"> </w:t>
      </w:r>
      <w:r w:rsidRPr="00A808AC">
        <w:rPr>
          <w:bCs/>
          <w:lang w:val="en-US"/>
        </w:rPr>
        <w:t>reflects the adverse reactions observed with ivacaftor</w:t>
      </w:r>
      <w:r w:rsidR="00032E5A">
        <w:rPr>
          <w:bCs/>
          <w:lang w:val="en-US"/>
        </w:rPr>
        <w:t xml:space="preserve"> monotherapy</w:t>
      </w:r>
      <w:r w:rsidRPr="00A808AC">
        <w:rPr>
          <w:bCs/>
          <w:lang w:val="en-US"/>
        </w:rPr>
        <w:t xml:space="preserve"> in clinical trials (placebo-controlled and uncontrolled studies) in which the length of exposure to ivacaftor ranged from 16</w:t>
      </w:r>
      <w:r w:rsidR="000E24CD" w:rsidRPr="00A808AC">
        <w:rPr>
          <w:bCs/>
          <w:lang w:val="en-US"/>
        </w:rPr>
        <w:t> </w:t>
      </w:r>
      <w:r w:rsidRPr="00A808AC">
        <w:rPr>
          <w:bCs/>
          <w:lang w:val="en-US"/>
        </w:rPr>
        <w:t>weeks to 144</w:t>
      </w:r>
      <w:r w:rsidR="000E24CD" w:rsidRPr="00A808AC">
        <w:rPr>
          <w:bCs/>
          <w:lang w:val="en-US"/>
        </w:rPr>
        <w:t> </w:t>
      </w:r>
      <w:r w:rsidRPr="00A808AC">
        <w:rPr>
          <w:bCs/>
          <w:lang w:val="en-US"/>
        </w:rPr>
        <w:t>weeks</w:t>
      </w:r>
      <w:r w:rsidRPr="00032E5A">
        <w:rPr>
          <w:bCs/>
          <w:lang w:val="en-US"/>
        </w:rPr>
        <w:t xml:space="preserve">. </w:t>
      </w:r>
      <w:r w:rsidRPr="000A093B">
        <w:rPr>
          <w:lang w:val="en-US"/>
        </w:rPr>
        <w:t xml:space="preserve">Additional adverse reactions observed with ivacaftor in </w:t>
      </w:r>
      <w:r>
        <w:rPr>
          <w:bCs/>
          <w:lang w:val="en-US"/>
        </w:rPr>
        <w:t xml:space="preserve">a </w:t>
      </w:r>
      <w:r w:rsidRPr="000A093B">
        <w:rPr>
          <w:lang w:val="en-US"/>
        </w:rPr>
        <w:t xml:space="preserve">combination </w:t>
      </w:r>
      <w:r>
        <w:rPr>
          <w:bCs/>
          <w:lang w:val="en-US"/>
        </w:rPr>
        <w:t xml:space="preserve">regimen </w:t>
      </w:r>
      <w:r w:rsidRPr="000A093B">
        <w:rPr>
          <w:lang w:val="en-US"/>
        </w:rPr>
        <w:t xml:space="preserve">with tezacaftor/ivacaftor </w:t>
      </w:r>
      <w:r>
        <w:rPr>
          <w:bCs/>
          <w:lang w:val="en-US"/>
        </w:rPr>
        <w:t>and/or</w:t>
      </w:r>
      <w:r>
        <w:rPr>
          <w:bCs/>
          <w:lang w:val="en-US"/>
        </w:rPr>
        <w:t xml:space="preserve"> in a combination regimen with ivacaftor/tezacaftor/elexacaftor </w:t>
      </w:r>
      <w:r w:rsidRPr="000A093B">
        <w:rPr>
          <w:lang w:val="en-US"/>
        </w:rPr>
        <w:t>are also provided in Table</w:t>
      </w:r>
      <w:r>
        <w:rPr>
          <w:bCs/>
          <w:lang w:val="en-US"/>
        </w:rPr>
        <w:t xml:space="preserve"> </w:t>
      </w:r>
      <w:r w:rsidR="002628B5">
        <w:rPr>
          <w:bCs/>
          <w:lang w:val="en-US"/>
        </w:rPr>
        <w:t>4</w:t>
      </w:r>
      <w:r w:rsidRPr="000A093B">
        <w:rPr>
          <w:lang w:val="en-US"/>
        </w:rPr>
        <w:t xml:space="preserve">. </w:t>
      </w:r>
      <w:r w:rsidRPr="00032E5A">
        <w:rPr>
          <w:bCs/>
          <w:lang w:val="en-US"/>
        </w:rPr>
        <w:t>The</w:t>
      </w:r>
      <w:r w:rsidRPr="00A808AC">
        <w:rPr>
          <w:bCs/>
          <w:lang w:val="en-US"/>
        </w:rPr>
        <w:t xml:space="preserve"> frequency of adverse reactions is defined as</w:t>
      </w:r>
      <w:r w:rsidRPr="00A808AC">
        <w:rPr>
          <w:rFonts w:hint="eastAsia"/>
          <w:bCs/>
          <w:lang w:val="en-US"/>
        </w:rPr>
        <w:t xml:space="preserve"> follows: very common (</w:t>
      </w:r>
      <w:r w:rsidRPr="00A808AC">
        <w:rPr>
          <w:bCs/>
          <w:lang w:val="en-US"/>
        </w:rPr>
        <w:t>≥</w:t>
      </w:r>
      <w:r>
        <w:rPr>
          <w:bCs/>
          <w:lang w:val="en-US"/>
        </w:rPr>
        <w:t> </w:t>
      </w:r>
      <w:r w:rsidRPr="00A808AC">
        <w:rPr>
          <w:rFonts w:hint="eastAsia"/>
          <w:bCs/>
          <w:lang w:val="en-US"/>
        </w:rPr>
        <w:t>1/10); common (</w:t>
      </w:r>
      <w:r w:rsidRPr="00A808AC">
        <w:rPr>
          <w:bCs/>
          <w:lang w:val="en-US"/>
        </w:rPr>
        <w:t>≥</w:t>
      </w:r>
      <w:r>
        <w:rPr>
          <w:bCs/>
          <w:lang w:val="en-US"/>
        </w:rPr>
        <w:t> </w:t>
      </w:r>
      <w:r w:rsidRPr="00A808AC">
        <w:rPr>
          <w:rFonts w:hint="eastAsia"/>
          <w:bCs/>
          <w:lang w:val="en-US"/>
        </w:rPr>
        <w:t>1/100 to &lt;</w:t>
      </w:r>
      <w:r>
        <w:rPr>
          <w:bCs/>
          <w:lang w:val="en-US"/>
        </w:rPr>
        <w:t> </w:t>
      </w:r>
      <w:r w:rsidRPr="00A808AC">
        <w:rPr>
          <w:rFonts w:hint="eastAsia"/>
          <w:bCs/>
          <w:lang w:val="en-US"/>
        </w:rPr>
        <w:t>1/10); uncommon (</w:t>
      </w:r>
      <w:r w:rsidRPr="00A808AC">
        <w:rPr>
          <w:bCs/>
          <w:lang w:val="en-US"/>
        </w:rPr>
        <w:t>≥</w:t>
      </w:r>
      <w:r>
        <w:rPr>
          <w:bCs/>
          <w:lang w:val="en-US"/>
        </w:rPr>
        <w:t> </w:t>
      </w:r>
      <w:r w:rsidRPr="00A808AC">
        <w:rPr>
          <w:rFonts w:hint="eastAsia"/>
          <w:bCs/>
          <w:lang w:val="en-US"/>
        </w:rPr>
        <w:t>1/1,000 to &lt;</w:t>
      </w:r>
      <w:r>
        <w:rPr>
          <w:bCs/>
          <w:lang w:val="en-US"/>
        </w:rPr>
        <w:t> </w:t>
      </w:r>
      <w:r w:rsidRPr="00A808AC">
        <w:rPr>
          <w:rFonts w:hint="eastAsia"/>
          <w:bCs/>
          <w:lang w:val="en-US"/>
        </w:rPr>
        <w:t>1/100); rare (</w:t>
      </w:r>
      <w:r w:rsidRPr="00A808AC">
        <w:rPr>
          <w:bCs/>
          <w:lang w:val="en-US"/>
        </w:rPr>
        <w:t>≥</w:t>
      </w:r>
      <w:r>
        <w:rPr>
          <w:bCs/>
          <w:lang w:val="en-US"/>
        </w:rPr>
        <w:t> </w:t>
      </w:r>
      <w:r w:rsidRPr="00A808AC">
        <w:rPr>
          <w:rFonts w:hint="eastAsia"/>
          <w:bCs/>
          <w:lang w:val="en-US"/>
        </w:rPr>
        <w:t>1/10,000 to &lt;</w:t>
      </w:r>
      <w:r>
        <w:rPr>
          <w:bCs/>
          <w:lang w:val="en-US"/>
        </w:rPr>
        <w:t> </w:t>
      </w:r>
      <w:r w:rsidRPr="00A808AC">
        <w:rPr>
          <w:rFonts w:hint="eastAsia"/>
          <w:bCs/>
          <w:lang w:val="en-US"/>
        </w:rPr>
        <w:t>1/1,000); very rare (&lt;</w:t>
      </w:r>
      <w:r>
        <w:rPr>
          <w:bCs/>
          <w:lang w:val="en-US"/>
        </w:rPr>
        <w:t> </w:t>
      </w:r>
      <w:r w:rsidRPr="00A808AC">
        <w:rPr>
          <w:rFonts w:hint="eastAsia"/>
          <w:bCs/>
          <w:lang w:val="en-US"/>
        </w:rPr>
        <w:t>1/10,000)</w:t>
      </w:r>
      <w:r w:rsidRPr="00BB3560">
        <w:rPr>
          <w:bCs/>
          <w:lang w:val="en-US"/>
        </w:rPr>
        <w:t>; not known (cannot be estimated from the available data)</w:t>
      </w:r>
      <w:r w:rsidRPr="00A808AC">
        <w:rPr>
          <w:rFonts w:hint="eastAsia"/>
          <w:bCs/>
          <w:lang w:val="en-US"/>
        </w:rPr>
        <w:t xml:space="preserve">. </w:t>
      </w:r>
      <w:r w:rsidRPr="00A808AC">
        <w:rPr>
          <w:bCs/>
        </w:rPr>
        <w:t>Within each frequency grouping, adverse reactions are presented in order of decreasing seriousness.</w:t>
      </w:r>
    </w:p>
    <w:p w14:paraId="1FD3260E" w14:textId="77777777" w:rsidR="00F976E8" w:rsidRPr="00A808AC" w:rsidRDefault="00F976E8" w:rsidP="000D02CF">
      <w:pPr>
        <w:spacing w:line="240" w:lineRule="auto"/>
        <w:rPr>
          <w:bCs/>
        </w:rPr>
      </w:pPr>
    </w:p>
    <w:p w14:paraId="0267B70A" w14:textId="0C80D6AF" w:rsidR="00D35F49" w:rsidRPr="00A808AC" w:rsidRDefault="005A3D7D" w:rsidP="00D35F49">
      <w:pPr>
        <w:keepNext/>
        <w:keepLines/>
        <w:tabs>
          <w:tab w:val="clear" w:pos="567"/>
        </w:tabs>
        <w:spacing w:after="120" w:line="240" w:lineRule="auto"/>
        <w:ind w:left="806" w:hanging="806"/>
        <w:rPr>
          <w:bCs/>
        </w:rPr>
      </w:pPr>
      <w:r w:rsidRPr="00A808AC">
        <w:rPr>
          <w:b/>
          <w:bCs/>
        </w:rPr>
        <w:t>Table</w:t>
      </w:r>
      <w:r w:rsidR="004F6F1C">
        <w:rPr>
          <w:b/>
          <w:bCs/>
        </w:rPr>
        <w:t> </w:t>
      </w:r>
      <w:r w:rsidR="002C5C21">
        <w:rPr>
          <w:b/>
          <w:bCs/>
        </w:rPr>
        <w:t>4</w:t>
      </w:r>
      <w:r>
        <w:rPr>
          <w:b/>
          <w:bCs/>
        </w:rPr>
        <w:t>:</w:t>
      </w:r>
      <w:r w:rsidRPr="00A808AC">
        <w:rPr>
          <w:b/>
          <w:bCs/>
        </w:rPr>
        <w:t xml:space="preserve"> Adverse reactions in </w:t>
      </w:r>
      <w:r>
        <w:rPr>
          <w:b/>
          <w:bCs/>
        </w:rPr>
        <w:t xml:space="preserve">patients treated with </w:t>
      </w:r>
      <w:r w:rsidR="00D05293">
        <w:rPr>
          <w:b/>
          <w:bCs/>
        </w:rPr>
        <w:t xml:space="preserve">ivacaftor </w:t>
      </w:r>
      <w:r>
        <w:rPr>
          <w:b/>
          <w:bCs/>
        </w:rPr>
        <w:t xml:space="preserve">monotherapy </w:t>
      </w:r>
      <w:r w:rsidR="00E327DD">
        <w:rPr>
          <w:b/>
          <w:bCs/>
        </w:rPr>
        <w:t>and/or in a combination regimen</w:t>
      </w:r>
    </w:p>
    <w:tbl>
      <w:tblPr>
        <w:tblW w:w="495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66"/>
        <w:gridCol w:w="3235"/>
        <w:gridCol w:w="2700"/>
      </w:tblGrid>
      <w:tr w:rsidR="00476058" w14:paraId="3A4B96C7" w14:textId="77777777" w:rsidTr="000A093B">
        <w:trPr>
          <w:cantSplit/>
          <w:trHeight w:val="310"/>
          <w:tblHeader/>
        </w:trPr>
        <w:tc>
          <w:tcPr>
            <w:tcW w:w="1703" w:type="pct"/>
          </w:tcPr>
          <w:p w14:paraId="5FE5A6D7" w14:textId="77777777" w:rsidR="00704F55" w:rsidRPr="00A808AC" w:rsidRDefault="005A3D7D" w:rsidP="006878A4">
            <w:pPr>
              <w:keepNext/>
              <w:keepLines/>
              <w:spacing w:line="240" w:lineRule="auto"/>
            </w:pPr>
            <w:r w:rsidRPr="00A808AC">
              <w:rPr>
                <w:b/>
                <w:bCs/>
              </w:rPr>
              <w:t>System organ class</w:t>
            </w:r>
          </w:p>
        </w:tc>
        <w:tc>
          <w:tcPr>
            <w:tcW w:w="1797" w:type="pct"/>
          </w:tcPr>
          <w:p w14:paraId="083E6665" w14:textId="77777777" w:rsidR="00704F55" w:rsidRPr="00A808AC" w:rsidRDefault="005A3D7D" w:rsidP="006878A4">
            <w:pPr>
              <w:keepNext/>
              <w:keepLines/>
              <w:spacing w:line="240" w:lineRule="auto"/>
              <w:jc w:val="center"/>
              <w:rPr>
                <w:b/>
                <w:bCs/>
              </w:rPr>
            </w:pPr>
            <w:r w:rsidRPr="00A808AC">
              <w:rPr>
                <w:b/>
                <w:bCs/>
              </w:rPr>
              <w:t>Adverse reactions</w:t>
            </w:r>
          </w:p>
        </w:tc>
        <w:tc>
          <w:tcPr>
            <w:tcW w:w="1500" w:type="pct"/>
          </w:tcPr>
          <w:p w14:paraId="5CEAE477" w14:textId="77777777" w:rsidR="00704F55" w:rsidRPr="00A808AC" w:rsidRDefault="005A3D7D" w:rsidP="006878A4">
            <w:pPr>
              <w:keepNext/>
              <w:keepLines/>
              <w:spacing w:line="240" w:lineRule="auto"/>
              <w:jc w:val="center"/>
              <w:rPr>
                <w:b/>
                <w:bCs/>
              </w:rPr>
            </w:pPr>
            <w:r w:rsidRPr="00A808AC">
              <w:rPr>
                <w:b/>
                <w:bCs/>
              </w:rPr>
              <w:t>Frequency</w:t>
            </w:r>
          </w:p>
        </w:tc>
      </w:tr>
      <w:tr w:rsidR="00476058" w14:paraId="0433DBE8" w14:textId="77777777" w:rsidTr="000A093B">
        <w:trPr>
          <w:cantSplit/>
          <w:trHeight w:val="288"/>
        </w:trPr>
        <w:tc>
          <w:tcPr>
            <w:tcW w:w="1703" w:type="pct"/>
            <w:vMerge w:val="restart"/>
            <w:shd w:val="clear" w:color="auto" w:fill="auto"/>
          </w:tcPr>
          <w:p w14:paraId="00E41934" w14:textId="77777777" w:rsidR="00704F55" w:rsidRPr="00A808AC" w:rsidRDefault="005A3D7D" w:rsidP="006878A4">
            <w:pPr>
              <w:keepNext/>
              <w:spacing w:line="240" w:lineRule="auto"/>
            </w:pPr>
            <w:r w:rsidRPr="00A808AC">
              <w:t>Infections and infestations</w:t>
            </w:r>
          </w:p>
        </w:tc>
        <w:tc>
          <w:tcPr>
            <w:tcW w:w="1797" w:type="pct"/>
            <w:shd w:val="clear" w:color="auto" w:fill="auto"/>
          </w:tcPr>
          <w:p w14:paraId="49A78940" w14:textId="77777777" w:rsidR="00704F55" w:rsidRPr="00A808AC" w:rsidRDefault="005A3D7D" w:rsidP="006878A4">
            <w:pPr>
              <w:keepNext/>
              <w:spacing w:line="240" w:lineRule="auto"/>
            </w:pPr>
            <w:r w:rsidRPr="00A808AC">
              <w:t>Upper respiratory tract infection</w:t>
            </w:r>
          </w:p>
        </w:tc>
        <w:tc>
          <w:tcPr>
            <w:tcW w:w="1500" w:type="pct"/>
            <w:shd w:val="clear" w:color="auto" w:fill="auto"/>
          </w:tcPr>
          <w:p w14:paraId="3B494048" w14:textId="77777777" w:rsidR="00704F55" w:rsidRPr="00A808AC" w:rsidRDefault="005A3D7D" w:rsidP="006878A4">
            <w:pPr>
              <w:keepNext/>
              <w:spacing w:line="240" w:lineRule="auto"/>
            </w:pPr>
            <w:r w:rsidRPr="00A808AC">
              <w:t>very common</w:t>
            </w:r>
          </w:p>
        </w:tc>
      </w:tr>
      <w:tr w:rsidR="00476058" w14:paraId="0AF22F09" w14:textId="77777777" w:rsidTr="000A093B">
        <w:trPr>
          <w:cantSplit/>
          <w:trHeight w:val="288"/>
        </w:trPr>
        <w:tc>
          <w:tcPr>
            <w:tcW w:w="1703" w:type="pct"/>
            <w:vMerge/>
            <w:shd w:val="clear" w:color="auto" w:fill="auto"/>
          </w:tcPr>
          <w:p w14:paraId="54880D46" w14:textId="77777777" w:rsidR="00704F55" w:rsidRPr="00A808AC" w:rsidRDefault="00704F55" w:rsidP="006878A4">
            <w:pPr>
              <w:spacing w:line="240" w:lineRule="auto"/>
            </w:pPr>
          </w:p>
        </w:tc>
        <w:tc>
          <w:tcPr>
            <w:tcW w:w="1797" w:type="pct"/>
            <w:shd w:val="clear" w:color="auto" w:fill="auto"/>
          </w:tcPr>
          <w:p w14:paraId="027226E7" w14:textId="77777777" w:rsidR="00704F55" w:rsidRPr="00A808AC" w:rsidRDefault="005A3D7D" w:rsidP="006878A4">
            <w:pPr>
              <w:spacing w:line="240" w:lineRule="auto"/>
            </w:pPr>
            <w:r w:rsidRPr="00A808AC">
              <w:t>Nasopharyngitis</w:t>
            </w:r>
          </w:p>
        </w:tc>
        <w:tc>
          <w:tcPr>
            <w:tcW w:w="1500" w:type="pct"/>
            <w:shd w:val="clear" w:color="auto" w:fill="auto"/>
          </w:tcPr>
          <w:p w14:paraId="704B11AE" w14:textId="77777777" w:rsidR="00704F55" w:rsidRPr="00A808AC" w:rsidRDefault="005A3D7D" w:rsidP="006878A4">
            <w:pPr>
              <w:spacing w:line="240" w:lineRule="auto"/>
            </w:pPr>
            <w:r w:rsidRPr="00A808AC">
              <w:t>very common</w:t>
            </w:r>
          </w:p>
        </w:tc>
      </w:tr>
      <w:tr w:rsidR="00476058" w14:paraId="2D068BF5" w14:textId="77777777" w:rsidTr="00790B82">
        <w:trPr>
          <w:cantSplit/>
          <w:trHeight w:val="288"/>
        </w:trPr>
        <w:tc>
          <w:tcPr>
            <w:tcW w:w="1703" w:type="pct"/>
            <w:vMerge/>
            <w:shd w:val="clear" w:color="auto" w:fill="auto"/>
          </w:tcPr>
          <w:p w14:paraId="08032931" w14:textId="77777777" w:rsidR="00D47442" w:rsidRPr="00A808AC" w:rsidRDefault="00D47442" w:rsidP="006878A4">
            <w:pPr>
              <w:spacing w:line="240" w:lineRule="auto"/>
            </w:pPr>
          </w:p>
        </w:tc>
        <w:tc>
          <w:tcPr>
            <w:tcW w:w="1797" w:type="pct"/>
            <w:shd w:val="clear" w:color="auto" w:fill="auto"/>
          </w:tcPr>
          <w:p w14:paraId="7C4FE3C3" w14:textId="77777777" w:rsidR="00D47442" w:rsidRPr="00A808AC" w:rsidRDefault="005A3D7D" w:rsidP="006878A4">
            <w:pPr>
              <w:spacing w:line="240" w:lineRule="auto"/>
            </w:pPr>
            <w:r>
              <w:t xml:space="preserve">Influenza </w:t>
            </w:r>
            <w:r w:rsidRPr="00D47442">
              <w:rPr>
                <w:rFonts w:ascii="Arial" w:hAnsi="Arial" w:cs="Arial"/>
                <w:vertAlign w:val="superscript"/>
              </w:rPr>
              <w:t>†</w:t>
            </w:r>
          </w:p>
        </w:tc>
        <w:tc>
          <w:tcPr>
            <w:tcW w:w="1500" w:type="pct"/>
            <w:shd w:val="clear" w:color="auto" w:fill="auto"/>
          </w:tcPr>
          <w:p w14:paraId="1FE19B11" w14:textId="77777777" w:rsidR="00D47442" w:rsidRPr="00A808AC" w:rsidRDefault="005A3D7D" w:rsidP="006878A4">
            <w:pPr>
              <w:spacing w:line="240" w:lineRule="auto"/>
            </w:pPr>
            <w:r>
              <w:t xml:space="preserve">common </w:t>
            </w:r>
          </w:p>
        </w:tc>
      </w:tr>
      <w:tr w:rsidR="00476058" w14:paraId="67D88C9F" w14:textId="77777777" w:rsidTr="000A093B">
        <w:trPr>
          <w:cantSplit/>
          <w:trHeight w:val="288"/>
        </w:trPr>
        <w:tc>
          <w:tcPr>
            <w:tcW w:w="1703" w:type="pct"/>
            <w:vMerge/>
            <w:shd w:val="clear" w:color="auto" w:fill="auto"/>
          </w:tcPr>
          <w:p w14:paraId="6F33F2FE" w14:textId="77777777" w:rsidR="00704F55" w:rsidRPr="00A808AC" w:rsidRDefault="00704F55" w:rsidP="006878A4">
            <w:pPr>
              <w:spacing w:line="240" w:lineRule="auto"/>
            </w:pPr>
          </w:p>
        </w:tc>
        <w:tc>
          <w:tcPr>
            <w:tcW w:w="1797" w:type="pct"/>
            <w:shd w:val="clear" w:color="auto" w:fill="auto"/>
          </w:tcPr>
          <w:p w14:paraId="36FDF4EF" w14:textId="77777777" w:rsidR="00704F55" w:rsidRPr="00A808AC" w:rsidRDefault="005A3D7D" w:rsidP="006878A4">
            <w:pPr>
              <w:spacing w:line="240" w:lineRule="auto"/>
            </w:pPr>
            <w:r w:rsidRPr="00A808AC">
              <w:t>Rhinitis</w:t>
            </w:r>
          </w:p>
        </w:tc>
        <w:tc>
          <w:tcPr>
            <w:tcW w:w="1500" w:type="pct"/>
            <w:shd w:val="clear" w:color="auto" w:fill="auto"/>
          </w:tcPr>
          <w:p w14:paraId="47AA35A3" w14:textId="77777777" w:rsidR="00704F55" w:rsidRPr="00A808AC" w:rsidRDefault="005A3D7D" w:rsidP="006878A4">
            <w:pPr>
              <w:spacing w:line="240" w:lineRule="auto"/>
            </w:pPr>
            <w:r w:rsidRPr="00A808AC">
              <w:t>common</w:t>
            </w:r>
          </w:p>
        </w:tc>
      </w:tr>
      <w:tr w:rsidR="00476058" w14:paraId="73F21560" w14:textId="77777777" w:rsidTr="00790B82">
        <w:trPr>
          <w:cantSplit/>
          <w:trHeight w:val="288"/>
        </w:trPr>
        <w:tc>
          <w:tcPr>
            <w:tcW w:w="1703" w:type="pct"/>
          </w:tcPr>
          <w:p w14:paraId="7997AADE" w14:textId="77777777" w:rsidR="00D47442" w:rsidRPr="00A808AC" w:rsidRDefault="005A3D7D" w:rsidP="006878A4">
            <w:pPr>
              <w:keepNext/>
              <w:spacing w:line="240" w:lineRule="auto"/>
            </w:pPr>
            <w:r>
              <w:t>Metabolism and nutrition disorders</w:t>
            </w:r>
          </w:p>
        </w:tc>
        <w:tc>
          <w:tcPr>
            <w:tcW w:w="1797" w:type="pct"/>
          </w:tcPr>
          <w:p w14:paraId="4A82F132" w14:textId="77777777" w:rsidR="00D47442" w:rsidRPr="00A808AC" w:rsidRDefault="005A3D7D" w:rsidP="006878A4">
            <w:pPr>
              <w:keepNext/>
              <w:spacing w:line="240" w:lineRule="auto"/>
            </w:pPr>
            <w:r>
              <w:t xml:space="preserve">Hypoglycaemia </w:t>
            </w:r>
            <w:r w:rsidRPr="00D47442">
              <w:rPr>
                <w:rFonts w:ascii="Arial" w:hAnsi="Arial" w:cs="Arial"/>
                <w:vertAlign w:val="superscript"/>
              </w:rPr>
              <w:t>†</w:t>
            </w:r>
            <w:r>
              <w:t xml:space="preserve"> </w:t>
            </w:r>
          </w:p>
        </w:tc>
        <w:tc>
          <w:tcPr>
            <w:tcW w:w="1500" w:type="pct"/>
          </w:tcPr>
          <w:p w14:paraId="1C6BF065" w14:textId="77777777" w:rsidR="00D47442" w:rsidRPr="00A808AC" w:rsidRDefault="005A3D7D" w:rsidP="006878A4">
            <w:pPr>
              <w:keepNext/>
              <w:spacing w:line="240" w:lineRule="auto"/>
            </w:pPr>
            <w:r>
              <w:t xml:space="preserve">common </w:t>
            </w:r>
          </w:p>
        </w:tc>
      </w:tr>
      <w:tr w:rsidR="00476058" w14:paraId="3C17D69A" w14:textId="77777777" w:rsidTr="000A093B">
        <w:trPr>
          <w:cantSplit/>
          <w:trHeight w:val="288"/>
        </w:trPr>
        <w:tc>
          <w:tcPr>
            <w:tcW w:w="1703" w:type="pct"/>
            <w:vMerge w:val="restart"/>
          </w:tcPr>
          <w:p w14:paraId="292AF70B" w14:textId="77777777" w:rsidR="00704F55" w:rsidRPr="00A808AC" w:rsidRDefault="005A3D7D" w:rsidP="006878A4">
            <w:pPr>
              <w:keepNext/>
              <w:spacing w:line="240" w:lineRule="auto"/>
            </w:pPr>
            <w:r w:rsidRPr="00A808AC">
              <w:t>Nervous system disorders</w:t>
            </w:r>
          </w:p>
        </w:tc>
        <w:tc>
          <w:tcPr>
            <w:tcW w:w="1797" w:type="pct"/>
          </w:tcPr>
          <w:p w14:paraId="70541B83" w14:textId="77777777" w:rsidR="00704F55" w:rsidRPr="00A808AC" w:rsidRDefault="005A3D7D" w:rsidP="006878A4">
            <w:pPr>
              <w:keepNext/>
              <w:spacing w:line="240" w:lineRule="auto"/>
            </w:pPr>
            <w:r w:rsidRPr="00A808AC">
              <w:t>Headache</w:t>
            </w:r>
          </w:p>
        </w:tc>
        <w:tc>
          <w:tcPr>
            <w:tcW w:w="1500" w:type="pct"/>
          </w:tcPr>
          <w:p w14:paraId="65B06B78" w14:textId="77777777" w:rsidR="00704F55" w:rsidRPr="00A808AC" w:rsidRDefault="005A3D7D" w:rsidP="006878A4">
            <w:pPr>
              <w:keepNext/>
              <w:spacing w:line="240" w:lineRule="auto"/>
            </w:pPr>
            <w:r w:rsidRPr="00A808AC">
              <w:t>very common</w:t>
            </w:r>
          </w:p>
        </w:tc>
      </w:tr>
      <w:tr w:rsidR="00476058" w14:paraId="3529C674" w14:textId="77777777" w:rsidTr="000A093B">
        <w:trPr>
          <w:cantSplit/>
          <w:trHeight w:val="288"/>
        </w:trPr>
        <w:tc>
          <w:tcPr>
            <w:tcW w:w="1703" w:type="pct"/>
            <w:vMerge/>
          </w:tcPr>
          <w:p w14:paraId="79909D05" w14:textId="77777777" w:rsidR="00704F55" w:rsidRPr="00A808AC" w:rsidRDefault="00704F55" w:rsidP="006878A4">
            <w:pPr>
              <w:spacing w:line="240" w:lineRule="auto"/>
            </w:pPr>
          </w:p>
        </w:tc>
        <w:tc>
          <w:tcPr>
            <w:tcW w:w="1797" w:type="pct"/>
          </w:tcPr>
          <w:p w14:paraId="3BE4C92B" w14:textId="77777777" w:rsidR="00704F55" w:rsidRPr="00A808AC" w:rsidRDefault="005A3D7D" w:rsidP="006878A4">
            <w:pPr>
              <w:spacing w:line="240" w:lineRule="auto"/>
            </w:pPr>
            <w:r w:rsidRPr="00A808AC">
              <w:t>Dizziness</w:t>
            </w:r>
          </w:p>
        </w:tc>
        <w:tc>
          <w:tcPr>
            <w:tcW w:w="1500" w:type="pct"/>
          </w:tcPr>
          <w:p w14:paraId="5306564E" w14:textId="77777777" w:rsidR="00704F55" w:rsidRPr="00A808AC" w:rsidRDefault="005A3D7D" w:rsidP="006878A4">
            <w:pPr>
              <w:spacing w:line="240" w:lineRule="auto"/>
            </w:pPr>
            <w:r w:rsidRPr="00A808AC">
              <w:t>very common</w:t>
            </w:r>
          </w:p>
        </w:tc>
      </w:tr>
      <w:tr w:rsidR="00476058" w14:paraId="12A77CF4" w14:textId="77777777" w:rsidTr="000A093B">
        <w:trPr>
          <w:cantSplit/>
          <w:trHeight w:val="288"/>
        </w:trPr>
        <w:tc>
          <w:tcPr>
            <w:tcW w:w="1703" w:type="pct"/>
            <w:vMerge w:val="restart"/>
            <w:shd w:val="clear" w:color="auto" w:fill="auto"/>
          </w:tcPr>
          <w:p w14:paraId="1EAF1AFF" w14:textId="77777777" w:rsidR="00704F55" w:rsidRPr="00A808AC" w:rsidRDefault="005A3D7D" w:rsidP="006878A4">
            <w:pPr>
              <w:keepNext/>
              <w:spacing w:line="240" w:lineRule="auto"/>
            </w:pPr>
            <w:r w:rsidRPr="00A808AC">
              <w:t>Ear and labyrinth disorders</w:t>
            </w:r>
          </w:p>
        </w:tc>
        <w:tc>
          <w:tcPr>
            <w:tcW w:w="1797" w:type="pct"/>
            <w:shd w:val="clear" w:color="auto" w:fill="auto"/>
          </w:tcPr>
          <w:p w14:paraId="3EAB6DB9" w14:textId="77777777" w:rsidR="00704F55" w:rsidRPr="00A808AC" w:rsidRDefault="005A3D7D" w:rsidP="006878A4">
            <w:pPr>
              <w:keepNext/>
              <w:spacing w:line="240" w:lineRule="auto"/>
            </w:pPr>
            <w:r w:rsidRPr="00A808AC">
              <w:t>Ear pain</w:t>
            </w:r>
          </w:p>
        </w:tc>
        <w:tc>
          <w:tcPr>
            <w:tcW w:w="1500" w:type="pct"/>
            <w:shd w:val="clear" w:color="auto" w:fill="auto"/>
          </w:tcPr>
          <w:p w14:paraId="519D17D1" w14:textId="77777777" w:rsidR="00704F55" w:rsidRPr="00A808AC" w:rsidRDefault="005A3D7D" w:rsidP="006878A4">
            <w:pPr>
              <w:keepNext/>
              <w:spacing w:line="240" w:lineRule="auto"/>
            </w:pPr>
            <w:r w:rsidRPr="00A808AC">
              <w:t>common</w:t>
            </w:r>
          </w:p>
        </w:tc>
      </w:tr>
      <w:tr w:rsidR="00476058" w14:paraId="7883FB5F" w14:textId="77777777" w:rsidTr="000A093B">
        <w:trPr>
          <w:cantSplit/>
          <w:trHeight w:val="288"/>
        </w:trPr>
        <w:tc>
          <w:tcPr>
            <w:tcW w:w="1703" w:type="pct"/>
            <w:vMerge/>
            <w:shd w:val="clear" w:color="auto" w:fill="auto"/>
          </w:tcPr>
          <w:p w14:paraId="3E714FD1" w14:textId="77777777" w:rsidR="00704F55" w:rsidRPr="00A808AC" w:rsidRDefault="00704F55" w:rsidP="006878A4">
            <w:pPr>
              <w:spacing w:line="240" w:lineRule="auto"/>
            </w:pPr>
          </w:p>
        </w:tc>
        <w:tc>
          <w:tcPr>
            <w:tcW w:w="1797" w:type="pct"/>
            <w:shd w:val="clear" w:color="auto" w:fill="auto"/>
          </w:tcPr>
          <w:p w14:paraId="1C0FE117" w14:textId="77777777" w:rsidR="00704F55" w:rsidRPr="00A808AC" w:rsidRDefault="005A3D7D" w:rsidP="006878A4">
            <w:pPr>
              <w:spacing w:line="240" w:lineRule="auto"/>
            </w:pPr>
            <w:r w:rsidRPr="00A808AC">
              <w:t>Ear discomfort</w:t>
            </w:r>
          </w:p>
        </w:tc>
        <w:tc>
          <w:tcPr>
            <w:tcW w:w="1500" w:type="pct"/>
            <w:shd w:val="clear" w:color="auto" w:fill="auto"/>
          </w:tcPr>
          <w:p w14:paraId="283AF2DE" w14:textId="77777777" w:rsidR="00704F55" w:rsidRPr="00A808AC" w:rsidRDefault="005A3D7D" w:rsidP="006878A4">
            <w:pPr>
              <w:spacing w:line="240" w:lineRule="auto"/>
            </w:pPr>
            <w:r w:rsidRPr="00A808AC">
              <w:t>common</w:t>
            </w:r>
          </w:p>
        </w:tc>
      </w:tr>
      <w:tr w:rsidR="00476058" w14:paraId="0FFF97F0" w14:textId="77777777" w:rsidTr="000A093B">
        <w:trPr>
          <w:cantSplit/>
          <w:trHeight w:val="288"/>
        </w:trPr>
        <w:tc>
          <w:tcPr>
            <w:tcW w:w="1703" w:type="pct"/>
            <w:vMerge/>
            <w:shd w:val="clear" w:color="auto" w:fill="auto"/>
          </w:tcPr>
          <w:p w14:paraId="7A4F6BB6" w14:textId="77777777" w:rsidR="00704F55" w:rsidRPr="00A808AC" w:rsidRDefault="00704F55" w:rsidP="006878A4">
            <w:pPr>
              <w:spacing w:line="240" w:lineRule="auto"/>
            </w:pPr>
          </w:p>
        </w:tc>
        <w:tc>
          <w:tcPr>
            <w:tcW w:w="1797" w:type="pct"/>
            <w:shd w:val="clear" w:color="auto" w:fill="auto"/>
          </w:tcPr>
          <w:p w14:paraId="53E41D3A" w14:textId="77777777" w:rsidR="00704F55" w:rsidRPr="00A808AC" w:rsidRDefault="005A3D7D" w:rsidP="006878A4">
            <w:pPr>
              <w:spacing w:line="240" w:lineRule="auto"/>
            </w:pPr>
            <w:r w:rsidRPr="00A808AC">
              <w:t>Tinnitus</w:t>
            </w:r>
          </w:p>
        </w:tc>
        <w:tc>
          <w:tcPr>
            <w:tcW w:w="1500" w:type="pct"/>
            <w:shd w:val="clear" w:color="auto" w:fill="auto"/>
          </w:tcPr>
          <w:p w14:paraId="71421A80" w14:textId="77777777" w:rsidR="00704F55" w:rsidRPr="00A808AC" w:rsidRDefault="005A3D7D" w:rsidP="006878A4">
            <w:pPr>
              <w:spacing w:line="240" w:lineRule="auto"/>
            </w:pPr>
            <w:r w:rsidRPr="00A808AC">
              <w:t>common</w:t>
            </w:r>
          </w:p>
        </w:tc>
      </w:tr>
      <w:tr w:rsidR="00476058" w14:paraId="59451FE2" w14:textId="77777777" w:rsidTr="000A093B">
        <w:trPr>
          <w:cantSplit/>
          <w:trHeight w:val="288"/>
        </w:trPr>
        <w:tc>
          <w:tcPr>
            <w:tcW w:w="1703" w:type="pct"/>
            <w:vMerge/>
            <w:shd w:val="clear" w:color="auto" w:fill="auto"/>
          </w:tcPr>
          <w:p w14:paraId="5B749A58" w14:textId="77777777" w:rsidR="00704F55" w:rsidRPr="00A808AC" w:rsidRDefault="00704F55" w:rsidP="006878A4">
            <w:pPr>
              <w:spacing w:line="240" w:lineRule="auto"/>
            </w:pPr>
          </w:p>
        </w:tc>
        <w:tc>
          <w:tcPr>
            <w:tcW w:w="1797" w:type="pct"/>
            <w:shd w:val="clear" w:color="auto" w:fill="auto"/>
          </w:tcPr>
          <w:p w14:paraId="2351F8BD" w14:textId="77777777" w:rsidR="00704F55" w:rsidRPr="00A808AC" w:rsidRDefault="005A3D7D" w:rsidP="006878A4">
            <w:pPr>
              <w:spacing w:line="240" w:lineRule="auto"/>
            </w:pPr>
            <w:r w:rsidRPr="00A808AC">
              <w:t xml:space="preserve">Tympanic </w:t>
            </w:r>
            <w:r w:rsidRPr="00A808AC">
              <w:t>membrane hyperaemia</w:t>
            </w:r>
          </w:p>
        </w:tc>
        <w:tc>
          <w:tcPr>
            <w:tcW w:w="1500" w:type="pct"/>
            <w:shd w:val="clear" w:color="auto" w:fill="auto"/>
          </w:tcPr>
          <w:p w14:paraId="1AC02B2D" w14:textId="77777777" w:rsidR="00704F55" w:rsidRPr="00A808AC" w:rsidRDefault="005A3D7D" w:rsidP="006878A4">
            <w:pPr>
              <w:spacing w:line="240" w:lineRule="auto"/>
            </w:pPr>
            <w:r w:rsidRPr="00A808AC">
              <w:t>common</w:t>
            </w:r>
          </w:p>
        </w:tc>
      </w:tr>
      <w:tr w:rsidR="00476058" w14:paraId="4BA50921" w14:textId="77777777" w:rsidTr="000A093B">
        <w:trPr>
          <w:cantSplit/>
          <w:trHeight w:val="288"/>
        </w:trPr>
        <w:tc>
          <w:tcPr>
            <w:tcW w:w="1703" w:type="pct"/>
            <w:vMerge/>
            <w:shd w:val="clear" w:color="auto" w:fill="auto"/>
          </w:tcPr>
          <w:p w14:paraId="4BE50654" w14:textId="77777777" w:rsidR="00704F55" w:rsidRPr="00A808AC" w:rsidRDefault="00704F55" w:rsidP="006878A4">
            <w:pPr>
              <w:spacing w:line="240" w:lineRule="auto"/>
            </w:pPr>
          </w:p>
        </w:tc>
        <w:tc>
          <w:tcPr>
            <w:tcW w:w="1797" w:type="pct"/>
            <w:shd w:val="clear" w:color="auto" w:fill="auto"/>
          </w:tcPr>
          <w:p w14:paraId="2C30AD91" w14:textId="77777777" w:rsidR="00704F55" w:rsidRPr="00A808AC" w:rsidRDefault="005A3D7D" w:rsidP="006878A4">
            <w:pPr>
              <w:spacing w:line="240" w:lineRule="auto"/>
            </w:pPr>
            <w:r w:rsidRPr="00A808AC">
              <w:t>Vestibular disorder</w:t>
            </w:r>
          </w:p>
        </w:tc>
        <w:tc>
          <w:tcPr>
            <w:tcW w:w="1500" w:type="pct"/>
            <w:shd w:val="clear" w:color="auto" w:fill="auto"/>
          </w:tcPr>
          <w:p w14:paraId="627F607A" w14:textId="77777777" w:rsidR="00704F55" w:rsidRPr="00A808AC" w:rsidRDefault="005A3D7D" w:rsidP="006878A4">
            <w:pPr>
              <w:spacing w:line="240" w:lineRule="auto"/>
            </w:pPr>
            <w:r w:rsidRPr="00A808AC">
              <w:t>common</w:t>
            </w:r>
          </w:p>
        </w:tc>
      </w:tr>
      <w:tr w:rsidR="00476058" w14:paraId="5FF7CE7C" w14:textId="77777777" w:rsidTr="000A093B">
        <w:trPr>
          <w:cantSplit/>
          <w:trHeight w:val="288"/>
        </w:trPr>
        <w:tc>
          <w:tcPr>
            <w:tcW w:w="1703" w:type="pct"/>
            <w:vMerge/>
            <w:shd w:val="clear" w:color="auto" w:fill="auto"/>
          </w:tcPr>
          <w:p w14:paraId="155C048B" w14:textId="77777777" w:rsidR="00704F55" w:rsidRPr="00A808AC" w:rsidRDefault="00704F55" w:rsidP="006878A4">
            <w:pPr>
              <w:spacing w:line="240" w:lineRule="auto"/>
            </w:pPr>
          </w:p>
        </w:tc>
        <w:tc>
          <w:tcPr>
            <w:tcW w:w="1797" w:type="pct"/>
            <w:shd w:val="clear" w:color="auto" w:fill="auto"/>
          </w:tcPr>
          <w:p w14:paraId="0626FBE7" w14:textId="77777777" w:rsidR="00704F55" w:rsidRPr="00A808AC" w:rsidRDefault="005A3D7D" w:rsidP="006878A4">
            <w:pPr>
              <w:spacing w:line="240" w:lineRule="auto"/>
            </w:pPr>
            <w:r w:rsidRPr="00A808AC">
              <w:t>Ear congestion</w:t>
            </w:r>
          </w:p>
        </w:tc>
        <w:tc>
          <w:tcPr>
            <w:tcW w:w="1500" w:type="pct"/>
            <w:shd w:val="clear" w:color="auto" w:fill="auto"/>
          </w:tcPr>
          <w:p w14:paraId="209A7143" w14:textId="77777777" w:rsidR="00704F55" w:rsidRPr="00A808AC" w:rsidRDefault="005A3D7D" w:rsidP="006878A4">
            <w:pPr>
              <w:spacing w:line="240" w:lineRule="auto"/>
            </w:pPr>
            <w:r w:rsidRPr="00A808AC">
              <w:t>uncommon</w:t>
            </w:r>
          </w:p>
        </w:tc>
      </w:tr>
      <w:tr w:rsidR="00476058" w14:paraId="4BA43368" w14:textId="77777777" w:rsidTr="000A093B">
        <w:trPr>
          <w:cantSplit/>
          <w:trHeight w:val="288"/>
        </w:trPr>
        <w:tc>
          <w:tcPr>
            <w:tcW w:w="1703" w:type="pct"/>
            <w:vMerge w:val="restart"/>
            <w:shd w:val="clear" w:color="auto" w:fill="auto"/>
          </w:tcPr>
          <w:p w14:paraId="40B95F43" w14:textId="77777777" w:rsidR="00D47442" w:rsidRPr="00A808AC" w:rsidRDefault="005A3D7D" w:rsidP="006878A4">
            <w:pPr>
              <w:keepNext/>
              <w:spacing w:line="240" w:lineRule="auto"/>
            </w:pPr>
            <w:r w:rsidRPr="00A808AC">
              <w:t>Respiratory, thoracic and mediastinal disorders</w:t>
            </w:r>
          </w:p>
        </w:tc>
        <w:tc>
          <w:tcPr>
            <w:tcW w:w="1797" w:type="pct"/>
            <w:shd w:val="clear" w:color="auto" w:fill="auto"/>
          </w:tcPr>
          <w:p w14:paraId="22885C9E" w14:textId="77777777" w:rsidR="00D47442" w:rsidRPr="00A808AC" w:rsidRDefault="005A3D7D" w:rsidP="006878A4">
            <w:pPr>
              <w:keepNext/>
              <w:spacing w:line="240" w:lineRule="auto"/>
            </w:pPr>
            <w:r w:rsidRPr="00A808AC">
              <w:t>Oropharyngeal pain</w:t>
            </w:r>
          </w:p>
        </w:tc>
        <w:tc>
          <w:tcPr>
            <w:tcW w:w="1500" w:type="pct"/>
            <w:shd w:val="clear" w:color="auto" w:fill="auto"/>
          </w:tcPr>
          <w:p w14:paraId="6455D39E" w14:textId="77777777" w:rsidR="00D47442" w:rsidRPr="00A808AC" w:rsidRDefault="005A3D7D" w:rsidP="006878A4">
            <w:pPr>
              <w:keepNext/>
              <w:spacing w:line="240" w:lineRule="auto"/>
            </w:pPr>
            <w:r w:rsidRPr="00A808AC">
              <w:t>very common</w:t>
            </w:r>
          </w:p>
        </w:tc>
      </w:tr>
      <w:tr w:rsidR="00476058" w14:paraId="577865B3" w14:textId="77777777" w:rsidTr="000A093B">
        <w:trPr>
          <w:cantSplit/>
          <w:trHeight w:val="288"/>
        </w:trPr>
        <w:tc>
          <w:tcPr>
            <w:tcW w:w="1703" w:type="pct"/>
            <w:vMerge/>
            <w:shd w:val="clear" w:color="auto" w:fill="auto"/>
          </w:tcPr>
          <w:p w14:paraId="755502E8" w14:textId="77777777" w:rsidR="00D47442" w:rsidRPr="00A808AC" w:rsidRDefault="00D47442" w:rsidP="006878A4">
            <w:pPr>
              <w:spacing w:line="240" w:lineRule="auto"/>
            </w:pPr>
          </w:p>
        </w:tc>
        <w:tc>
          <w:tcPr>
            <w:tcW w:w="1797" w:type="pct"/>
            <w:shd w:val="clear" w:color="auto" w:fill="auto"/>
          </w:tcPr>
          <w:p w14:paraId="595D6E39" w14:textId="77777777" w:rsidR="00D47442" w:rsidRPr="00A808AC" w:rsidRDefault="005A3D7D" w:rsidP="006878A4">
            <w:pPr>
              <w:spacing w:line="240" w:lineRule="auto"/>
            </w:pPr>
            <w:r w:rsidRPr="00A808AC">
              <w:t>Nasal congestion</w:t>
            </w:r>
          </w:p>
        </w:tc>
        <w:tc>
          <w:tcPr>
            <w:tcW w:w="1500" w:type="pct"/>
            <w:shd w:val="clear" w:color="auto" w:fill="auto"/>
          </w:tcPr>
          <w:p w14:paraId="705A68EE" w14:textId="77777777" w:rsidR="00D47442" w:rsidRPr="00A808AC" w:rsidRDefault="005A3D7D" w:rsidP="006878A4">
            <w:pPr>
              <w:spacing w:line="240" w:lineRule="auto"/>
            </w:pPr>
            <w:r w:rsidRPr="00A808AC">
              <w:t>very common</w:t>
            </w:r>
          </w:p>
        </w:tc>
      </w:tr>
      <w:tr w:rsidR="00476058" w14:paraId="25F3670F" w14:textId="77777777" w:rsidTr="00790B82">
        <w:trPr>
          <w:cantSplit/>
          <w:trHeight w:val="288"/>
        </w:trPr>
        <w:tc>
          <w:tcPr>
            <w:tcW w:w="1703" w:type="pct"/>
            <w:vMerge/>
            <w:shd w:val="clear" w:color="auto" w:fill="auto"/>
          </w:tcPr>
          <w:p w14:paraId="40E26BF4" w14:textId="77777777" w:rsidR="00D47442" w:rsidRPr="00A808AC" w:rsidRDefault="00D47442" w:rsidP="006878A4">
            <w:pPr>
              <w:spacing w:line="240" w:lineRule="auto"/>
            </w:pPr>
          </w:p>
        </w:tc>
        <w:tc>
          <w:tcPr>
            <w:tcW w:w="1797" w:type="pct"/>
            <w:shd w:val="clear" w:color="auto" w:fill="auto"/>
          </w:tcPr>
          <w:p w14:paraId="49544702" w14:textId="77777777" w:rsidR="00D47442" w:rsidRPr="00A808AC" w:rsidRDefault="005A3D7D" w:rsidP="006878A4">
            <w:pPr>
              <w:spacing w:line="240" w:lineRule="auto"/>
            </w:pPr>
            <w:r>
              <w:t xml:space="preserve">Abnormal breathing </w:t>
            </w:r>
            <w:r w:rsidRPr="00D47442">
              <w:rPr>
                <w:rFonts w:ascii="Arial" w:hAnsi="Arial" w:cs="Arial"/>
                <w:vertAlign w:val="superscript"/>
              </w:rPr>
              <w:t>†</w:t>
            </w:r>
          </w:p>
        </w:tc>
        <w:tc>
          <w:tcPr>
            <w:tcW w:w="1500" w:type="pct"/>
            <w:shd w:val="clear" w:color="auto" w:fill="auto"/>
          </w:tcPr>
          <w:p w14:paraId="4134E9A0" w14:textId="77777777" w:rsidR="00D47442" w:rsidRPr="00A808AC" w:rsidRDefault="005A3D7D" w:rsidP="006878A4">
            <w:pPr>
              <w:spacing w:line="240" w:lineRule="auto"/>
            </w:pPr>
            <w:r>
              <w:t xml:space="preserve">common </w:t>
            </w:r>
          </w:p>
        </w:tc>
      </w:tr>
      <w:tr w:rsidR="00476058" w14:paraId="23FC602A" w14:textId="77777777" w:rsidTr="00790B82">
        <w:trPr>
          <w:cantSplit/>
          <w:trHeight w:val="288"/>
        </w:trPr>
        <w:tc>
          <w:tcPr>
            <w:tcW w:w="1703" w:type="pct"/>
            <w:vMerge/>
            <w:shd w:val="clear" w:color="auto" w:fill="auto"/>
          </w:tcPr>
          <w:p w14:paraId="05C56C51" w14:textId="77777777" w:rsidR="00D47442" w:rsidRPr="00A808AC" w:rsidRDefault="00D47442" w:rsidP="006878A4">
            <w:pPr>
              <w:spacing w:line="240" w:lineRule="auto"/>
            </w:pPr>
          </w:p>
        </w:tc>
        <w:tc>
          <w:tcPr>
            <w:tcW w:w="1797" w:type="pct"/>
            <w:shd w:val="clear" w:color="auto" w:fill="auto"/>
          </w:tcPr>
          <w:p w14:paraId="01D905F1" w14:textId="77777777" w:rsidR="00D47442" w:rsidRPr="00A808AC" w:rsidRDefault="005A3D7D" w:rsidP="006878A4">
            <w:pPr>
              <w:spacing w:line="240" w:lineRule="auto"/>
            </w:pPr>
            <w:r>
              <w:t xml:space="preserve">Rhinorrhoea </w:t>
            </w:r>
            <w:r w:rsidRPr="00D47442">
              <w:rPr>
                <w:rFonts w:ascii="Arial" w:hAnsi="Arial" w:cs="Arial"/>
                <w:vertAlign w:val="superscript"/>
              </w:rPr>
              <w:t>†</w:t>
            </w:r>
          </w:p>
        </w:tc>
        <w:tc>
          <w:tcPr>
            <w:tcW w:w="1500" w:type="pct"/>
            <w:shd w:val="clear" w:color="auto" w:fill="auto"/>
          </w:tcPr>
          <w:p w14:paraId="7DC5AFF6" w14:textId="77777777" w:rsidR="00D47442" w:rsidRPr="00A808AC" w:rsidRDefault="005A3D7D" w:rsidP="006878A4">
            <w:pPr>
              <w:spacing w:line="240" w:lineRule="auto"/>
            </w:pPr>
            <w:r>
              <w:t xml:space="preserve">common </w:t>
            </w:r>
          </w:p>
        </w:tc>
      </w:tr>
      <w:tr w:rsidR="00476058" w14:paraId="6A2F349C" w14:textId="77777777" w:rsidTr="000A093B">
        <w:trPr>
          <w:cantSplit/>
          <w:trHeight w:val="288"/>
        </w:trPr>
        <w:tc>
          <w:tcPr>
            <w:tcW w:w="1703" w:type="pct"/>
            <w:vMerge/>
            <w:shd w:val="clear" w:color="auto" w:fill="auto"/>
          </w:tcPr>
          <w:p w14:paraId="2401F61D" w14:textId="77777777" w:rsidR="00D47442" w:rsidRPr="00A808AC" w:rsidRDefault="00D47442" w:rsidP="006878A4">
            <w:pPr>
              <w:spacing w:line="240" w:lineRule="auto"/>
            </w:pPr>
          </w:p>
        </w:tc>
        <w:tc>
          <w:tcPr>
            <w:tcW w:w="1797" w:type="pct"/>
            <w:shd w:val="clear" w:color="auto" w:fill="auto"/>
          </w:tcPr>
          <w:p w14:paraId="7A4B7B9E" w14:textId="77777777" w:rsidR="00D47442" w:rsidRPr="00A808AC" w:rsidRDefault="005A3D7D" w:rsidP="006878A4">
            <w:pPr>
              <w:spacing w:line="240" w:lineRule="auto"/>
            </w:pPr>
            <w:r w:rsidRPr="00A808AC">
              <w:t>Sinus congestion</w:t>
            </w:r>
          </w:p>
        </w:tc>
        <w:tc>
          <w:tcPr>
            <w:tcW w:w="1500" w:type="pct"/>
            <w:shd w:val="clear" w:color="auto" w:fill="auto"/>
          </w:tcPr>
          <w:p w14:paraId="3CD2485F" w14:textId="77777777" w:rsidR="00D47442" w:rsidRPr="00A808AC" w:rsidRDefault="005A3D7D" w:rsidP="006878A4">
            <w:pPr>
              <w:spacing w:line="240" w:lineRule="auto"/>
            </w:pPr>
            <w:r w:rsidRPr="00A808AC">
              <w:t>common</w:t>
            </w:r>
          </w:p>
        </w:tc>
      </w:tr>
      <w:tr w:rsidR="00476058" w14:paraId="5D8F0E34" w14:textId="77777777" w:rsidTr="000A093B">
        <w:trPr>
          <w:cantSplit/>
          <w:trHeight w:val="288"/>
        </w:trPr>
        <w:tc>
          <w:tcPr>
            <w:tcW w:w="1703" w:type="pct"/>
            <w:vMerge/>
            <w:shd w:val="clear" w:color="auto" w:fill="auto"/>
          </w:tcPr>
          <w:p w14:paraId="3002252E" w14:textId="77777777" w:rsidR="00D47442" w:rsidRPr="00A808AC" w:rsidRDefault="00D47442" w:rsidP="006878A4">
            <w:pPr>
              <w:spacing w:line="240" w:lineRule="auto"/>
            </w:pPr>
          </w:p>
        </w:tc>
        <w:tc>
          <w:tcPr>
            <w:tcW w:w="1797" w:type="pct"/>
            <w:shd w:val="clear" w:color="auto" w:fill="auto"/>
          </w:tcPr>
          <w:p w14:paraId="5D592DC0" w14:textId="77777777" w:rsidR="00D47442" w:rsidRPr="00A808AC" w:rsidRDefault="005A3D7D" w:rsidP="006878A4">
            <w:pPr>
              <w:spacing w:line="240" w:lineRule="auto"/>
            </w:pPr>
            <w:r w:rsidRPr="00A808AC">
              <w:t>Pharyngeal erythema</w:t>
            </w:r>
          </w:p>
        </w:tc>
        <w:tc>
          <w:tcPr>
            <w:tcW w:w="1500" w:type="pct"/>
            <w:shd w:val="clear" w:color="auto" w:fill="auto"/>
          </w:tcPr>
          <w:p w14:paraId="413D0900" w14:textId="77777777" w:rsidR="00D47442" w:rsidRPr="00A808AC" w:rsidRDefault="005A3D7D" w:rsidP="006878A4">
            <w:pPr>
              <w:spacing w:line="240" w:lineRule="auto"/>
            </w:pPr>
            <w:r w:rsidRPr="00A808AC">
              <w:t>common</w:t>
            </w:r>
          </w:p>
        </w:tc>
      </w:tr>
      <w:tr w:rsidR="00476058" w14:paraId="467A394F" w14:textId="77777777" w:rsidTr="00790B82">
        <w:trPr>
          <w:cantSplit/>
          <w:trHeight w:val="288"/>
        </w:trPr>
        <w:tc>
          <w:tcPr>
            <w:tcW w:w="1703" w:type="pct"/>
            <w:vMerge/>
            <w:shd w:val="clear" w:color="auto" w:fill="auto"/>
          </w:tcPr>
          <w:p w14:paraId="5420CC7D" w14:textId="77777777" w:rsidR="00D47442" w:rsidRPr="00A808AC" w:rsidRDefault="00D47442" w:rsidP="006878A4">
            <w:pPr>
              <w:spacing w:line="240" w:lineRule="auto"/>
            </w:pPr>
          </w:p>
        </w:tc>
        <w:tc>
          <w:tcPr>
            <w:tcW w:w="1797" w:type="pct"/>
            <w:shd w:val="clear" w:color="auto" w:fill="auto"/>
          </w:tcPr>
          <w:p w14:paraId="0951AAF5" w14:textId="77777777" w:rsidR="00D47442" w:rsidRPr="00A808AC" w:rsidRDefault="005A3D7D" w:rsidP="006878A4">
            <w:pPr>
              <w:spacing w:line="240" w:lineRule="auto"/>
            </w:pPr>
            <w:r>
              <w:t xml:space="preserve">Wheezing </w:t>
            </w:r>
            <w:r w:rsidRPr="00D47442">
              <w:rPr>
                <w:rFonts w:ascii="Arial" w:hAnsi="Arial" w:cs="Arial"/>
                <w:vertAlign w:val="superscript"/>
              </w:rPr>
              <w:t>†</w:t>
            </w:r>
          </w:p>
        </w:tc>
        <w:tc>
          <w:tcPr>
            <w:tcW w:w="1500" w:type="pct"/>
            <w:shd w:val="clear" w:color="auto" w:fill="auto"/>
          </w:tcPr>
          <w:p w14:paraId="1D1840CA" w14:textId="77777777" w:rsidR="00D47442" w:rsidRPr="00A808AC" w:rsidRDefault="005A3D7D" w:rsidP="006878A4">
            <w:pPr>
              <w:spacing w:line="240" w:lineRule="auto"/>
            </w:pPr>
            <w:r>
              <w:t>uncommon</w:t>
            </w:r>
          </w:p>
        </w:tc>
      </w:tr>
      <w:tr w:rsidR="00476058" w14:paraId="28424A86" w14:textId="77777777" w:rsidTr="000A093B">
        <w:trPr>
          <w:cantSplit/>
          <w:trHeight w:val="288"/>
        </w:trPr>
        <w:tc>
          <w:tcPr>
            <w:tcW w:w="1703" w:type="pct"/>
            <w:vMerge w:val="restart"/>
          </w:tcPr>
          <w:p w14:paraId="59F560D1" w14:textId="77777777" w:rsidR="008C070C" w:rsidRPr="00A808AC" w:rsidRDefault="005A3D7D" w:rsidP="006878A4">
            <w:pPr>
              <w:keepNext/>
              <w:spacing w:line="240" w:lineRule="auto"/>
            </w:pPr>
            <w:r w:rsidRPr="00A808AC">
              <w:t>Gastrointestinal disorders</w:t>
            </w:r>
          </w:p>
        </w:tc>
        <w:tc>
          <w:tcPr>
            <w:tcW w:w="1797" w:type="pct"/>
          </w:tcPr>
          <w:p w14:paraId="359018F4" w14:textId="77777777" w:rsidR="008C070C" w:rsidRPr="00A808AC" w:rsidRDefault="005A3D7D" w:rsidP="006878A4">
            <w:pPr>
              <w:keepNext/>
              <w:spacing w:line="240" w:lineRule="auto"/>
            </w:pPr>
            <w:r w:rsidRPr="00A808AC">
              <w:t>Abdominal pain</w:t>
            </w:r>
          </w:p>
        </w:tc>
        <w:tc>
          <w:tcPr>
            <w:tcW w:w="1500" w:type="pct"/>
          </w:tcPr>
          <w:p w14:paraId="741A191C" w14:textId="77777777" w:rsidR="008C070C" w:rsidRPr="00A808AC" w:rsidRDefault="005A3D7D" w:rsidP="006878A4">
            <w:pPr>
              <w:keepNext/>
              <w:spacing w:line="240" w:lineRule="auto"/>
            </w:pPr>
            <w:r w:rsidRPr="00A808AC">
              <w:t>very common</w:t>
            </w:r>
          </w:p>
        </w:tc>
      </w:tr>
      <w:tr w:rsidR="00476058" w14:paraId="5ED7D9C6" w14:textId="77777777" w:rsidTr="000A093B">
        <w:trPr>
          <w:cantSplit/>
          <w:trHeight w:val="288"/>
        </w:trPr>
        <w:tc>
          <w:tcPr>
            <w:tcW w:w="1703" w:type="pct"/>
            <w:vMerge/>
          </w:tcPr>
          <w:p w14:paraId="1231BA31" w14:textId="77777777" w:rsidR="008C070C" w:rsidRPr="00A808AC" w:rsidRDefault="008C070C" w:rsidP="006878A4">
            <w:pPr>
              <w:spacing w:line="240" w:lineRule="auto"/>
            </w:pPr>
          </w:p>
        </w:tc>
        <w:tc>
          <w:tcPr>
            <w:tcW w:w="1797" w:type="pct"/>
          </w:tcPr>
          <w:p w14:paraId="18C0B688" w14:textId="77777777" w:rsidR="008C070C" w:rsidRPr="00A808AC" w:rsidRDefault="005A3D7D" w:rsidP="006878A4">
            <w:pPr>
              <w:spacing w:line="240" w:lineRule="auto"/>
            </w:pPr>
            <w:r w:rsidRPr="00A808AC">
              <w:t>Diarrhoea</w:t>
            </w:r>
          </w:p>
        </w:tc>
        <w:tc>
          <w:tcPr>
            <w:tcW w:w="1500" w:type="pct"/>
          </w:tcPr>
          <w:p w14:paraId="342732E2" w14:textId="77777777" w:rsidR="008C070C" w:rsidRPr="00A808AC" w:rsidRDefault="005A3D7D" w:rsidP="006878A4">
            <w:pPr>
              <w:spacing w:line="240" w:lineRule="auto"/>
            </w:pPr>
            <w:r w:rsidRPr="00A808AC">
              <w:t>very common</w:t>
            </w:r>
          </w:p>
        </w:tc>
      </w:tr>
      <w:tr w:rsidR="00476058" w14:paraId="66A0083B" w14:textId="77777777" w:rsidTr="00790B82">
        <w:trPr>
          <w:cantSplit/>
          <w:trHeight w:val="288"/>
        </w:trPr>
        <w:tc>
          <w:tcPr>
            <w:tcW w:w="1703" w:type="pct"/>
            <w:vMerge/>
          </w:tcPr>
          <w:p w14:paraId="19CA5A52" w14:textId="77777777" w:rsidR="00D47442" w:rsidRPr="00A808AC" w:rsidRDefault="00D47442" w:rsidP="006878A4">
            <w:pPr>
              <w:spacing w:line="240" w:lineRule="auto"/>
            </w:pPr>
          </w:p>
        </w:tc>
        <w:tc>
          <w:tcPr>
            <w:tcW w:w="1797" w:type="pct"/>
          </w:tcPr>
          <w:p w14:paraId="02F7CA05" w14:textId="77777777" w:rsidR="00D47442" w:rsidRPr="00A808AC" w:rsidRDefault="005A3D7D" w:rsidP="006878A4">
            <w:pPr>
              <w:spacing w:line="240" w:lineRule="auto"/>
            </w:pPr>
            <w:r>
              <w:t xml:space="preserve">Abdominal pain upper </w:t>
            </w:r>
            <w:r w:rsidRPr="00D47442">
              <w:rPr>
                <w:rFonts w:ascii="Arial" w:hAnsi="Arial" w:cs="Arial"/>
                <w:vertAlign w:val="superscript"/>
              </w:rPr>
              <w:t>†</w:t>
            </w:r>
          </w:p>
        </w:tc>
        <w:tc>
          <w:tcPr>
            <w:tcW w:w="1500" w:type="pct"/>
          </w:tcPr>
          <w:p w14:paraId="770DC734" w14:textId="77777777" w:rsidR="00D47442" w:rsidRPr="00A808AC" w:rsidRDefault="005A3D7D" w:rsidP="006878A4">
            <w:pPr>
              <w:spacing w:line="240" w:lineRule="auto"/>
            </w:pPr>
            <w:r>
              <w:t>common</w:t>
            </w:r>
          </w:p>
        </w:tc>
      </w:tr>
      <w:tr w:rsidR="00476058" w14:paraId="0E7EDB7C" w14:textId="77777777" w:rsidTr="00790B82">
        <w:trPr>
          <w:cantSplit/>
          <w:trHeight w:val="288"/>
        </w:trPr>
        <w:tc>
          <w:tcPr>
            <w:tcW w:w="1703" w:type="pct"/>
            <w:vMerge/>
          </w:tcPr>
          <w:p w14:paraId="2468B765" w14:textId="77777777" w:rsidR="00D47442" w:rsidRPr="00A808AC" w:rsidRDefault="00D47442" w:rsidP="006878A4">
            <w:pPr>
              <w:spacing w:line="240" w:lineRule="auto"/>
            </w:pPr>
          </w:p>
        </w:tc>
        <w:tc>
          <w:tcPr>
            <w:tcW w:w="1797" w:type="pct"/>
          </w:tcPr>
          <w:p w14:paraId="6050701C" w14:textId="77777777" w:rsidR="00D47442" w:rsidRPr="00A808AC" w:rsidRDefault="005A3D7D" w:rsidP="006878A4">
            <w:pPr>
              <w:spacing w:line="240" w:lineRule="auto"/>
            </w:pPr>
            <w:r>
              <w:t xml:space="preserve">Flatulence </w:t>
            </w:r>
            <w:r w:rsidRPr="00D47442">
              <w:rPr>
                <w:rFonts w:ascii="Arial" w:hAnsi="Arial" w:cs="Arial"/>
                <w:vertAlign w:val="superscript"/>
              </w:rPr>
              <w:t>†</w:t>
            </w:r>
          </w:p>
        </w:tc>
        <w:tc>
          <w:tcPr>
            <w:tcW w:w="1500" w:type="pct"/>
          </w:tcPr>
          <w:p w14:paraId="08E9DAE3" w14:textId="77777777" w:rsidR="00D47442" w:rsidRPr="00A808AC" w:rsidRDefault="005A3D7D" w:rsidP="006878A4">
            <w:pPr>
              <w:spacing w:line="240" w:lineRule="auto"/>
            </w:pPr>
            <w:r>
              <w:t xml:space="preserve">common </w:t>
            </w:r>
          </w:p>
        </w:tc>
      </w:tr>
      <w:tr w:rsidR="00476058" w14:paraId="556EE53C" w14:textId="77777777" w:rsidTr="000A093B">
        <w:trPr>
          <w:cantSplit/>
          <w:trHeight w:val="288"/>
        </w:trPr>
        <w:tc>
          <w:tcPr>
            <w:tcW w:w="1703" w:type="pct"/>
            <w:vMerge/>
          </w:tcPr>
          <w:p w14:paraId="33B6CD2F" w14:textId="77777777" w:rsidR="008C070C" w:rsidRPr="00A808AC" w:rsidRDefault="008C070C" w:rsidP="006878A4">
            <w:pPr>
              <w:spacing w:line="240" w:lineRule="auto"/>
            </w:pPr>
          </w:p>
        </w:tc>
        <w:tc>
          <w:tcPr>
            <w:tcW w:w="1797" w:type="pct"/>
          </w:tcPr>
          <w:p w14:paraId="06EA5334" w14:textId="77777777" w:rsidR="008C070C" w:rsidRPr="00A808AC" w:rsidRDefault="005A3D7D" w:rsidP="006878A4">
            <w:pPr>
              <w:spacing w:line="240" w:lineRule="auto"/>
            </w:pPr>
            <w:r>
              <w:t xml:space="preserve">Nausea </w:t>
            </w:r>
            <w:r w:rsidRPr="000E0026">
              <w:rPr>
                <w:vertAlign w:val="superscript"/>
              </w:rPr>
              <w:t>*</w:t>
            </w:r>
          </w:p>
        </w:tc>
        <w:tc>
          <w:tcPr>
            <w:tcW w:w="1500" w:type="pct"/>
          </w:tcPr>
          <w:p w14:paraId="66869E2C" w14:textId="77777777" w:rsidR="008C070C" w:rsidRPr="00A808AC" w:rsidRDefault="005A3D7D" w:rsidP="006878A4">
            <w:pPr>
              <w:spacing w:line="240" w:lineRule="auto"/>
            </w:pPr>
            <w:r>
              <w:t>common</w:t>
            </w:r>
          </w:p>
        </w:tc>
      </w:tr>
      <w:tr w:rsidR="00476058" w14:paraId="46FEFE16" w14:textId="77777777" w:rsidTr="00E238A9">
        <w:trPr>
          <w:cantSplit/>
          <w:trHeight w:val="288"/>
        </w:trPr>
        <w:tc>
          <w:tcPr>
            <w:tcW w:w="1703" w:type="pct"/>
            <w:vMerge w:val="restart"/>
          </w:tcPr>
          <w:p w14:paraId="1A5D142D" w14:textId="77777777" w:rsidR="00E238A9" w:rsidRPr="00A808AC" w:rsidRDefault="005A3D7D" w:rsidP="006878A4">
            <w:pPr>
              <w:keepNext/>
              <w:spacing w:line="240" w:lineRule="auto"/>
            </w:pPr>
            <w:r w:rsidRPr="00A808AC">
              <w:rPr>
                <w:lang w:val="da-DK"/>
              </w:rPr>
              <w:t xml:space="preserve">Hepatobiliary </w:t>
            </w:r>
            <w:r w:rsidRPr="00A808AC">
              <w:rPr>
                <w:lang w:val="da-DK"/>
              </w:rPr>
              <w:t>disorders</w:t>
            </w:r>
          </w:p>
        </w:tc>
        <w:tc>
          <w:tcPr>
            <w:tcW w:w="1797" w:type="pct"/>
          </w:tcPr>
          <w:p w14:paraId="7FDBD2F8" w14:textId="77777777" w:rsidR="00E238A9" w:rsidRPr="00A808AC" w:rsidRDefault="005A3D7D" w:rsidP="006878A4">
            <w:pPr>
              <w:keepNext/>
              <w:spacing w:line="240" w:lineRule="auto"/>
            </w:pPr>
            <w:r w:rsidRPr="00A808AC">
              <w:t>Transaminase elevations</w:t>
            </w:r>
          </w:p>
        </w:tc>
        <w:tc>
          <w:tcPr>
            <w:tcW w:w="1500" w:type="pct"/>
          </w:tcPr>
          <w:p w14:paraId="2F395F05" w14:textId="77777777" w:rsidR="00E238A9" w:rsidRPr="00A808AC" w:rsidRDefault="005A3D7D" w:rsidP="006878A4">
            <w:pPr>
              <w:keepNext/>
              <w:spacing w:line="240" w:lineRule="auto"/>
            </w:pPr>
            <w:r w:rsidRPr="00A808AC">
              <w:t>very common</w:t>
            </w:r>
          </w:p>
        </w:tc>
      </w:tr>
      <w:tr w:rsidR="00476058" w14:paraId="53CB0D4E" w14:textId="77777777" w:rsidTr="00790B82">
        <w:trPr>
          <w:cantSplit/>
          <w:trHeight w:val="288"/>
        </w:trPr>
        <w:tc>
          <w:tcPr>
            <w:tcW w:w="1703" w:type="pct"/>
            <w:vMerge/>
          </w:tcPr>
          <w:p w14:paraId="3F665F78" w14:textId="77777777" w:rsidR="00E238A9" w:rsidRPr="00A808AC" w:rsidRDefault="00E238A9" w:rsidP="00D47442">
            <w:pPr>
              <w:keepNext/>
              <w:spacing w:line="240" w:lineRule="auto"/>
              <w:rPr>
                <w:lang w:val="da-DK"/>
              </w:rPr>
            </w:pPr>
          </w:p>
        </w:tc>
        <w:tc>
          <w:tcPr>
            <w:tcW w:w="1797" w:type="pct"/>
          </w:tcPr>
          <w:p w14:paraId="55695163" w14:textId="77777777" w:rsidR="00E238A9" w:rsidRPr="00A808AC" w:rsidRDefault="005A3D7D" w:rsidP="00D47442">
            <w:pPr>
              <w:keepNext/>
              <w:spacing w:line="240" w:lineRule="auto"/>
            </w:pPr>
            <w:r>
              <w:t xml:space="preserve">Alanine aminotransferase increased </w:t>
            </w:r>
            <w:r w:rsidRPr="008129D3">
              <w:rPr>
                <w:rFonts w:ascii="Arial" w:hAnsi="Arial" w:cs="Arial"/>
                <w:vertAlign w:val="superscript"/>
              </w:rPr>
              <w:t>†</w:t>
            </w:r>
          </w:p>
        </w:tc>
        <w:tc>
          <w:tcPr>
            <w:tcW w:w="1500" w:type="pct"/>
          </w:tcPr>
          <w:p w14:paraId="44643827" w14:textId="77777777" w:rsidR="00E238A9" w:rsidRPr="00A808AC" w:rsidRDefault="005A3D7D" w:rsidP="00D47442">
            <w:pPr>
              <w:keepNext/>
              <w:spacing w:line="240" w:lineRule="auto"/>
            </w:pPr>
            <w:r>
              <w:t>common</w:t>
            </w:r>
          </w:p>
        </w:tc>
      </w:tr>
      <w:tr w:rsidR="00476058" w14:paraId="4F034C91" w14:textId="77777777" w:rsidTr="00790B82">
        <w:trPr>
          <w:cantSplit/>
          <w:trHeight w:val="288"/>
        </w:trPr>
        <w:tc>
          <w:tcPr>
            <w:tcW w:w="1703" w:type="pct"/>
            <w:vMerge/>
          </w:tcPr>
          <w:p w14:paraId="2FCA3AB6" w14:textId="77777777" w:rsidR="00E238A9" w:rsidRPr="00A808AC" w:rsidRDefault="00E238A9" w:rsidP="00D47442">
            <w:pPr>
              <w:keepNext/>
              <w:spacing w:line="240" w:lineRule="auto"/>
              <w:rPr>
                <w:lang w:val="da-DK"/>
              </w:rPr>
            </w:pPr>
          </w:p>
        </w:tc>
        <w:tc>
          <w:tcPr>
            <w:tcW w:w="1797" w:type="pct"/>
          </w:tcPr>
          <w:p w14:paraId="7C3B15A1" w14:textId="77777777" w:rsidR="00E238A9" w:rsidRPr="00A808AC" w:rsidRDefault="005A3D7D" w:rsidP="00D47442">
            <w:pPr>
              <w:keepNext/>
              <w:spacing w:line="240" w:lineRule="auto"/>
            </w:pPr>
            <w:r>
              <w:t xml:space="preserve">Aspartate aminotransferase increased </w:t>
            </w:r>
            <w:r w:rsidRPr="008129D3">
              <w:rPr>
                <w:rFonts w:ascii="Arial" w:hAnsi="Arial" w:cs="Arial"/>
                <w:vertAlign w:val="superscript"/>
              </w:rPr>
              <w:t>†</w:t>
            </w:r>
          </w:p>
        </w:tc>
        <w:tc>
          <w:tcPr>
            <w:tcW w:w="1500" w:type="pct"/>
          </w:tcPr>
          <w:p w14:paraId="01B9C691" w14:textId="77777777" w:rsidR="00E238A9" w:rsidRPr="00A808AC" w:rsidRDefault="005A3D7D" w:rsidP="00D47442">
            <w:pPr>
              <w:keepNext/>
              <w:spacing w:line="240" w:lineRule="auto"/>
            </w:pPr>
            <w:r>
              <w:t xml:space="preserve">common </w:t>
            </w:r>
          </w:p>
        </w:tc>
      </w:tr>
      <w:tr w:rsidR="00476058" w14:paraId="18483B39" w14:textId="77777777" w:rsidTr="00E238A9">
        <w:trPr>
          <w:cantSplit/>
          <w:trHeight w:val="288"/>
        </w:trPr>
        <w:tc>
          <w:tcPr>
            <w:tcW w:w="1703" w:type="pct"/>
            <w:vMerge w:val="restart"/>
          </w:tcPr>
          <w:p w14:paraId="4C9D30BE" w14:textId="77777777" w:rsidR="00E238A9" w:rsidRPr="00A808AC" w:rsidRDefault="005A3D7D" w:rsidP="00D47442">
            <w:pPr>
              <w:keepNext/>
              <w:spacing w:line="240" w:lineRule="auto"/>
            </w:pPr>
            <w:r w:rsidRPr="00A808AC">
              <w:t>Skin and subcutaneous tissue disorders</w:t>
            </w:r>
          </w:p>
        </w:tc>
        <w:tc>
          <w:tcPr>
            <w:tcW w:w="1797" w:type="pct"/>
          </w:tcPr>
          <w:p w14:paraId="4563C03D" w14:textId="77777777" w:rsidR="00E238A9" w:rsidRPr="00A808AC" w:rsidRDefault="005A3D7D" w:rsidP="00D47442">
            <w:pPr>
              <w:keepNext/>
              <w:spacing w:line="240" w:lineRule="auto"/>
            </w:pPr>
            <w:r w:rsidRPr="00A808AC">
              <w:t>Rash</w:t>
            </w:r>
          </w:p>
        </w:tc>
        <w:tc>
          <w:tcPr>
            <w:tcW w:w="1500" w:type="pct"/>
          </w:tcPr>
          <w:p w14:paraId="1ED2CE7C" w14:textId="77777777" w:rsidR="00E238A9" w:rsidRPr="00A808AC" w:rsidRDefault="005A3D7D" w:rsidP="00D47442">
            <w:pPr>
              <w:keepNext/>
              <w:spacing w:line="240" w:lineRule="auto"/>
            </w:pPr>
            <w:r w:rsidRPr="00A808AC">
              <w:t>very common</w:t>
            </w:r>
          </w:p>
        </w:tc>
      </w:tr>
      <w:tr w:rsidR="00476058" w14:paraId="05DF5A6D" w14:textId="77777777" w:rsidTr="00790B82">
        <w:trPr>
          <w:cantSplit/>
          <w:trHeight w:val="288"/>
        </w:trPr>
        <w:tc>
          <w:tcPr>
            <w:tcW w:w="1703" w:type="pct"/>
            <w:vMerge/>
          </w:tcPr>
          <w:p w14:paraId="2614BAD2" w14:textId="77777777" w:rsidR="00E238A9" w:rsidRPr="00A808AC" w:rsidRDefault="00E238A9" w:rsidP="00D47442">
            <w:pPr>
              <w:keepNext/>
              <w:spacing w:line="240" w:lineRule="auto"/>
            </w:pPr>
          </w:p>
        </w:tc>
        <w:tc>
          <w:tcPr>
            <w:tcW w:w="1797" w:type="pct"/>
          </w:tcPr>
          <w:p w14:paraId="044FDE36" w14:textId="77777777" w:rsidR="00E238A9" w:rsidRPr="00A808AC" w:rsidRDefault="005A3D7D" w:rsidP="00D47442">
            <w:pPr>
              <w:keepNext/>
              <w:spacing w:line="240" w:lineRule="auto"/>
            </w:pPr>
            <w:r>
              <w:t xml:space="preserve">Acne </w:t>
            </w:r>
            <w:r w:rsidRPr="008129D3">
              <w:rPr>
                <w:rFonts w:ascii="Arial" w:hAnsi="Arial" w:cs="Arial"/>
                <w:vertAlign w:val="superscript"/>
              </w:rPr>
              <w:t>†</w:t>
            </w:r>
          </w:p>
        </w:tc>
        <w:tc>
          <w:tcPr>
            <w:tcW w:w="1500" w:type="pct"/>
          </w:tcPr>
          <w:p w14:paraId="070C81E1" w14:textId="77777777" w:rsidR="00E238A9" w:rsidRPr="00A808AC" w:rsidRDefault="005A3D7D" w:rsidP="00D47442">
            <w:pPr>
              <w:keepNext/>
              <w:spacing w:line="240" w:lineRule="auto"/>
            </w:pPr>
            <w:r>
              <w:t>common</w:t>
            </w:r>
          </w:p>
        </w:tc>
      </w:tr>
      <w:tr w:rsidR="00476058" w14:paraId="56B8D357" w14:textId="77777777" w:rsidTr="00790B82">
        <w:trPr>
          <w:cantSplit/>
          <w:trHeight w:val="288"/>
        </w:trPr>
        <w:tc>
          <w:tcPr>
            <w:tcW w:w="1703" w:type="pct"/>
            <w:vMerge/>
          </w:tcPr>
          <w:p w14:paraId="649CB839" w14:textId="77777777" w:rsidR="00E238A9" w:rsidRPr="00A808AC" w:rsidRDefault="00E238A9" w:rsidP="00D47442">
            <w:pPr>
              <w:keepNext/>
              <w:spacing w:line="240" w:lineRule="auto"/>
            </w:pPr>
          </w:p>
        </w:tc>
        <w:tc>
          <w:tcPr>
            <w:tcW w:w="1797" w:type="pct"/>
          </w:tcPr>
          <w:p w14:paraId="6B545E7C" w14:textId="77777777" w:rsidR="00E238A9" w:rsidRPr="00A808AC" w:rsidRDefault="005A3D7D" w:rsidP="00D47442">
            <w:pPr>
              <w:keepNext/>
              <w:spacing w:line="240" w:lineRule="auto"/>
            </w:pPr>
            <w:r>
              <w:t xml:space="preserve">Pruritus </w:t>
            </w:r>
            <w:r w:rsidRPr="008129D3">
              <w:rPr>
                <w:rFonts w:ascii="Arial" w:hAnsi="Arial" w:cs="Arial"/>
                <w:vertAlign w:val="superscript"/>
              </w:rPr>
              <w:t>†</w:t>
            </w:r>
          </w:p>
        </w:tc>
        <w:tc>
          <w:tcPr>
            <w:tcW w:w="1500" w:type="pct"/>
          </w:tcPr>
          <w:p w14:paraId="1EB9BDF3" w14:textId="77777777" w:rsidR="00E238A9" w:rsidRPr="00A808AC" w:rsidRDefault="005A3D7D" w:rsidP="00D47442">
            <w:pPr>
              <w:keepNext/>
              <w:spacing w:line="240" w:lineRule="auto"/>
            </w:pPr>
            <w:r>
              <w:t xml:space="preserve">common </w:t>
            </w:r>
          </w:p>
        </w:tc>
      </w:tr>
      <w:tr w:rsidR="00476058" w14:paraId="6F538F41" w14:textId="77777777" w:rsidTr="000A093B">
        <w:trPr>
          <w:cantSplit/>
          <w:trHeight w:val="288"/>
        </w:trPr>
        <w:tc>
          <w:tcPr>
            <w:tcW w:w="1703" w:type="pct"/>
            <w:vMerge w:val="restart"/>
          </w:tcPr>
          <w:p w14:paraId="0B909610" w14:textId="77777777" w:rsidR="00D47442" w:rsidRPr="00A808AC" w:rsidRDefault="005A3D7D" w:rsidP="00D47442">
            <w:pPr>
              <w:keepNext/>
              <w:spacing w:line="240" w:lineRule="auto"/>
            </w:pPr>
            <w:r w:rsidRPr="00A808AC">
              <w:t>Reproductive system and breast disorders</w:t>
            </w:r>
          </w:p>
        </w:tc>
        <w:tc>
          <w:tcPr>
            <w:tcW w:w="1797" w:type="pct"/>
          </w:tcPr>
          <w:p w14:paraId="44D9950A" w14:textId="77777777" w:rsidR="00D47442" w:rsidRPr="00A808AC" w:rsidRDefault="005A3D7D" w:rsidP="00D47442">
            <w:pPr>
              <w:keepNext/>
              <w:tabs>
                <w:tab w:val="right" w:pos="2808"/>
              </w:tabs>
              <w:spacing w:line="240" w:lineRule="auto"/>
            </w:pPr>
            <w:r w:rsidRPr="00A808AC">
              <w:t>Breast mass</w:t>
            </w:r>
          </w:p>
        </w:tc>
        <w:tc>
          <w:tcPr>
            <w:tcW w:w="1500" w:type="pct"/>
          </w:tcPr>
          <w:p w14:paraId="6A37876F" w14:textId="77777777" w:rsidR="00D47442" w:rsidRPr="00A808AC" w:rsidRDefault="005A3D7D" w:rsidP="00D47442">
            <w:pPr>
              <w:keepNext/>
              <w:spacing w:line="240" w:lineRule="auto"/>
            </w:pPr>
            <w:r w:rsidRPr="00A808AC">
              <w:t>common</w:t>
            </w:r>
          </w:p>
        </w:tc>
      </w:tr>
      <w:tr w:rsidR="00476058" w14:paraId="31921D7E" w14:textId="77777777" w:rsidTr="000A093B">
        <w:trPr>
          <w:cantSplit/>
          <w:trHeight w:val="288"/>
        </w:trPr>
        <w:tc>
          <w:tcPr>
            <w:tcW w:w="1703" w:type="pct"/>
            <w:vMerge/>
          </w:tcPr>
          <w:p w14:paraId="73AB99F6" w14:textId="77777777" w:rsidR="00D47442" w:rsidRPr="00A808AC" w:rsidRDefault="00D47442" w:rsidP="00D47442">
            <w:pPr>
              <w:spacing w:line="240" w:lineRule="auto"/>
            </w:pPr>
          </w:p>
        </w:tc>
        <w:tc>
          <w:tcPr>
            <w:tcW w:w="1797" w:type="pct"/>
          </w:tcPr>
          <w:p w14:paraId="193E5B32" w14:textId="77777777" w:rsidR="00D47442" w:rsidRPr="00A808AC" w:rsidRDefault="005A3D7D" w:rsidP="00D47442">
            <w:pPr>
              <w:tabs>
                <w:tab w:val="left" w:pos="179"/>
              </w:tabs>
              <w:spacing w:line="240" w:lineRule="auto"/>
            </w:pPr>
            <w:r w:rsidRPr="00A808AC">
              <w:t>Breast inflammation</w:t>
            </w:r>
          </w:p>
        </w:tc>
        <w:tc>
          <w:tcPr>
            <w:tcW w:w="1500" w:type="pct"/>
          </w:tcPr>
          <w:p w14:paraId="083D4524" w14:textId="77777777" w:rsidR="00D47442" w:rsidRPr="00A808AC" w:rsidRDefault="005A3D7D" w:rsidP="00D47442">
            <w:pPr>
              <w:spacing w:line="240" w:lineRule="auto"/>
            </w:pPr>
            <w:r w:rsidRPr="00A808AC">
              <w:t>uncommon</w:t>
            </w:r>
          </w:p>
        </w:tc>
      </w:tr>
      <w:tr w:rsidR="00476058" w14:paraId="04F8EB39" w14:textId="77777777" w:rsidTr="000A093B">
        <w:trPr>
          <w:cantSplit/>
          <w:trHeight w:val="288"/>
        </w:trPr>
        <w:tc>
          <w:tcPr>
            <w:tcW w:w="1703" w:type="pct"/>
            <w:vMerge/>
          </w:tcPr>
          <w:p w14:paraId="4D823314" w14:textId="77777777" w:rsidR="00D47442" w:rsidRPr="00A808AC" w:rsidRDefault="00D47442" w:rsidP="00D47442">
            <w:pPr>
              <w:spacing w:line="240" w:lineRule="auto"/>
            </w:pPr>
          </w:p>
        </w:tc>
        <w:tc>
          <w:tcPr>
            <w:tcW w:w="1797" w:type="pct"/>
          </w:tcPr>
          <w:p w14:paraId="16EE6AF9" w14:textId="77777777" w:rsidR="00D47442" w:rsidRPr="00A808AC" w:rsidRDefault="005A3D7D" w:rsidP="00D47442">
            <w:pPr>
              <w:spacing w:line="240" w:lineRule="auto"/>
            </w:pPr>
            <w:r w:rsidRPr="00A808AC">
              <w:t>Gynaecomastia</w:t>
            </w:r>
          </w:p>
        </w:tc>
        <w:tc>
          <w:tcPr>
            <w:tcW w:w="1500" w:type="pct"/>
          </w:tcPr>
          <w:p w14:paraId="538A8ABA" w14:textId="77777777" w:rsidR="00D47442" w:rsidRPr="00A808AC" w:rsidRDefault="005A3D7D" w:rsidP="00D47442">
            <w:pPr>
              <w:spacing w:line="240" w:lineRule="auto"/>
            </w:pPr>
            <w:r w:rsidRPr="00A808AC">
              <w:t>uncommon</w:t>
            </w:r>
          </w:p>
        </w:tc>
      </w:tr>
      <w:tr w:rsidR="00476058" w14:paraId="3FF83147" w14:textId="77777777" w:rsidTr="000A093B">
        <w:trPr>
          <w:cantSplit/>
          <w:trHeight w:val="288"/>
        </w:trPr>
        <w:tc>
          <w:tcPr>
            <w:tcW w:w="1703" w:type="pct"/>
            <w:vMerge/>
          </w:tcPr>
          <w:p w14:paraId="5C64A187" w14:textId="77777777" w:rsidR="00D47442" w:rsidRPr="00A808AC" w:rsidRDefault="00D47442" w:rsidP="00D47442">
            <w:pPr>
              <w:spacing w:line="240" w:lineRule="auto"/>
            </w:pPr>
          </w:p>
        </w:tc>
        <w:tc>
          <w:tcPr>
            <w:tcW w:w="1797" w:type="pct"/>
          </w:tcPr>
          <w:p w14:paraId="1B959E3F" w14:textId="77777777" w:rsidR="00D47442" w:rsidRPr="00A808AC" w:rsidRDefault="005A3D7D" w:rsidP="00D47442">
            <w:pPr>
              <w:spacing w:line="240" w:lineRule="auto"/>
            </w:pPr>
            <w:r w:rsidRPr="00A808AC">
              <w:t>Nipple disorder</w:t>
            </w:r>
          </w:p>
        </w:tc>
        <w:tc>
          <w:tcPr>
            <w:tcW w:w="1500" w:type="pct"/>
          </w:tcPr>
          <w:p w14:paraId="55E4A76F" w14:textId="77777777" w:rsidR="00D47442" w:rsidRPr="00A808AC" w:rsidRDefault="005A3D7D" w:rsidP="00D47442">
            <w:pPr>
              <w:spacing w:line="240" w:lineRule="auto"/>
            </w:pPr>
            <w:r w:rsidRPr="00A808AC">
              <w:t>uncommon</w:t>
            </w:r>
          </w:p>
        </w:tc>
      </w:tr>
      <w:tr w:rsidR="00476058" w14:paraId="1ABFC0E1" w14:textId="77777777" w:rsidTr="000A093B">
        <w:trPr>
          <w:cantSplit/>
          <w:trHeight w:val="288"/>
        </w:trPr>
        <w:tc>
          <w:tcPr>
            <w:tcW w:w="1703" w:type="pct"/>
            <w:vMerge/>
          </w:tcPr>
          <w:p w14:paraId="2F875679" w14:textId="77777777" w:rsidR="00D47442" w:rsidRPr="00A808AC" w:rsidRDefault="00D47442" w:rsidP="00D47442">
            <w:pPr>
              <w:spacing w:line="240" w:lineRule="auto"/>
            </w:pPr>
          </w:p>
        </w:tc>
        <w:tc>
          <w:tcPr>
            <w:tcW w:w="1797" w:type="pct"/>
          </w:tcPr>
          <w:p w14:paraId="760D2616" w14:textId="77777777" w:rsidR="00D47442" w:rsidRPr="00A808AC" w:rsidRDefault="005A3D7D" w:rsidP="00D47442">
            <w:pPr>
              <w:spacing w:line="240" w:lineRule="auto"/>
            </w:pPr>
            <w:r w:rsidRPr="00A808AC">
              <w:t>Nipple pain</w:t>
            </w:r>
          </w:p>
        </w:tc>
        <w:tc>
          <w:tcPr>
            <w:tcW w:w="1500" w:type="pct"/>
          </w:tcPr>
          <w:p w14:paraId="717B1ACB" w14:textId="77777777" w:rsidR="00D47442" w:rsidRPr="00A808AC" w:rsidRDefault="005A3D7D" w:rsidP="00D47442">
            <w:pPr>
              <w:spacing w:line="240" w:lineRule="auto"/>
            </w:pPr>
            <w:r w:rsidRPr="00A808AC">
              <w:t>uncommon</w:t>
            </w:r>
          </w:p>
        </w:tc>
      </w:tr>
      <w:tr w:rsidR="00476058" w14:paraId="20AB2C1F" w14:textId="77777777" w:rsidTr="00E238A9">
        <w:trPr>
          <w:cantSplit/>
          <w:trHeight w:val="288"/>
        </w:trPr>
        <w:tc>
          <w:tcPr>
            <w:tcW w:w="1703" w:type="pct"/>
            <w:vMerge w:val="restart"/>
          </w:tcPr>
          <w:p w14:paraId="49573734" w14:textId="77777777" w:rsidR="00E238A9" w:rsidRPr="00A808AC" w:rsidRDefault="005A3D7D" w:rsidP="00D47442">
            <w:pPr>
              <w:keepNext/>
              <w:spacing w:line="240" w:lineRule="auto"/>
            </w:pPr>
            <w:r w:rsidRPr="00A808AC">
              <w:t>Investigations</w:t>
            </w:r>
          </w:p>
        </w:tc>
        <w:tc>
          <w:tcPr>
            <w:tcW w:w="1797" w:type="pct"/>
          </w:tcPr>
          <w:p w14:paraId="31ED99F6" w14:textId="77777777" w:rsidR="00E238A9" w:rsidRPr="00A808AC" w:rsidRDefault="005A3D7D" w:rsidP="00D47442">
            <w:pPr>
              <w:keepNext/>
              <w:spacing w:line="240" w:lineRule="auto"/>
            </w:pPr>
            <w:r w:rsidRPr="00A808AC">
              <w:t>Bacteria in sputum</w:t>
            </w:r>
          </w:p>
        </w:tc>
        <w:tc>
          <w:tcPr>
            <w:tcW w:w="1500" w:type="pct"/>
          </w:tcPr>
          <w:p w14:paraId="03384491" w14:textId="77777777" w:rsidR="00E238A9" w:rsidRPr="00A808AC" w:rsidRDefault="005A3D7D" w:rsidP="00D47442">
            <w:pPr>
              <w:keepNext/>
              <w:spacing w:line="240" w:lineRule="auto"/>
            </w:pPr>
            <w:r w:rsidRPr="00A808AC">
              <w:t>very common</w:t>
            </w:r>
          </w:p>
        </w:tc>
      </w:tr>
      <w:tr w:rsidR="00476058" w14:paraId="5729C20C" w14:textId="77777777" w:rsidTr="00790B82">
        <w:trPr>
          <w:cantSplit/>
          <w:trHeight w:val="288"/>
        </w:trPr>
        <w:tc>
          <w:tcPr>
            <w:tcW w:w="1703" w:type="pct"/>
            <w:vMerge/>
          </w:tcPr>
          <w:p w14:paraId="61C852A4" w14:textId="77777777" w:rsidR="00E238A9" w:rsidRPr="00A808AC" w:rsidRDefault="00E238A9" w:rsidP="00D47442">
            <w:pPr>
              <w:keepNext/>
              <w:spacing w:line="240" w:lineRule="auto"/>
            </w:pPr>
          </w:p>
        </w:tc>
        <w:tc>
          <w:tcPr>
            <w:tcW w:w="1797" w:type="pct"/>
          </w:tcPr>
          <w:p w14:paraId="5D1742F4" w14:textId="77777777" w:rsidR="00E238A9" w:rsidRPr="00A808AC" w:rsidRDefault="005A3D7D" w:rsidP="00D47442">
            <w:pPr>
              <w:keepNext/>
              <w:spacing w:line="240" w:lineRule="auto"/>
            </w:pPr>
            <w:r>
              <w:t xml:space="preserve">Blood creatine phosphokinase increased </w:t>
            </w:r>
            <w:r w:rsidRPr="008129D3">
              <w:rPr>
                <w:rFonts w:ascii="Arial" w:hAnsi="Arial" w:cs="Arial"/>
                <w:vertAlign w:val="superscript"/>
              </w:rPr>
              <w:t>†</w:t>
            </w:r>
          </w:p>
        </w:tc>
        <w:tc>
          <w:tcPr>
            <w:tcW w:w="1500" w:type="pct"/>
          </w:tcPr>
          <w:p w14:paraId="607081A0" w14:textId="77777777" w:rsidR="00E238A9" w:rsidRPr="00A808AC" w:rsidRDefault="005A3D7D" w:rsidP="00D47442">
            <w:pPr>
              <w:keepNext/>
              <w:spacing w:line="240" w:lineRule="auto"/>
            </w:pPr>
            <w:r>
              <w:t>common</w:t>
            </w:r>
          </w:p>
        </w:tc>
      </w:tr>
      <w:tr w:rsidR="00476058" w14:paraId="3933D95A" w14:textId="77777777" w:rsidTr="00790B82">
        <w:trPr>
          <w:cantSplit/>
          <w:trHeight w:val="288"/>
        </w:trPr>
        <w:tc>
          <w:tcPr>
            <w:tcW w:w="1703" w:type="pct"/>
            <w:vMerge/>
          </w:tcPr>
          <w:p w14:paraId="780627EA" w14:textId="77777777" w:rsidR="00E238A9" w:rsidRPr="00A808AC" w:rsidRDefault="00E238A9" w:rsidP="00D47442">
            <w:pPr>
              <w:keepNext/>
              <w:spacing w:line="240" w:lineRule="auto"/>
            </w:pPr>
          </w:p>
        </w:tc>
        <w:tc>
          <w:tcPr>
            <w:tcW w:w="1797" w:type="pct"/>
          </w:tcPr>
          <w:p w14:paraId="1F3628E2" w14:textId="77777777" w:rsidR="00E238A9" w:rsidRPr="00A808AC" w:rsidRDefault="005A3D7D" w:rsidP="00D47442">
            <w:pPr>
              <w:keepNext/>
              <w:spacing w:line="240" w:lineRule="auto"/>
            </w:pPr>
            <w:r>
              <w:t xml:space="preserve">Blood pressure increased </w:t>
            </w:r>
            <w:r w:rsidRPr="008129D3">
              <w:rPr>
                <w:rFonts w:ascii="Arial" w:hAnsi="Arial" w:cs="Arial"/>
                <w:vertAlign w:val="superscript"/>
              </w:rPr>
              <w:t>†</w:t>
            </w:r>
          </w:p>
        </w:tc>
        <w:tc>
          <w:tcPr>
            <w:tcW w:w="1500" w:type="pct"/>
          </w:tcPr>
          <w:p w14:paraId="7BCB16BA" w14:textId="77777777" w:rsidR="00E238A9" w:rsidRPr="00A808AC" w:rsidRDefault="005A3D7D" w:rsidP="00D47442">
            <w:pPr>
              <w:keepNext/>
              <w:spacing w:line="240" w:lineRule="auto"/>
            </w:pPr>
            <w:r>
              <w:t xml:space="preserve">uncommon </w:t>
            </w:r>
          </w:p>
        </w:tc>
      </w:tr>
    </w:tbl>
    <w:p w14:paraId="15262E3C" w14:textId="022BD613" w:rsidR="00987822" w:rsidRPr="000A093B" w:rsidRDefault="005A3D7D" w:rsidP="000A093B">
      <w:pPr>
        <w:keepNext/>
        <w:spacing w:line="240" w:lineRule="auto"/>
        <w:ind w:left="288" w:hanging="288"/>
        <w:rPr>
          <w:sz w:val="18"/>
        </w:rPr>
      </w:pPr>
      <w:r w:rsidRPr="000A093B">
        <w:rPr>
          <w:sz w:val="18"/>
        </w:rPr>
        <w:t>*</w:t>
      </w:r>
      <w:r>
        <w:rPr>
          <w:sz w:val="18"/>
          <w:szCs w:val="18"/>
        </w:rPr>
        <w:t xml:space="preserve"> Adverse reaction and frequency reported </w:t>
      </w:r>
      <w:r w:rsidR="005353B1">
        <w:rPr>
          <w:sz w:val="18"/>
          <w:szCs w:val="18"/>
        </w:rPr>
        <w:t>from</w:t>
      </w:r>
      <w:r>
        <w:rPr>
          <w:sz w:val="18"/>
          <w:szCs w:val="18"/>
        </w:rPr>
        <w:t xml:space="preserve"> clinical studies with ivacaftor in combination with tezacaftor/ivacaftor</w:t>
      </w:r>
    </w:p>
    <w:p w14:paraId="74C873C8" w14:textId="77777777" w:rsidR="00D47442" w:rsidRDefault="005A3D7D" w:rsidP="00184D87">
      <w:pPr>
        <w:keepNext/>
        <w:spacing w:line="240" w:lineRule="auto"/>
        <w:ind w:left="288" w:hanging="288"/>
        <w:rPr>
          <w:sz w:val="18"/>
          <w:szCs w:val="18"/>
        </w:rPr>
      </w:pPr>
      <w:r w:rsidRPr="00291F5B">
        <w:rPr>
          <w:rFonts w:ascii="Arial" w:hAnsi="Arial" w:cs="Arial"/>
          <w:sz w:val="18"/>
          <w:szCs w:val="18"/>
          <w:vertAlign w:val="superscript"/>
        </w:rPr>
        <w:t>†</w:t>
      </w:r>
      <w:r>
        <w:rPr>
          <w:sz w:val="18"/>
          <w:szCs w:val="18"/>
        </w:rPr>
        <w:t xml:space="preserve"> Adverse reaction and frequency reported </w:t>
      </w:r>
      <w:r w:rsidR="005353B1">
        <w:rPr>
          <w:sz w:val="18"/>
          <w:szCs w:val="18"/>
        </w:rPr>
        <w:t>from</w:t>
      </w:r>
      <w:r>
        <w:rPr>
          <w:sz w:val="18"/>
          <w:szCs w:val="18"/>
        </w:rPr>
        <w:t xml:space="preserve"> clinical studies with ivacaftor in combination with ivacaftor/tezacaftor/elexacaftor</w:t>
      </w:r>
    </w:p>
    <w:bookmarkEnd w:id="6"/>
    <w:p w14:paraId="490EC481" w14:textId="77777777" w:rsidR="006C1119" w:rsidRPr="000A093B" w:rsidRDefault="006C1119" w:rsidP="000A093B">
      <w:pPr>
        <w:keepNext/>
        <w:spacing w:line="240" w:lineRule="auto"/>
        <w:rPr>
          <w:u w:val="single"/>
        </w:rPr>
      </w:pPr>
    </w:p>
    <w:p w14:paraId="569564A6" w14:textId="77777777" w:rsidR="00F976E8" w:rsidRPr="00BA47B4" w:rsidRDefault="005A3D7D" w:rsidP="00A0798C">
      <w:pPr>
        <w:keepNext/>
        <w:spacing w:line="240" w:lineRule="auto"/>
        <w:rPr>
          <w:u w:val="single"/>
        </w:rPr>
      </w:pPr>
      <w:r w:rsidRPr="00A808AC">
        <w:rPr>
          <w:u w:val="single"/>
        </w:rPr>
        <w:t>Description of selected adverse reactions</w:t>
      </w:r>
    </w:p>
    <w:p w14:paraId="3C4321B3" w14:textId="77777777" w:rsidR="00CB7840" w:rsidRPr="00A808AC" w:rsidRDefault="00CB7840">
      <w:pPr>
        <w:keepNext/>
        <w:spacing w:line="240" w:lineRule="auto"/>
        <w:rPr>
          <w:i/>
        </w:rPr>
      </w:pPr>
    </w:p>
    <w:p w14:paraId="7670B15B" w14:textId="77777777" w:rsidR="00F976E8" w:rsidRPr="000A093B" w:rsidRDefault="005A3D7D">
      <w:pPr>
        <w:keepNext/>
        <w:spacing w:line="240" w:lineRule="auto"/>
        <w:rPr>
          <w:i/>
        </w:rPr>
      </w:pPr>
      <w:r w:rsidRPr="000A093B">
        <w:rPr>
          <w:i/>
        </w:rPr>
        <w:t>Transaminase elevations</w:t>
      </w:r>
      <w:r w:rsidR="00E55F90">
        <w:rPr>
          <w:i/>
        </w:rPr>
        <w:t xml:space="preserve"> </w:t>
      </w:r>
    </w:p>
    <w:p w14:paraId="5C50EE63" w14:textId="77777777" w:rsidR="000E0026" w:rsidRPr="007B0741" w:rsidRDefault="000E0026">
      <w:pPr>
        <w:keepNext/>
        <w:spacing w:line="240" w:lineRule="auto"/>
      </w:pPr>
    </w:p>
    <w:p w14:paraId="27D62F66" w14:textId="7ADBD9AE" w:rsidR="00F976E8" w:rsidRDefault="005A3D7D" w:rsidP="000A093B">
      <w:pPr>
        <w:keepNext/>
        <w:spacing w:line="240" w:lineRule="auto"/>
      </w:pPr>
      <w:r w:rsidRPr="00A808AC">
        <w:t xml:space="preserve">During the </w:t>
      </w:r>
      <w:r w:rsidR="007B5DBB" w:rsidRPr="00A808AC">
        <w:t xml:space="preserve">48-week </w:t>
      </w:r>
      <w:r w:rsidRPr="00A808AC">
        <w:t>placebo</w:t>
      </w:r>
      <w:r w:rsidRPr="00A808AC">
        <w:noBreakHyphen/>
        <w:t>controlled studies 1</w:t>
      </w:r>
      <w:r w:rsidR="007B5DBB" w:rsidRPr="00A808AC">
        <w:t xml:space="preserve"> and </w:t>
      </w:r>
      <w:r w:rsidRPr="00A808AC">
        <w:t>2</w:t>
      </w:r>
      <w:r w:rsidR="00D918FA">
        <w:t xml:space="preserve"> of ivacaftor </w:t>
      </w:r>
      <w:r w:rsidR="001E3B01">
        <w:t xml:space="preserve">as </w:t>
      </w:r>
      <w:r w:rsidR="00D918FA">
        <w:t>monotherapy</w:t>
      </w:r>
      <w:r w:rsidRPr="00A808AC">
        <w:t xml:space="preserve"> in patients aged 6</w:t>
      </w:r>
      <w:r w:rsidR="000E24CD" w:rsidRPr="00A808AC">
        <w:t> </w:t>
      </w:r>
      <w:r w:rsidR="00136C4D" w:rsidRPr="00A808AC">
        <w:t xml:space="preserve">years </w:t>
      </w:r>
      <w:r w:rsidRPr="00A808AC">
        <w:t>and older, the incidence of maximum transaminase (ALT or AST) &gt;</w:t>
      </w:r>
      <w:r w:rsidR="00BD3959">
        <w:t> </w:t>
      </w:r>
      <w:r w:rsidRPr="00A808AC">
        <w:t>8, &gt;</w:t>
      </w:r>
      <w:r w:rsidR="00BD3959">
        <w:t> </w:t>
      </w:r>
      <w:r w:rsidRPr="00A808AC">
        <w:t>5 or &gt;</w:t>
      </w:r>
      <w:r w:rsidR="00BD3959">
        <w:t> </w:t>
      </w:r>
      <w:r w:rsidRPr="00A808AC">
        <w:t>3</w:t>
      </w:r>
      <w:r w:rsidR="000E24CD" w:rsidRPr="00A808AC">
        <w:t> </w:t>
      </w:r>
      <w:r w:rsidRPr="00A808AC">
        <w:t>x</w:t>
      </w:r>
      <w:r w:rsidR="000E24CD" w:rsidRPr="00A808AC">
        <w:t xml:space="preserve"> </w:t>
      </w:r>
      <w:r w:rsidRPr="00A808AC">
        <w:t xml:space="preserve">ULN was </w:t>
      </w:r>
      <w:r w:rsidR="007B5DBB" w:rsidRPr="00A808AC">
        <w:t>3.7</w:t>
      </w:r>
      <w:r w:rsidRPr="00A808AC">
        <w:t xml:space="preserve">%, </w:t>
      </w:r>
      <w:r w:rsidR="007B5DBB" w:rsidRPr="00A808AC">
        <w:t>3</w:t>
      </w:r>
      <w:r w:rsidRPr="00A808AC">
        <w:t xml:space="preserve">.7% and </w:t>
      </w:r>
      <w:r w:rsidR="007B5DBB" w:rsidRPr="00A808AC">
        <w:t>8</w:t>
      </w:r>
      <w:r w:rsidRPr="00A808AC">
        <w:t xml:space="preserve">.3% in </w:t>
      </w:r>
      <w:r w:rsidRPr="00A808AC">
        <w:t>ivacaftor</w:t>
      </w:r>
      <w:r w:rsidRPr="00A808AC">
        <w:noBreakHyphen/>
        <w:t>treated patients and 1.</w:t>
      </w:r>
      <w:r w:rsidR="007B5DBB" w:rsidRPr="00A808AC">
        <w:t>0</w:t>
      </w:r>
      <w:r w:rsidRPr="00A808AC">
        <w:t xml:space="preserve">%, </w:t>
      </w:r>
      <w:r w:rsidR="007B5DBB" w:rsidRPr="00A808AC">
        <w:t>1.9</w:t>
      </w:r>
      <w:r w:rsidRPr="00A808AC">
        <w:t>% and 8.</w:t>
      </w:r>
      <w:r w:rsidR="007B5DBB" w:rsidRPr="00A808AC">
        <w:t>7</w:t>
      </w:r>
      <w:r w:rsidRPr="00A808AC">
        <w:t>% in placebo</w:t>
      </w:r>
      <w:r w:rsidRPr="00A808AC">
        <w:noBreakHyphen/>
        <w:t xml:space="preserve">treated patients, respectively. </w:t>
      </w:r>
      <w:r w:rsidR="007B5DBB" w:rsidRPr="00A808AC">
        <w:t xml:space="preserve">Two </w:t>
      </w:r>
      <w:r w:rsidRPr="00A808AC">
        <w:t xml:space="preserve">patients, </w:t>
      </w:r>
      <w:r w:rsidR="007B5DBB" w:rsidRPr="00A808AC">
        <w:t>one</w:t>
      </w:r>
      <w:r w:rsidRPr="00A808AC">
        <w:t xml:space="preserve"> on placebo and </w:t>
      </w:r>
      <w:r w:rsidR="007B5DBB" w:rsidRPr="00A808AC">
        <w:t>one</w:t>
      </w:r>
      <w:r w:rsidRPr="00A808AC">
        <w:t xml:space="preserve"> on ivacaftor permanently discontinued treatment for elevated transaminases, </w:t>
      </w:r>
      <w:r w:rsidR="007B5DBB" w:rsidRPr="00A808AC">
        <w:t>each</w:t>
      </w:r>
      <w:r w:rsidRPr="00A808AC">
        <w:t xml:space="preserve"> &gt;</w:t>
      </w:r>
      <w:r w:rsidR="00BD3959">
        <w:t> </w:t>
      </w:r>
      <w:r w:rsidRPr="00A808AC">
        <w:t>8</w:t>
      </w:r>
      <w:r w:rsidR="000E24CD" w:rsidRPr="00A808AC">
        <w:t> </w:t>
      </w:r>
      <w:r w:rsidRPr="00A808AC">
        <w:t>x</w:t>
      </w:r>
      <w:r w:rsidR="000E24CD" w:rsidRPr="00A808AC">
        <w:t xml:space="preserve"> </w:t>
      </w:r>
      <w:r w:rsidRPr="00A808AC">
        <w:t>ULN. No ivacaftor</w:t>
      </w:r>
      <w:r w:rsidRPr="00A808AC">
        <w:noBreakHyphen/>
        <w:t>treated patients exp</w:t>
      </w:r>
      <w:r w:rsidRPr="00A808AC">
        <w:t>erienced a transaminase elevation &gt;</w:t>
      </w:r>
      <w:r w:rsidR="00BD3959">
        <w:t> </w:t>
      </w:r>
      <w:r w:rsidRPr="00A808AC">
        <w:t>3</w:t>
      </w:r>
      <w:r w:rsidR="00F25EFC" w:rsidRPr="00A808AC">
        <w:t> </w:t>
      </w:r>
      <w:r w:rsidRPr="00A808AC">
        <w:t>x</w:t>
      </w:r>
      <w:r w:rsidR="000E24CD" w:rsidRPr="00A808AC">
        <w:t xml:space="preserve"> </w:t>
      </w:r>
      <w:r w:rsidRPr="00A808AC">
        <w:t>ULN associated with elevated total bilirubin &gt;</w:t>
      </w:r>
      <w:r w:rsidR="00BD3959">
        <w:t> </w:t>
      </w:r>
      <w:r w:rsidRPr="00A808AC">
        <w:t>1.5</w:t>
      </w:r>
      <w:r w:rsidR="00F25EFC" w:rsidRPr="00A808AC">
        <w:t> </w:t>
      </w:r>
      <w:r w:rsidRPr="00A808AC">
        <w:t>x</w:t>
      </w:r>
      <w:r w:rsidR="000E24CD" w:rsidRPr="00A808AC">
        <w:t xml:space="preserve"> </w:t>
      </w:r>
      <w:r w:rsidRPr="00A808AC">
        <w:t>ULN. In ivacaftor</w:t>
      </w:r>
      <w:r w:rsidRPr="00A808AC">
        <w:noBreakHyphen/>
        <w:t>treated patients, most transaminase elevations up to 5</w:t>
      </w:r>
      <w:r w:rsidR="000E24CD" w:rsidRPr="00A808AC">
        <w:t> </w:t>
      </w:r>
      <w:r w:rsidRPr="00A808AC">
        <w:t>x</w:t>
      </w:r>
      <w:r w:rsidR="000E24CD" w:rsidRPr="00A808AC">
        <w:t xml:space="preserve"> </w:t>
      </w:r>
      <w:r w:rsidRPr="00A808AC">
        <w:t xml:space="preserve">ULN resolved without treatment interruption. </w:t>
      </w:r>
      <w:r w:rsidR="007B5DBB" w:rsidRPr="00A808AC">
        <w:t xml:space="preserve">Ivacaftor </w:t>
      </w:r>
      <w:r w:rsidRPr="00A808AC">
        <w:t>dosing was interrupted in most pa</w:t>
      </w:r>
      <w:r w:rsidRPr="00A808AC">
        <w:t>tients with transaminase elevations &gt;</w:t>
      </w:r>
      <w:r w:rsidR="00BD3959">
        <w:t> </w:t>
      </w:r>
      <w:r w:rsidRPr="00A808AC">
        <w:t>5</w:t>
      </w:r>
      <w:r w:rsidR="00F25EFC" w:rsidRPr="00A808AC">
        <w:t> </w:t>
      </w:r>
      <w:r w:rsidRPr="00A808AC">
        <w:t>x</w:t>
      </w:r>
      <w:r w:rsidR="000E24CD" w:rsidRPr="00A808AC">
        <w:t xml:space="preserve"> </w:t>
      </w:r>
      <w:r w:rsidRPr="00A808AC">
        <w:t>ULN. In all instances where dosing was interrupted for elevated transaminases</w:t>
      </w:r>
      <w:r w:rsidR="007B5DBB" w:rsidRPr="00A808AC">
        <w:rPr>
          <w:rFonts w:eastAsia="Times New Roman"/>
        </w:rPr>
        <w:t xml:space="preserve"> </w:t>
      </w:r>
      <w:r w:rsidR="007B5DBB" w:rsidRPr="00A808AC">
        <w:t xml:space="preserve">and subsequently resumed, ivacaftor </w:t>
      </w:r>
      <w:r w:rsidRPr="00A808AC">
        <w:t xml:space="preserve">dosing was able to be resumed </w:t>
      </w:r>
      <w:r w:rsidR="007B5DBB" w:rsidRPr="00A808AC">
        <w:t xml:space="preserve">successfully </w:t>
      </w:r>
      <w:r w:rsidRPr="00A808AC">
        <w:t>(see section 4.4).</w:t>
      </w:r>
    </w:p>
    <w:p w14:paraId="5EE510F4" w14:textId="77777777" w:rsidR="008F5333" w:rsidRDefault="008F5333" w:rsidP="000A093B">
      <w:pPr>
        <w:keepNext/>
        <w:spacing w:line="240" w:lineRule="auto"/>
      </w:pPr>
    </w:p>
    <w:p w14:paraId="7F1260E3" w14:textId="238C00C5" w:rsidR="00024741" w:rsidRPr="000A093B" w:rsidRDefault="005A3D7D" w:rsidP="000A093B">
      <w:pPr>
        <w:rPr>
          <w:lang w:val="en-US"/>
        </w:rPr>
      </w:pPr>
      <w:r>
        <w:t>During the placebo controlled phase 3 studies (up to 24 weeks) of tezacaftor/ivacaftor, the incidence of maximum transaminase (ALT or AST) &gt; 8, &gt; 5, or &gt; 3 x ULN were 0.2%, 1.0%, and 3.4% in tezacaftor/ivacaftor treated patients, and 0.4%, 1.0%, and 3.4% i</w:t>
      </w:r>
      <w:r>
        <w:t>n placebo-treated patients. One patient (0.2%) on therapy and 2 patients (0.4%) on placebo permanently discontinued treatment for elevated transaminases. No patients treated with tezacaftor/ivacaftor experienced a transaminase elevation &gt;3 x ULN associated</w:t>
      </w:r>
      <w:r>
        <w:t xml:space="preserve"> with elevated total bilirubin &gt;2 x ULN. </w:t>
      </w:r>
    </w:p>
    <w:p w14:paraId="76A90C30" w14:textId="77777777" w:rsidR="00024741" w:rsidRDefault="00024741" w:rsidP="00024741"/>
    <w:p w14:paraId="7F1BE689" w14:textId="3DFB3AF2" w:rsidR="00024741" w:rsidRDefault="005A3D7D" w:rsidP="00024741">
      <w:r>
        <w:t xml:space="preserve">During the 24-week, placebo-controlled, </w:t>
      </w:r>
      <w:r w:rsidR="00BA40DB">
        <w:t>p</w:t>
      </w:r>
      <w:r>
        <w:t>hase 3 study of ivacaftor/tezacaftor/elexacaftor, these figures were 1.5%, 2.5%, and 7.9% in ivacaftor/tezacaftor/elexacaftor-treated patients and 1.0%, 1.5%, and 5.5% in p</w:t>
      </w:r>
      <w:r>
        <w:t>lacebo-treated patients. The incidence of adverse reactions of transaminase elevations was 10.9% in ivacaftor in a combination regimen with ivacaftor/tezacaftor/elexacaftor treated patients and 4.0% in placebo-treated patients.</w:t>
      </w:r>
    </w:p>
    <w:p w14:paraId="61D70293" w14:textId="77777777" w:rsidR="00635860" w:rsidRDefault="00635860" w:rsidP="002A5658">
      <w:pPr>
        <w:spacing w:line="240" w:lineRule="auto"/>
        <w:rPr>
          <w:bCs/>
          <w:lang w:val="en-US"/>
        </w:rPr>
      </w:pPr>
    </w:p>
    <w:p w14:paraId="108ABD1D" w14:textId="77777777" w:rsidR="002A5658" w:rsidRDefault="005A3D7D" w:rsidP="002A5658">
      <w:pPr>
        <w:keepNext/>
        <w:spacing w:line="240" w:lineRule="auto"/>
        <w:rPr>
          <w:bCs/>
          <w:i/>
        </w:rPr>
      </w:pPr>
      <w:r w:rsidRPr="004672B3">
        <w:rPr>
          <w:bCs/>
          <w:i/>
        </w:rPr>
        <w:t xml:space="preserve">Rash </w:t>
      </w:r>
      <w:r w:rsidR="009F0AB8">
        <w:rPr>
          <w:bCs/>
          <w:i/>
        </w:rPr>
        <w:t>e</w:t>
      </w:r>
      <w:r w:rsidRPr="004672B3">
        <w:rPr>
          <w:bCs/>
          <w:i/>
        </w:rPr>
        <w:t>vents</w:t>
      </w:r>
    </w:p>
    <w:p w14:paraId="3585B0BE" w14:textId="77777777" w:rsidR="006D3CF4" w:rsidRPr="004672B3" w:rsidRDefault="006D3CF4" w:rsidP="002A5658">
      <w:pPr>
        <w:keepNext/>
        <w:spacing w:line="240" w:lineRule="auto"/>
        <w:rPr>
          <w:bCs/>
          <w:i/>
        </w:rPr>
      </w:pPr>
    </w:p>
    <w:p w14:paraId="64DA2D22" w14:textId="77777777" w:rsidR="00080102" w:rsidRDefault="005A3D7D" w:rsidP="002A5658">
      <w:pPr>
        <w:keepNext/>
        <w:spacing w:line="240" w:lineRule="auto"/>
        <w:rPr>
          <w:bCs/>
        </w:rPr>
      </w:pPr>
      <w:r>
        <w:t>R</w:t>
      </w:r>
      <w:r w:rsidR="002A5658" w:rsidRPr="001B4CDB">
        <w:rPr>
          <w:bCs/>
        </w:rPr>
        <w:t>ash events</w:t>
      </w:r>
      <w:r>
        <w:rPr>
          <w:bCs/>
        </w:rPr>
        <w:t>,</w:t>
      </w:r>
      <w:r w:rsidR="002A5658" w:rsidRPr="001B4CDB">
        <w:rPr>
          <w:bCs/>
        </w:rPr>
        <w:t xml:space="preserve"> generally mild to moderate in severity</w:t>
      </w:r>
      <w:r>
        <w:rPr>
          <w:bCs/>
        </w:rPr>
        <w:t xml:space="preserve">, have been observed with the use of </w:t>
      </w:r>
      <w:r w:rsidR="009B1867">
        <w:rPr>
          <w:bCs/>
        </w:rPr>
        <w:t>ivacaftor in a combination regimen with ivacaftor/tezacaftor/elexacaftor</w:t>
      </w:r>
      <w:r>
        <w:rPr>
          <w:bCs/>
        </w:rPr>
        <w:t xml:space="preserve"> and occurred more frequently in</w:t>
      </w:r>
      <w:r w:rsidR="002A5658" w:rsidRPr="001B4CDB">
        <w:rPr>
          <w:bCs/>
        </w:rPr>
        <w:t xml:space="preserve"> female-treated patients</w:t>
      </w:r>
      <w:r w:rsidR="00834B61">
        <w:rPr>
          <w:bCs/>
        </w:rPr>
        <w:t xml:space="preserve"> (16.3%) and in those</w:t>
      </w:r>
      <w:r w:rsidR="009B1867">
        <w:rPr>
          <w:bCs/>
        </w:rPr>
        <w:t xml:space="preserve"> taking hormonal contraceptive</w:t>
      </w:r>
      <w:r w:rsidR="00834B61">
        <w:rPr>
          <w:bCs/>
        </w:rPr>
        <w:t>s (20.5%). S</w:t>
      </w:r>
      <w:r w:rsidR="009B1867">
        <w:rPr>
          <w:bCs/>
        </w:rPr>
        <w:t>ee section 4.4.</w:t>
      </w:r>
    </w:p>
    <w:p w14:paraId="21024F77" w14:textId="77777777" w:rsidR="007D4264" w:rsidRDefault="007D4264" w:rsidP="002A5658">
      <w:pPr>
        <w:spacing w:line="240" w:lineRule="auto"/>
        <w:rPr>
          <w:bCs/>
        </w:rPr>
      </w:pPr>
    </w:p>
    <w:p w14:paraId="70AF4119" w14:textId="77777777" w:rsidR="002A5658" w:rsidRDefault="005A3D7D" w:rsidP="002A5658">
      <w:pPr>
        <w:keepNext/>
        <w:spacing w:line="240" w:lineRule="auto"/>
        <w:rPr>
          <w:i/>
        </w:rPr>
      </w:pPr>
      <w:r w:rsidRPr="004672B3">
        <w:rPr>
          <w:i/>
        </w:rPr>
        <w:t xml:space="preserve">Increased </w:t>
      </w:r>
      <w:r w:rsidR="005364D0">
        <w:rPr>
          <w:i/>
        </w:rPr>
        <w:t>c</w:t>
      </w:r>
      <w:r w:rsidRPr="004672B3">
        <w:rPr>
          <w:i/>
        </w:rPr>
        <w:t xml:space="preserve">reatine </w:t>
      </w:r>
      <w:r w:rsidR="005364D0">
        <w:rPr>
          <w:i/>
        </w:rPr>
        <w:t>p</w:t>
      </w:r>
      <w:r w:rsidRPr="004672B3">
        <w:rPr>
          <w:i/>
        </w:rPr>
        <w:t xml:space="preserve">hosphokinase </w:t>
      </w:r>
    </w:p>
    <w:p w14:paraId="0E61571E" w14:textId="77777777" w:rsidR="00987822" w:rsidRPr="004672B3" w:rsidRDefault="00987822" w:rsidP="002A5658">
      <w:pPr>
        <w:keepNext/>
        <w:spacing w:line="240" w:lineRule="auto"/>
        <w:rPr>
          <w:i/>
        </w:rPr>
      </w:pPr>
    </w:p>
    <w:p w14:paraId="4757D744" w14:textId="696AD6E7" w:rsidR="002A5658" w:rsidRPr="0065685E" w:rsidRDefault="005A3D7D" w:rsidP="002A5658">
      <w:pPr>
        <w:keepNext/>
        <w:spacing w:line="240" w:lineRule="auto"/>
        <w:rPr>
          <w:lang w:val="en-CA"/>
        </w:rPr>
      </w:pPr>
      <w:r>
        <w:t xml:space="preserve">Generally transient and asymptomatic increases in </w:t>
      </w:r>
      <w:r w:rsidR="009B1867" w:rsidRPr="0065685E">
        <w:rPr>
          <w:lang w:val="en-CA"/>
        </w:rPr>
        <w:t xml:space="preserve">creatine phosphokinase </w:t>
      </w:r>
      <w:r>
        <w:rPr>
          <w:lang w:val="en-CA"/>
        </w:rPr>
        <w:t xml:space="preserve">were observed in patients treated with </w:t>
      </w:r>
      <w:r w:rsidR="00FC5C06">
        <w:rPr>
          <w:lang w:val="en-CA"/>
        </w:rPr>
        <w:t>ivacaftor in a combination regimen with ivacaftor/tezacaftor/elexacaftor</w:t>
      </w:r>
      <w:r>
        <w:rPr>
          <w:lang w:val="en-CA"/>
        </w:rPr>
        <w:t xml:space="preserve">, </w:t>
      </w:r>
      <w:r w:rsidR="00A300D2">
        <w:rPr>
          <w:lang w:val="en-CA"/>
        </w:rPr>
        <w:t xml:space="preserve">which </w:t>
      </w:r>
      <w:r>
        <w:rPr>
          <w:lang w:val="en-CA"/>
        </w:rPr>
        <w:t xml:space="preserve">did not lead to treatment </w:t>
      </w:r>
      <w:r w:rsidR="009B1867" w:rsidRPr="0065685E">
        <w:rPr>
          <w:lang w:val="en-CA"/>
        </w:rPr>
        <w:t>discontinu</w:t>
      </w:r>
      <w:r>
        <w:rPr>
          <w:lang w:val="en-CA"/>
        </w:rPr>
        <w:t>ation</w:t>
      </w:r>
      <w:r w:rsidR="009B1867" w:rsidRPr="0065685E">
        <w:rPr>
          <w:lang w:val="en-CA"/>
        </w:rPr>
        <w:t>.</w:t>
      </w:r>
    </w:p>
    <w:p w14:paraId="0FEA1C7B" w14:textId="77777777" w:rsidR="002A5658" w:rsidRPr="004672B3" w:rsidRDefault="002A5658" w:rsidP="002A5658">
      <w:pPr>
        <w:spacing w:line="240" w:lineRule="auto"/>
      </w:pPr>
    </w:p>
    <w:p w14:paraId="235346D2" w14:textId="570338DD" w:rsidR="002A5658" w:rsidRDefault="005A3D7D" w:rsidP="00184D87">
      <w:pPr>
        <w:keepNext/>
        <w:spacing w:line="240" w:lineRule="auto"/>
        <w:rPr>
          <w:i/>
        </w:rPr>
      </w:pPr>
      <w:r w:rsidRPr="004672B3">
        <w:rPr>
          <w:i/>
        </w:rPr>
        <w:t xml:space="preserve">Increased </w:t>
      </w:r>
      <w:r w:rsidR="00024741">
        <w:rPr>
          <w:i/>
        </w:rPr>
        <w:t>b</w:t>
      </w:r>
      <w:r w:rsidRPr="004672B3">
        <w:rPr>
          <w:i/>
        </w:rPr>
        <w:t xml:space="preserve">lood </w:t>
      </w:r>
      <w:r w:rsidR="00024741">
        <w:rPr>
          <w:i/>
        </w:rPr>
        <w:t>p</w:t>
      </w:r>
      <w:r w:rsidRPr="004672B3">
        <w:rPr>
          <w:i/>
        </w:rPr>
        <w:t>ressure</w:t>
      </w:r>
    </w:p>
    <w:p w14:paraId="4CD0993D" w14:textId="77777777" w:rsidR="00987822" w:rsidRPr="004672B3" w:rsidRDefault="00987822" w:rsidP="00184D87">
      <w:pPr>
        <w:keepNext/>
        <w:spacing w:line="240" w:lineRule="auto"/>
        <w:rPr>
          <w:i/>
        </w:rPr>
      </w:pPr>
    </w:p>
    <w:p w14:paraId="7993A6C7" w14:textId="77777777" w:rsidR="007A3220" w:rsidRPr="0065685E" w:rsidRDefault="005A3D7D" w:rsidP="005364D0">
      <w:pPr>
        <w:keepNext/>
        <w:spacing w:line="240" w:lineRule="auto"/>
        <w:rPr>
          <w:bCs/>
        </w:rPr>
      </w:pPr>
      <w:r>
        <w:t xml:space="preserve">An </w:t>
      </w:r>
      <w:r w:rsidR="009B1867" w:rsidRPr="0065685E">
        <w:rPr>
          <w:bCs/>
        </w:rPr>
        <w:t xml:space="preserve">increase from baseline in mean systolic and diastolic blood pressure </w:t>
      </w:r>
      <w:r>
        <w:rPr>
          <w:bCs/>
        </w:rPr>
        <w:t xml:space="preserve">of </w:t>
      </w:r>
      <w:r w:rsidR="009B1867" w:rsidRPr="0065685E">
        <w:rPr>
          <w:bCs/>
        </w:rPr>
        <w:t>3.5</w:t>
      </w:r>
      <w:r>
        <w:rPr>
          <w:bCs/>
        </w:rPr>
        <w:t> </w:t>
      </w:r>
      <w:r w:rsidR="009B1867" w:rsidRPr="0065685E">
        <w:rPr>
          <w:bCs/>
        </w:rPr>
        <w:t>mmHg and</w:t>
      </w:r>
      <w:r>
        <w:rPr>
          <w:bCs/>
        </w:rPr>
        <w:t> </w:t>
      </w:r>
      <w:r w:rsidR="009B1867" w:rsidRPr="0065685E">
        <w:rPr>
          <w:bCs/>
        </w:rPr>
        <w:t>1.9 mmHg, respectively</w:t>
      </w:r>
      <w:r>
        <w:rPr>
          <w:bCs/>
        </w:rPr>
        <w:t xml:space="preserve"> was observed in patients treated wi</w:t>
      </w:r>
      <w:r>
        <w:rPr>
          <w:bCs/>
        </w:rPr>
        <w:t xml:space="preserve">th </w:t>
      </w:r>
      <w:r w:rsidR="009B1867">
        <w:rPr>
          <w:bCs/>
        </w:rPr>
        <w:t>ivacaftor in a combination regimen with ivacaftor/tezacaftor/elexacaftor</w:t>
      </w:r>
      <w:r>
        <w:rPr>
          <w:bCs/>
        </w:rPr>
        <w:t xml:space="preserve">. </w:t>
      </w:r>
    </w:p>
    <w:p w14:paraId="30721688" w14:textId="77777777" w:rsidR="009E1289" w:rsidRDefault="009E1289" w:rsidP="000D02CF">
      <w:pPr>
        <w:spacing w:line="240" w:lineRule="auto"/>
      </w:pPr>
    </w:p>
    <w:p w14:paraId="23D72B29" w14:textId="77777777" w:rsidR="00F976E8" w:rsidRPr="007B0741" w:rsidRDefault="005A3D7D" w:rsidP="00184D87">
      <w:pPr>
        <w:keepNext/>
        <w:spacing w:line="240" w:lineRule="auto"/>
        <w:rPr>
          <w:u w:val="single"/>
        </w:rPr>
      </w:pPr>
      <w:r w:rsidRPr="00A808AC">
        <w:rPr>
          <w:u w:val="single"/>
        </w:rPr>
        <w:t>Paediatric population</w:t>
      </w:r>
    </w:p>
    <w:p w14:paraId="109F8FE0" w14:textId="77777777" w:rsidR="00B20DF3" w:rsidRPr="00A808AC" w:rsidRDefault="00B20DF3" w:rsidP="00184D87">
      <w:pPr>
        <w:keepNext/>
        <w:spacing w:line="240" w:lineRule="auto"/>
        <w:rPr>
          <w:lang w:eastAsia="ja-JP"/>
        </w:rPr>
      </w:pPr>
    </w:p>
    <w:p w14:paraId="545F3EE5" w14:textId="5CB9F9CD" w:rsidR="00E12770" w:rsidRPr="00A808AC" w:rsidRDefault="005A3D7D" w:rsidP="000A093B">
      <w:pPr>
        <w:keepNext/>
        <w:spacing w:line="240" w:lineRule="auto"/>
        <w:rPr>
          <w:iCs/>
          <w:lang w:eastAsia="ja-JP"/>
        </w:rPr>
      </w:pPr>
      <w:r w:rsidRPr="00A808AC">
        <w:rPr>
          <w:iCs/>
          <w:lang w:eastAsia="ja-JP"/>
        </w:rPr>
        <w:t xml:space="preserve">The safety data </w:t>
      </w:r>
      <w:r w:rsidR="00D918FA">
        <w:rPr>
          <w:iCs/>
          <w:lang w:eastAsia="ja-JP"/>
        </w:rPr>
        <w:t xml:space="preserve">of ivacaftor </w:t>
      </w:r>
      <w:r w:rsidR="00FC5C06">
        <w:rPr>
          <w:iCs/>
          <w:lang w:eastAsia="ja-JP"/>
        </w:rPr>
        <w:t xml:space="preserve">as </w:t>
      </w:r>
      <w:r w:rsidR="00D918FA">
        <w:rPr>
          <w:iCs/>
          <w:lang w:eastAsia="ja-JP"/>
        </w:rPr>
        <w:t xml:space="preserve">monotherapy </w:t>
      </w:r>
      <w:r w:rsidRPr="00A808AC">
        <w:rPr>
          <w:iCs/>
          <w:lang w:eastAsia="ja-JP"/>
        </w:rPr>
        <w:t>w</w:t>
      </w:r>
      <w:r w:rsidR="00C548DF" w:rsidRPr="00A808AC">
        <w:rPr>
          <w:iCs/>
          <w:lang w:eastAsia="ja-JP"/>
        </w:rPr>
        <w:t>ere</w:t>
      </w:r>
      <w:r w:rsidRPr="00A808AC">
        <w:rPr>
          <w:iCs/>
          <w:lang w:eastAsia="ja-JP"/>
        </w:rPr>
        <w:t xml:space="preserve"> evaluated</w:t>
      </w:r>
      <w:r w:rsidR="00455416" w:rsidRPr="00A808AC">
        <w:rPr>
          <w:iCs/>
          <w:lang w:eastAsia="ja-JP"/>
        </w:rPr>
        <w:t xml:space="preserve"> in</w:t>
      </w:r>
      <w:r w:rsidR="004F0618">
        <w:rPr>
          <w:iCs/>
          <w:lang w:eastAsia="ja-JP"/>
        </w:rPr>
        <w:t xml:space="preserve"> 6 patients between 4 months to less than 6 months of age,</w:t>
      </w:r>
      <w:r w:rsidR="00136C4D" w:rsidRPr="00A808AC">
        <w:rPr>
          <w:iCs/>
          <w:lang w:eastAsia="ja-JP"/>
        </w:rPr>
        <w:t xml:space="preserve"> </w:t>
      </w:r>
      <w:r w:rsidR="00BD7624">
        <w:rPr>
          <w:iCs/>
          <w:lang w:eastAsia="ja-JP"/>
        </w:rPr>
        <w:t>11 patients between 6</w:t>
      </w:r>
      <w:r w:rsidR="003C40BF">
        <w:rPr>
          <w:iCs/>
          <w:lang w:eastAsia="ja-JP"/>
        </w:rPr>
        <w:t> </w:t>
      </w:r>
      <w:r w:rsidR="00BD7624">
        <w:rPr>
          <w:iCs/>
          <w:lang w:eastAsia="ja-JP"/>
        </w:rPr>
        <w:t>months to less than 12</w:t>
      </w:r>
      <w:r w:rsidR="003C40BF">
        <w:rPr>
          <w:iCs/>
          <w:lang w:eastAsia="ja-JP"/>
        </w:rPr>
        <w:t> </w:t>
      </w:r>
      <w:r w:rsidR="00BD7624">
        <w:rPr>
          <w:iCs/>
          <w:lang w:eastAsia="ja-JP"/>
        </w:rPr>
        <w:t>months of age,</w:t>
      </w:r>
      <w:r w:rsidR="00136C4D" w:rsidRPr="00A808AC">
        <w:rPr>
          <w:iCs/>
          <w:lang w:eastAsia="ja-JP"/>
        </w:rPr>
        <w:t xml:space="preserve"> </w:t>
      </w:r>
      <w:r w:rsidR="00BA6A21">
        <w:rPr>
          <w:rFonts w:eastAsia="MS Mincho"/>
          <w:szCs w:val="16"/>
          <w:lang w:eastAsia="ja-JP"/>
        </w:rPr>
        <w:t xml:space="preserve">19 patients between 12 months to less than 24 months of age, </w:t>
      </w:r>
      <w:r w:rsidR="00136C4D" w:rsidRPr="00A808AC">
        <w:rPr>
          <w:rFonts w:eastAsia="MS Mincho"/>
          <w:lang w:eastAsia="ja-JP"/>
        </w:rPr>
        <w:t>34</w:t>
      </w:r>
      <w:r w:rsidR="000E24CD" w:rsidRPr="00A808AC">
        <w:rPr>
          <w:rFonts w:eastAsia="MS Mincho"/>
          <w:lang w:eastAsia="ja-JP"/>
        </w:rPr>
        <w:t> </w:t>
      </w:r>
      <w:r w:rsidR="00136C4D" w:rsidRPr="00A808AC">
        <w:rPr>
          <w:rFonts w:eastAsia="MS Mincho"/>
          <w:lang w:eastAsia="ja-JP"/>
        </w:rPr>
        <w:t>patients between 2 to less than 6</w:t>
      </w:r>
      <w:r w:rsidR="000E24CD" w:rsidRPr="00A808AC">
        <w:rPr>
          <w:rFonts w:eastAsia="MS Mincho"/>
          <w:lang w:eastAsia="ja-JP"/>
        </w:rPr>
        <w:t> </w:t>
      </w:r>
      <w:r w:rsidR="00136C4D" w:rsidRPr="00A808AC">
        <w:rPr>
          <w:rFonts w:eastAsia="MS Mincho"/>
          <w:lang w:eastAsia="ja-JP"/>
        </w:rPr>
        <w:t>years of age,</w:t>
      </w:r>
      <w:r w:rsidR="00136C4D" w:rsidRPr="00A808AC">
        <w:t xml:space="preserve"> </w:t>
      </w:r>
      <w:r w:rsidRPr="00A808AC">
        <w:rPr>
          <w:iCs/>
          <w:lang w:eastAsia="ja-JP"/>
        </w:rPr>
        <w:t>61</w:t>
      </w:r>
      <w:r w:rsidR="000E24CD" w:rsidRPr="00A808AC">
        <w:rPr>
          <w:iCs/>
          <w:lang w:eastAsia="ja-JP"/>
        </w:rPr>
        <w:t> </w:t>
      </w:r>
      <w:r w:rsidRPr="00A808AC">
        <w:rPr>
          <w:iCs/>
          <w:lang w:eastAsia="ja-JP"/>
        </w:rPr>
        <w:t xml:space="preserve">patients between 6 to </w:t>
      </w:r>
      <w:r w:rsidRPr="00A808AC">
        <w:rPr>
          <w:iCs/>
          <w:lang w:eastAsia="ja-JP"/>
        </w:rPr>
        <w:t>less than 12</w:t>
      </w:r>
      <w:r w:rsidR="000E24CD" w:rsidRPr="00A808AC">
        <w:rPr>
          <w:iCs/>
          <w:lang w:eastAsia="ja-JP"/>
        </w:rPr>
        <w:t> </w:t>
      </w:r>
      <w:r w:rsidRPr="00A808AC">
        <w:rPr>
          <w:iCs/>
          <w:lang w:eastAsia="ja-JP"/>
        </w:rPr>
        <w:t>years of age and 94</w:t>
      </w:r>
      <w:r w:rsidR="000E24CD" w:rsidRPr="00A808AC">
        <w:rPr>
          <w:iCs/>
          <w:lang w:eastAsia="ja-JP"/>
        </w:rPr>
        <w:t> </w:t>
      </w:r>
      <w:r w:rsidRPr="00A808AC">
        <w:rPr>
          <w:iCs/>
          <w:lang w:eastAsia="ja-JP"/>
        </w:rPr>
        <w:t>patients between 12 to less than 18</w:t>
      </w:r>
      <w:r w:rsidR="000E24CD" w:rsidRPr="00A808AC">
        <w:rPr>
          <w:iCs/>
          <w:lang w:eastAsia="ja-JP"/>
        </w:rPr>
        <w:t> </w:t>
      </w:r>
      <w:r w:rsidRPr="00A808AC">
        <w:rPr>
          <w:iCs/>
          <w:lang w:eastAsia="ja-JP"/>
        </w:rPr>
        <w:t>years of age.</w:t>
      </w:r>
      <w:r w:rsidR="003577E0">
        <w:rPr>
          <w:iCs/>
          <w:lang w:eastAsia="ja-JP"/>
        </w:rPr>
        <w:t xml:space="preserve"> </w:t>
      </w:r>
    </w:p>
    <w:p w14:paraId="64FCABB5" w14:textId="77777777" w:rsidR="00FC5C06" w:rsidRPr="000A093B" w:rsidRDefault="00FC5C06" w:rsidP="000D02CF">
      <w:pPr>
        <w:spacing w:line="240" w:lineRule="auto"/>
      </w:pPr>
    </w:p>
    <w:p w14:paraId="4C543AC3" w14:textId="37B638F5" w:rsidR="00D66A0F" w:rsidRPr="00A808AC" w:rsidRDefault="005A3D7D" w:rsidP="000D02CF">
      <w:pPr>
        <w:spacing w:line="240" w:lineRule="auto"/>
        <w:rPr>
          <w:iCs/>
          <w:lang w:eastAsia="ja-JP"/>
        </w:rPr>
      </w:pPr>
      <w:r w:rsidRPr="00A808AC">
        <w:rPr>
          <w:iCs/>
          <w:lang w:eastAsia="ja-JP"/>
        </w:rPr>
        <w:t xml:space="preserve">The safety profile </w:t>
      </w:r>
      <w:r w:rsidR="00FC5C06">
        <w:rPr>
          <w:iCs/>
          <w:lang w:eastAsia="ja-JP"/>
        </w:rPr>
        <w:t xml:space="preserve">of ivacaftor (as monotherapy or in a combination regimen) </w:t>
      </w:r>
      <w:r w:rsidRPr="00A808AC">
        <w:rPr>
          <w:iCs/>
          <w:lang w:eastAsia="ja-JP"/>
        </w:rPr>
        <w:t xml:space="preserve">is generally consistent among </w:t>
      </w:r>
      <w:r w:rsidR="00F30F2B">
        <w:rPr>
          <w:iCs/>
          <w:lang w:eastAsia="ja-JP"/>
        </w:rPr>
        <w:t>p</w:t>
      </w:r>
      <w:r w:rsidR="00573B9A">
        <w:rPr>
          <w:iCs/>
          <w:lang w:eastAsia="ja-JP"/>
        </w:rPr>
        <w:t>a</w:t>
      </w:r>
      <w:r w:rsidR="00F30F2B">
        <w:rPr>
          <w:iCs/>
          <w:lang w:eastAsia="ja-JP"/>
        </w:rPr>
        <w:t>ediatric patients and</w:t>
      </w:r>
      <w:r w:rsidRPr="00A808AC">
        <w:rPr>
          <w:iCs/>
          <w:lang w:eastAsia="ja-JP"/>
        </w:rPr>
        <w:t xml:space="preserve"> </w:t>
      </w:r>
      <w:r w:rsidR="00FC5C06">
        <w:rPr>
          <w:iCs/>
          <w:lang w:eastAsia="ja-JP"/>
        </w:rPr>
        <w:t xml:space="preserve">is also consistent with </w:t>
      </w:r>
      <w:r w:rsidRPr="00A808AC">
        <w:rPr>
          <w:iCs/>
          <w:lang w:eastAsia="ja-JP"/>
        </w:rPr>
        <w:t>adult patients.</w:t>
      </w:r>
    </w:p>
    <w:p w14:paraId="565F15EB" w14:textId="77777777" w:rsidR="00C34FBA" w:rsidRPr="00A808AC" w:rsidRDefault="00C34FBA" w:rsidP="000D02CF">
      <w:pPr>
        <w:spacing w:line="240" w:lineRule="auto"/>
        <w:rPr>
          <w:iCs/>
          <w:lang w:eastAsia="ja-JP"/>
        </w:rPr>
      </w:pPr>
    </w:p>
    <w:p w14:paraId="18D8B25D" w14:textId="08858D75" w:rsidR="00BA6A21" w:rsidRDefault="005A3D7D" w:rsidP="00B920BD">
      <w:pPr>
        <w:spacing w:line="240" w:lineRule="auto"/>
      </w:pPr>
      <w:r>
        <w:rPr>
          <w:bCs/>
          <w:iCs/>
          <w:lang w:eastAsia="ja-JP"/>
        </w:rPr>
        <w:t xml:space="preserve">The incidence of transaminase elevations (ALT or AST) observed </w:t>
      </w:r>
      <w:r w:rsidR="002F0872">
        <w:rPr>
          <w:bCs/>
          <w:iCs/>
          <w:lang w:eastAsia="ja-JP"/>
        </w:rPr>
        <w:t>in studies</w:t>
      </w:r>
      <w:r w:rsidR="00037D5E">
        <w:rPr>
          <w:bCs/>
          <w:iCs/>
          <w:lang w:eastAsia="ja-JP"/>
        </w:rPr>
        <w:t xml:space="preserve"> 2, 5 and 6</w:t>
      </w:r>
      <w:r>
        <w:rPr>
          <w:bCs/>
          <w:iCs/>
          <w:lang w:eastAsia="ja-JP"/>
        </w:rPr>
        <w:t xml:space="preserve"> (patients aged 6</w:t>
      </w:r>
      <w:r w:rsidR="007160A3">
        <w:rPr>
          <w:bCs/>
          <w:iCs/>
          <w:lang w:eastAsia="ja-JP"/>
        </w:rPr>
        <w:t> </w:t>
      </w:r>
      <w:r>
        <w:rPr>
          <w:bCs/>
          <w:iCs/>
          <w:lang w:eastAsia="ja-JP"/>
        </w:rPr>
        <w:t>to less than 12</w:t>
      </w:r>
      <w:r w:rsidR="007160A3">
        <w:rPr>
          <w:bCs/>
          <w:iCs/>
          <w:lang w:eastAsia="ja-JP"/>
        </w:rPr>
        <w:t> </w:t>
      </w:r>
      <w:r>
        <w:rPr>
          <w:bCs/>
          <w:iCs/>
          <w:lang w:eastAsia="ja-JP"/>
        </w:rPr>
        <w:t>years), study</w:t>
      </w:r>
      <w:r w:rsidR="007160A3">
        <w:rPr>
          <w:bCs/>
          <w:iCs/>
          <w:lang w:eastAsia="ja-JP"/>
        </w:rPr>
        <w:t> </w:t>
      </w:r>
      <w:r>
        <w:rPr>
          <w:bCs/>
          <w:iCs/>
          <w:lang w:eastAsia="ja-JP"/>
        </w:rPr>
        <w:t>7 (</w:t>
      </w:r>
      <w:r w:rsidR="009B1867" w:rsidRPr="00A808AC">
        <w:rPr>
          <w:bCs/>
          <w:iCs/>
          <w:lang w:eastAsia="ja-JP"/>
        </w:rPr>
        <w:t>patients aged 2 to less than 6</w:t>
      </w:r>
      <w:r w:rsidR="000E24CD" w:rsidRPr="00A808AC">
        <w:rPr>
          <w:bCs/>
          <w:iCs/>
          <w:lang w:eastAsia="ja-JP"/>
        </w:rPr>
        <w:t> </w:t>
      </w:r>
      <w:r w:rsidR="009B1867" w:rsidRPr="00A808AC">
        <w:rPr>
          <w:bCs/>
          <w:iCs/>
          <w:lang w:eastAsia="ja-JP"/>
        </w:rPr>
        <w:t>years</w:t>
      </w:r>
      <w:r>
        <w:rPr>
          <w:bCs/>
          <w:iCs/>
          <w:lang w:eastAsia="ja-JP"/>
        </w:rPr>
        <w:t>)</w:t>
      </w:r>
      <w:r w:rsidR="009B1867" w:rsidRPr="00A808AC">
        <w:rPr>
          <w:bCs/>
          <w:iCs/>
          <w:lang w:eastAsia="ja-JP"/>
        </w:rPr>
        <w:t xml:space="preserve">, </w:t>
      </w:r>
      <w:r>
        <w:rPr>
          <w:bCs/>
          <w:iCs/>
          <w:lang w:eastAsia="ja-JP"/>
        </w:rPr>
        <w:t>and study</w:t>
      </w:r>
      <w:r w:rsidR="007160A3">
        <w:rPr>
          <w:bCs/>
          <w:iCs/>
          <w:lang w:eastAsia="ja-JP"/>
        </w:rPr>
        <w:t> </w:t>
      </w:r>
      <w:r>
        <w:rPr>
          <w:bCs/>
          <w:iCs/>
          <w:lang w:eastAsia="ja-JP"/>
        </w:rPr>
        <w:t xml:space="preserve">8 (patients </w:t>
      </w:r>
      <w:r w:rsidRPr="000A093B">
        <w:t xml:space="preserve">aged 6 to less than </w:t>
      </w:r>
      <w:r>
        <w:rPr>
          <w:bCs/>
          <w:iCs/>
          <w:lang w:eastAsia="ja-JP"/>
        </w:rPr>
        <w:t>24</w:t>
      </w:r>
      <w:r w:rsidR="007160A3">
        <w:rPr>
          <w:bCs/>
          <w:iCs/>
          <w:lang w:eastAsia="ja-JP"/>
        </w:rPr>
        <w:t> </w:t>
      </w:r>
      <w:r>
        <w:rPr>
          <w:bCs/>
          <w:iCs/>
          <w:lang w:eastAsia="ja-JP"/>
        </w:rPr>
        <w:t>months) are described in Table</w:t>
      </w:r>
      <w:r w:rsidR="007160A3">
        <w:rPr>
          <w:bCs/>
          <w:iCs/>
          <w:lang w:eastAsia="ja-JP"/>
        </w:rPr>
        <w:t> </w:t>
      </w:r>
      <w:r w:rsidR="002F0872">
        <w:rPr>
          <w:bCs/>
          <w:iCs/>
          <w:lang w:eastAsia="ja-JP"/>
        </w:rPr>
        <w:t>5</w:t>
      </w:r>
      <w:r>
        <w:rPr>
          <w:bCs/>
          <w:iCs/>
          <w:lang w:eastAsia="ja-JP"/>
        </w:rPr>
        <w:t>. In</w:t>
      </w:r>
      <w:r>
        <w:rPr>
          <w:bCs/>
          <w:iCs/>
          <w:lang w:eastAsia="ja-JP"/>
        </w:rPr>
        <w:t xml:space="preserve"> </w:t>
      </w:r>
      <w:r w:rsidR="007160A3">
        <w:rPr>
          <w:bCs/>
          <w:iCs/>
          <w:lang w:eastAsia="ja-JP"/>
        </w:rPr>
        <w:t>the placebo controlled studies</w:t>
      </w:r>
      <w:r w:rsidRPr="000A093B">
        <w:t xml:space="preserve">, the incidence of transaminase elevations </w:t>
      </w:r>
      <w:r>
        <w:rPr>
          <w:bCs/>
          <w:iCs/>
          <w:lang w:eastAsia="ja-JP"/>
        </w:rPr>
        <w:t>were similar between treatment with ivacaftor (15.0%)</w:t>
      </w:r>
      <w:r w:rsidRPr="000A093B">
        <w:t xml:space="preserve"> and </w:t>
      </w:r>
      <w:r>
        <w:rPr>
          <w:bCs/>
          <w:iCs/>
          <w:lang w:eastAsia="ja-JP"/>
        </w:rPr>
        <w:t xml:space="preserve">placebo (14.6%). Across all populations, </w:t>
      </w:r>
      <w:r>
        <w:rPr>
          <w:bCs/>
          <w:iCs/>
          <w:lang w:val="en-US" w:eastAsia="ja-JP"/>
        </w:rPr>
        <w:t>p</w:t>
      </w:r>
      <w:r w:rsidRPr="00A808AC">
        <w:rPr>
          <w:bCs/>
          <w:iCs/>
          <w:lang w:val="en-US" w:eastAsia="ja-JP"/>
        </w:rPr>
        <w:t xml:space="preserve">eak LFT elevations </w:t>
      </w:r>
      <w:r w:rsidRPr="00A808AC">
        <w:rPr>
          <w:bCs/>
          <w:iCs/>
          <w:lang w:eastAsia="ja-JP"/>
        </w:rPr>
        <w:t>returned to baseline levels following interruption</w:t>
      </w:r>
      <w:r>
        <w:rPr>
          <w:bCs/>
          <w:iCs/>
          <w:lang w:eastAsia="ja-JP"/>
        </w:rPr>
        <w:t xml:space="preserve">, and </w:t>
      </w:r>
      <w:r>
        <w:rPr>
          <w:bCs/>
          <w:iCs/>
          <w:lang w:val="en-US" w:eastAsia="ja-JP"/>
        </w:rPr>
        <w:t>i</w:t>
      </w:r>
      <w:r w:rsidRPr="00A808AC">
        <w:rPr>
          <w:bCs/>
          <w:iCs/>
          <w:lang w:val="en-US" w:eastAsia="ja-JP"/>
        </w:rPr>
        <w:t>n almo</w:t>
      </w:r>
      <w:r w:rsidRPr="00A808AC">
        <w:rPr>
          <w:bCs/>
          <w:iCs/>
          <w:lang w:val="en-US" w:eastAsia="ja-JP"/>
        </w:rPr>
        <w:t xml:space="preserve">st all instances where dosing was interrupted for elevated transaminases and subsequently resumed, ivacaftor dosing was able to be resumed successfully </w:t>
      </w:r>
      <w:r w:rsidRPr="00A808AC">
        <w:rPr>
          <w:bCs/>
          <w:iCs/>
          <w:lang w:eastAsia="ja-JP"/>
        </w:rPr>
        <w:t xml:space="preserve">(see section 4.4). </w:t>
      </w:r>
      <w:r w:rsidRPr="00A808AC">
        <w:rPr>
          <w:bCs/>
          <w:lang w:val="en-US"/>
        </w:rPr>
        <w:t>Cases suggestive of positive rechallenge were observed</w:t>
      </w:r>
      <w:r w:rsidRPr="00A808AC">
        <w:rPr>
          <w:bCs/>
        </w:rPr>
        <w:t>.</w:t>
      </w:r>
      <w:r>
        <w:rPr>
          <w:bCs/>
        </w:rPr>
        <w:t xml:space="preserve"> In study</w:t>
      </w:r>
      <w:r w:rsidR="007160A3">
        <w:rPr>
          <w:bCs/>
        </w:rPr>
        <w:t> </w:t>
      </w:r>
      <w:r>
        <w:rPr>
          <w:bCs/>
        </w:rPr>
        <w:t>7</w:t>
      </w:r>
      <w:r w:rsidR="007160A3">
        <w:rPr>
          <w:bCs/>
        </w:rPr>
        <w:t xml:space="preserve"> </w:t>
      </w:r>
      <w:r>
        <w:rPr>
          <w:bCs/>
          <w:iCs/>
          <w:lang w:eastAsia="ja-JP"/>
        </w:rPr>
        <w:t>i</w:t>
      </w:r>
      <w:r w:rsidR="009B1867" w:rsidRPr="00A808AC">
        <w:rPr>
          <w:bCs/>
          <w:iCs/>
          <w:lang w:eastAsia="ja-JP"/>
        </w:rPr>
        <w:t xml:space="preserve">vacaftor was permanently discontinued in one patient. </w:t>
      </w:r>
      <w:r>
        <w:rPr>
          <w:bCs/>
        </w:rPr>
        <w:t>In study</w:t>
      </w:r>
      <w:r w:rsidR="007160A3">
        <w:rPr>
          <w:bCs/>
        </w:rPr>
        <w:t> </w:t>
      </w:r>
      <w:r>
        <w:rPr>
          <w:bCs/>
        </w:rPr>
        <w:t xml:space="preserve">8 </w:t>
      </w:r>
      <w:r>
        <w:t>n</w:t>
      </w:r>
      <w:r w:rsidR="009B1867" w:rsidRPr="002A2D43">
        <w:t xml:space="preserve">o patients had elevations in total bilirubin </w:t>
      </w:r>
      <w:r w:rsidR="00BD7624">
        <w:t>or</w:t>
      </w:r>
      <w:r w:rsidR="009B1867" w:rsidRPr="002A2D43">
        <w:t xml:space="preserve"> discontinued ivacaftor treatment due to transaminase elevations</w:t>
      </w:r>
      <w:r w:rsidR="00BD7624">
        <w:t xml:space="preserve"> in either cohort</w:t>
      </w:r>
      <w:r w:rsidR="009B1867">
        <w:t xml:space="preserve"> </w:t>
      </w:r>
      <w:r w:rsidR="009B1867" w:rsidRPr="002A2D43">
        <w:t>(see section</w:t>
      </w:r>
      <w:r w:rsidR="009B1867">
        <w:t> </w:t>
      </w:r>
      <w:r w:rsidR="009B1867" w:rsidRPr="002A2D43">
        <w:t>4.4 for management of elevated transaminases).</w:t>
      </w:r>
    </w:p>
    <w:p w14:paraId="4C3F5308" w14:textId="77777777" w:rsidR="002F0872" w:rsidRDefault="002F0872" w:rsidP="002F0872">
      <w:pPr>
        <w:rPr>
          <w:b/>
          <w:bCs/>
        </w:rPr>
      </w:pPr>
    </w:p>
    <w:p w14:paraId="34612B0E" w14:textId="6A113046" w:rsidR="000029CE" w:rsidRPr="00227748" w:rsidRDefault="005A3D7D" w:rsidP="000029CE">
      <w:pPr>
        <w:spacing w:after="240"/>
        <w:rPr>
          <w:b/>
          <w:bCs/>
        </w:rPr>
      </w:pPr>
      <w:r w:rsidRPr="00227748">
        <w:rPr>
          <w:b/>
          <w:bCs/>
        </w:rPr>
        <w:t>Table</w:t>
      </w:r>
      <w:r w:rsidR="007160A3">
        <w:rPr>
          <w:b/>
          <w:bCs/>
        </w:rPr>
        <w:t> </w:t>
      </w:r>
      <w:r w:rsidR="002F0872">
        <w:rPr>
          <w:b/>
          <w:bCs/>
        </w:rPr>
        <w:t>5</w:t>
      </w:r>
      <w:r w:rsidRPr="00227748">
        <w:rPr>
          <w:b/>
          <w:bCs/>
        </w:rPr>
        <w:t xml:space="preserve">: Transaminase elevations in patients </w:t>
      </w:r>
      <w:r w:rsidR="00E57A2C">
        <w:rPr>
          <w:b/>
          <w:bCs/>
        </w:rPr>
        <w:t>4</w:t>
      </w:r>
      <w:r w:rsidR="007160A3">
        <w:rPr>
          <w:b/>
          <w:bCs/>
        </w:rPr>
        <w:t> </w:t>
      </w:r>
      <w:r w:rsidRPr="00227748">
        <w:rPr>
          <w:b/>
          <w:bCs/>
        </w:rPr>
        <w:t xml:space="preserve">months to &lt; </w:t>
      </w:r>
      <w:r>
        <w:rPr>
          <w:b/>
          <w:bCs/>
        </w:rPr>
        <w:t>12</w:t>
      </w:r>
      <w:r w:rsidR="007160A3">
        <w:rPr>
          <w:b/>
          <w:bCs/>
        </w:rPr>
        <w:t> </w:t>
      </w:r>
      <w:r w:rsidRPr="00227748">
        <w:rPr>
          <w:b/>
          <w:bCs/>
        </w:rPr>
        <w:t xml:space="preserve">years </w:t>
      </w:r>
      <w:r>
        <w:rPr>
          <w:b/>
          <w:bCs/>
        </w:rPr>
        <w:t>treated with ivacaftor as monotherapy</w:t>
      </w:r>
    </w:p>
    <w:tbl>
      <w:tblPr>
        <w:tblStyle w:val="TableGrid"/>
        <w:tblW w:w="0" w:type="auto"/>
        <w:tblInd w:w="137" w:type="dxa"/>
        <w:tblLook w:val="04A0" w:firstRow="1" w:lastRow="0" w:firstColumn="1" w:lastColumn="0" w:noHBand="0" w:noVBand="1"/>
      </w:tblPr>
      <w:tblGrid>
        <w:gridCol w:w="2422"/>
        <w:gridCol w:w="993"/>
        <w:gridCol w:w="1619"/>
        <w:gridCol w:w="1620"/>
        <w:gridCol w:w="1620"/>
      </w:tblGrid>
      <w:tr w:rsidR="00476058" w14:paraId="143033FC" w14:textId="77777777" w:rsidTr="0010506F">
        <w:trPr>
          <w:trHeight w:val="579"/>
        </w:trPr>
        <w:tc>
          <w:tcPr>
            <w:tcW w:w="2422" w:type="dxa"/>
          </w:tcPr>
          <w:p w14:paraId="0EBD8710" w14:textId="77777777" w:rsidR="000029CE" w:rsidRPr="00227748" w:rsidRDefault="000029CE" w:rsidP="0010506F">
            <w:pPr>
              <w:rPr>
                <w:b/>
                <w:bCs/>
              </w:rPr>
            </w:pPr>
          </w:p>
        </w:tc>
        <w:tc>
          <w:tcPr>
            <w:tcW w:w="993" w:type="dxa"/>
          </w:tcPr>
          <w:p w14:paraId="17F33586" w14:textId="77777777" w:rsidR="000029CE" w:rsidRPr="00227748" w:rsidRDefault="005A3D7D" w:rsidP="0010506F">
            <w:pPr>
              <w:jc w:val="center"/>
              <w:rPr>
                <w:b/>
                <w:bCs/>
              </w:rPr>
            </w:pPr>
            <w:r w:rsidRPr="00227748">
              <w:rPr>
                <w:b/>
                <w:bCs/>
              </w:rPr>
              <w:t>n</w:t>
            </w:r>
          </w:p>
        </w:tc>
        <w:tc>
          <w:tcPr>
            <w:tcW w:w="1619" w:type="dxa"/>
          </w:tcPr>
          <w:p w14:paraId="68591ECF" w14:textId="77777777" w:rsidR="000029CE" w:rsidRPr="00227748" w:rsidRDefault="005A3D7D" w:rsidP="0010506F">
            <w:pPr>
              <w:jc w:val="center"/>
              <w:rPr>
                <w:b/>
                <w:bCs/>
              </w:rPr>
            </w:pPr>
            <w:r>
              <w:rPr>
                <w:b/>
                <w:bCs/>
              </w:rPr>
              <w:t xml:space="preserve">% of Patients </w:t>
            </w:r>
            <w:r w:rsidRPr="00227748">
              <w:rPr>
                <w:b/>
                <w:bCs/>
              </w:rPr>
              <w:t xml:space="preserve">&gt; 3 </w:t>
            </w:r>
            <w:r>
              <w:rPr>
                <w:b/>
                <w:bCs/>
              </w:rPr>
              <w:t xml:space="preserve">x </w:t>
            </w:r>
            <w:r w:rsidRPr="00227748">
              <w:rPr>
                <w:b/>
                <w:bCs/>
              </w:rPr>
              <w:t>ULN</w:t>
            </w:r>
            <w:r>
              <w:rPr>
                <w:b/>
                <w:bCs/>
              </w:rPr>
              <w:t xml:space="preserve"> </w:t>
            </w:r>
          </w:p>
        </w:tc>
        <w:tc>
          <w:tcPr>
            <w:tcW w:w="1620" w:type="dxa"/>
          </w:tcPr>
          <w:p w14:paraId="3DFFCFD4" w14:textId="77777777" w:rsidR="000029CE" w:rsidRDefault="005A3D7D" w:rsidP="0010506F">
            <w:pPr>
              <w:jc w:val="center"/>
              <w:rPr>
                <w:b/>
                <w:bCs/>
              </w:rPr>
            </w:pPr>
            <w:r>
              <w:rPr>
                <w:b/>
                <w:bCs/>
              </w:rPr>
              <w:t>% of Patients &gt;5 x ULN</w:t>
            </w:r>
          </w:p>
        </w:tc>
        <w:tc>
          <w:tcPr>
            <w:tcW w:w="1620" w:type="dxa"/>
          </w:tcPr>
          <w:p w14:paraId="19D4CFAF" w14:textId="77777777" w:rsidR="000029CE" w:rsidRPr="00227748" w:rsidRDefault="005A3D7D" w:rsidP="0010506F">
            <w:pPr>
              <w:jc w:val="center"/>
              <w:rPr>
                <w:b/>
                <w:bCs/>
              </w:rPr>
            </w:pPr>
            <w:r>
              <w:rPr>
                <w:b/>
                <w:bCs/>
              </w:rPr>
              <w:t xml:space="preserve">% of Patients </w:t>
            </w:r>
            <w:r w:rsidRPr="00227748">
              <w:rPr>
                <w:b/>
                <w:bCs/>
              </w:rPr>
              <w:t xml:space="preserve">&gt; 8 </w:t>
            </w:r>
            <w:r>
              <w:rPr>
                <w:b/>
                <w:bCs/>
              </w:rPr>
              <w:t xml:space="preserve">x </w:t>
            </w:r>
            <w:r w:rsidRPr="00227748">
              <w:rPr>
                <w:b/>
                <w:bCs/>
              </w:rPr>
              <w:t>ULN</w:t>
            </w:r>
          </w:p>
        </w:tc>
      </w:tr>
      <w:tr w:rsidR="00476058" w14:paraId="016E3663" w14:textId="77777777" w:rsidTr="0010506F">
        <w:trPr>
          <w:trHeight w:val="287"/>
        </w:trPr>
        <w:tc>
          <w:tcPr>
            <w:tcW w:w="2422" w:type="dxa"/>
          </w:tcPr>
          <w:p w14:paraId="184701FF" w14:textId="77777777" w:rsidR="000029CE" w:rsidRDefault="005A3D7D" w:rsidP="0010506F">
            <w:r>
              <w:t>6 to &lt;12 years</w:t>
            </w:r>
          </w:p>
        </w:tc>
        <w:tc>
          <w:tcPr>
            <w:tcW w:w="993" w:type="dxa"/>
          </w:tcPr>
          <w:p w14:paraId="772456FF" w14:textId="77777777" w:rsidR="000029CE" w:rsidRDefault="005A3D7D" w:rsidP="0010506F">
            <w:pPr>
              <w:jc w:val="center"/>
            </w:pPr>
            <w:r>
              <w:t>40</w:t>
            </w:r>
          </w:p>
        </w:tc>
        <w:tc>
          <w:tcPr>
            <w:tcW w:w="1619" w:type="dxa"/>
          </w:tcPr>
          <w:p w14:paraId="482A59CA" w14:textId="77777777" w:rsidR="000029CE" w:rsidRDefault="005A3D7D" w:rsidP="0010506F">
            <w:pPr>
              <w:jc w:val="center"/>
            </w:pPr>
            <w:r>
              <w:t>15.0% (6)</w:t>
            </w:r>
          </w:p>
        </w:tc>
        <w:tc>
          <w:tcPr>
            <w:tcW w:w="1620" w:type="dxa"/>
          </w:tcPr>
          <w:p w14:paraId="1BC37C9E" w14:textId="77777777" w:rsidR="000029CE" w:rsidRDefault="005A3D7D" w:rsidP="0010506F">
            <w:pPr>
              <w:jc w:val="center"/>
            </w:pPr>
            <w:r>
              <w:t>2.5% (1)</w:t>
            </w:r>
          </w:p>
        </w:tc>
        <w:tc>
          <w:tcPr>
            <w:tcW w:w="1620" w:type="dxa"/>
          </w:tcPr>
          <w:p w14:paraId="359071E5" w14:textId="77777777" w:rsidR="000029CE" w:rsidRDefault="005A3D7D" w:rsidP="0010506F">
            <w:pPr>
              <w:jc w:val="center"/>
            </w:pPr>
            <w:r>
              <w:t>2.5% (1)</w:t>
            </w:r>
          </w:p>
        </w:tc>
      </w:tr>
      <w:tr w:rsidR="00476058" w14:paraId="44B10D0F" w14:textId="77777777" w:rsidTr="0010506F">
        <w:trPr>
          <w:trHeight w:val="287"/>
        </w:trPr>
        <w:tc>
          <w:tcPr>
            <w:tcW w:w="2422" w:type="dxa"/>
          </w:tcPr>
          <w:p w14:paraId="7C291F6B" w14:textId="77777777" w:rsidR="000029CE" w:rsidRDefault="005A3D7D" w:rsidP="0010506F">
            <w:r>
              <w:t>2 to &lt;6 years</w:t>
            </w:r>
          </w:p>
        </w:tc>
        <w:tc>
          <w:tcPr>
            <w:tcW w:w="993" w:type="dxa"/>
          </w:tcPr>
          <w:p w14:paraId="50A75990" w14:textId="77777777" w:rsidR="000029CE" w:rsidRDefault="005A3D7D" w:rsidP="0010506F">
            <w:pPr>
              <w:jc w:val="center"/>
            </w:pPr>
            <w:r>
              <w:t>34</w:t>
            </w:r>
          </w:p>
        </w:tc>
        <w:tc>
          <w:tcPr>
            <w:tcW w:w="1619" w:type="dxa"/>
          </w:tcPr>
          <w:p w14:paraId="3F23BAE9" w14:textId="77777777" w:rsidR="000029CE" w:rsidRDefault="005A3D7D" w:rsidP="0010506F">
            <w:pPr>
              <w:jc w:val="center"/>
            </w:pPr>
            <w:r>
              <w:t>14.7% (5)</w:t>
            </w:r>
          </w:p>
        </w:tc>
        <w:tc>
          <w:tcPr>
            <w:tcW w:w="1620" w:type="dxa"/>
          </w:tcPr>
          <w:p w14:paraId="58C64F11" w14:textId="7EFB27DB" w:rsidR="000029CE" w:rsidRDefault="005A3D7D" w:rsidP="0010506F">
            <w:pPr>
              <w:jc w:val="center"/>
            </w:pPr>
            <w:r>
              <w:t>14.7</w:t>
            </w:r>
            <w:r w:rsidR="0056172A">
              <w:t>%</w:t>
            </w:r>
            <w:r>
              <w:t xml:space="preserve"> (5)</w:t>
            </w:r>
          </w:p>
        </w:tc>
        <w:tc>
          <w:tcPr>
            <w:tcW w:w="1620" w:type="dxa"/>
          </w:tcPr>
          <w:p w14:paraId="4AD41186" w14:textId="77777777" w:rsidR="000029CE" w:rsidRDefault="005A3D7D" w:rsidP="0010506F">
            <w:pPr>
              <w:jc w:val="center"/>
            </w:pPr>
            <w:r>
              <w:t>14.7% (5)</w:t>
            </w:r>
          </w:p>
        </w:tc>
      </w:tr>
      <w:tr w:rsidR="00476058" w14:paraId="44F4AA2A" w14:textId="77777777" w:rsidTr="0010506F">
        <w:trPr>
          <w:trHeight w:val="287"/>
        </w:trPr>
        <w:tc>
          <w:tcPr>
            <w:tcW w:w="2422" w:type="dxa"/>
          </w:tcPr>
          <w:p w14:paraId="574EC7F2" w14:textId="77777777" w:rsidR="000029CE" w:rsidRDefault="005A3D7D" w:rsidP="0010506F">
            <w:r>
              <w:t>12 to &lt;24 months</w:t>
            </w:r>
          </w:p>
        </w:tc>
        <w:tc>
          <w:tcPr>
            <w:tcW w:w="993" w:type="dxa"/>
          </w:tcPr>
          <w:p w14:paraId="04598468" w14:textId="77777777" w:rsidR="000029CE" w:rsidRDefault="005A3D7D" w:rsidP="0010506F">
            <w:pPr>
              <w:jc w:val="center"/>
            </w:pPr>
            <w:r>
              <w:t>18</w:t>
            </w:r>
          </w:p>
        </w:tc>
        <w:tc>
          <w:tcPr>
            <w:tcW w:w="1619" w:type="dxa"/>
          </w:tcPr>
          <w:p w14:paraId="79393610" w14:textId="77777777" w:rsidR="000029CE" w:rsidRDefault="005A3D7D" w:rsidP="0010506F">
            <w:pPr>
              <w:jc w:val="center"/>
            </w:pPr>
            <w:r>
              <w:t>27.8% (5)</w:t>
            </w:r>
          </w:p>
        </w:tc>
        <w:tc>
          <w:tcPr>
            <w:tcW w:w="1620" w:type="dxa"/>
          </w:tcPr>
          <w:p w14:paraId="22DBEB11" w14:textId="77777777" w:rsidR="000029CE" w:rsidRDefault="005A3D7D" w:rsidP="0010506F">
            <w:pPr>
              <w:jc w:val="center"/>
            </w:pPr>
            <w:r>
              <w:t>11.1% (2)</w:t>
            </w:r>
          </w:p>
        </w:tc>
        <w:tc>
          <w:tcPr>
            <w:tcW w:w="1620" w:type="dxa"/>
          </w:tcPr>
          <w:p w14:paraId="69D5AA57" w14:textId="77777777" w:rsidR="000029CE" w:rsidRDefault="005A3D7D" w:rsidP="0010506F">
            <w:pPr>
              <w:jc w:val="center"/>
            </w:pPr>
            <w:r>
              <w:t>11.1% (2)</w:t>
            </w:r>
          </w:p>
        </w:tc>
      </w:tr>
      <w:tr w:rsidR="00476058" w14:paraId="44791A1C" w14:textId="77777777" w:rsidTr="0010506F">
        <w:trPr>
          <w:trHeight w:val="274"/>
        </w:trPr>
        <w:tc>
          <w:tcPr>
            <w:tcW w:w="2422" w:type="dxa"/>
          </w:tcPr>
          <w:p w14:paraId="7930EFEF" w14:textId="77777777" w:rsidR="000029CE" w:rsidRDefault="005A3D7D" w:rsidP="0010506F">
            <w:r>
              <w:t>6 to &lt;12 months</w:t>
            </w:r>
          </w:p>
        </w:tc>
        <w:tc>
          <w:tcPr>
            <w:tcW w:w="993" w:type="dxa"/>
          </w:tcPr>
          <w:p w14:paraId="6571AC7E" w14:textId="77777777" w:rsidR="000029CE" w:rsidRDefault="005A3D7D" w:rsidP="0010506F">
            <w:pPr>
              <w:jc w:val="center"/>
            </w:pPr>
            <w:r>
              <w:t>11</w:t>
            </w:r>
          </w:p>
        </w:tc>
        <w:tc>
          <w:tcPr>
            <w:tcW w:w="1619" w:type="dxa"/>
          </w:tcPr>
          <w:p w14:paraId="54F3439A" w14:textId="77777777" w:rsidR="000029CE" w:rsidRDefault="005A3D7D" w:rsidP="0010506F">
            <w:pPr>
              <w:jc w:val="center"/>
            </w:pPr>
            <w:r>
              <w:t>9.1% (1)</w:t>
            </w:r>
          </w:p>
        </w:tc>
        <w:tc>
          <w:tcPr>
            <w:tcW w:w="1620" w:type="dxa"/>
          </w:tcPr>
          <w:p w14:paraId="13753F05" w14:textId="77777777" w:rsidR="000029CE" w:rsidRDefault="005A3D7D" w:rsidP="0010506F">
            <w:pPr>
              <w:jc w:val="center"/>
            </w:pPr>
            <w:r>
              <w:t>0.0% (0)</w:t>
            </w:r>
          </w:p>
        </w:tc>
        <w:tc>
          <w:tcPr>
            <w:tcW w:w="1620" w:type="dxa"/>
          </w:tcPr>
          <w:p w14:paraId="13FF4EA7" w14:textId="77777777" w:rsidR="000029CE" w:rsidRDefault="005A3D7D" w:rsidP="0010506F">
            <w:pPr>
              <w:jc w:val="center"/>
            </w:pPr>
            <w:r>
              <w:t>0.0% (0)</w:t>
            </w:r>
          </w:p>
        </w:tc>
      </w:tr>
      <w:tr w:rsidR="00476058" w14:paraId="09333C93" w14:textId="77777777" w:rsidTr="0010506F">
        <w:trPr>
          <w:trHeight w:val="274"/>
        </w:trPr>
        <w:tc>
          <w:tcPr>
            <w:tcW w:w="2422" w:type="dxa"/>
          </w:tcPr>
          <w:p w14:paraId="3A8D0EA6" w14:textId="6094E590" w:rsidR="004F0618" w:rsidRDefault="005A3D7D" w:rsidP="0010506F">
            <w:r>
              <w:t>4 to &lt;6 months</w:t>
            </w:r>
          </w:p>
        </w:tc>
        <w:tc>
          <w:tcPr>
            <w:tcW w:w="993" w:type="dxa"/>
          </w:tcPr>
          <w:p w14:paraId="5077D457" w14:textId="4B37B182" w:rsidR="004F0618" w:rsidRDefault="005A3D7D" w:rsidP="0010506F">
            <w:pPr>
              <w:jc w:val="center"/>
            </w:pPr>
            <w:r>
              <w:t>6</w:t>
            </w:r>
          </w:p>
        </w:tc>
        <w:tc>
          <w:tcPr>
            <w:tcW w:w="1619" w:type="dxa"/>
          </w:tcPr>
          <w:p w14:paraId="2019E5E0" w14:textId="3F14087C" w:rsidR="004F0618" w:rsidRDefault="005A3D7D" w:rsidP="0010506F">
            <w:pPr>
              <w:jc w:val="center"/>
            </w:pPr>
            <w:r>
              <w:t>0.0% (0)</w:t>
            </w:r>
          </w:p>
        </w:tc>
        <w:tc>
          <w:tcPr>
            <w:tcW w:w="1620" w:type="dxa"/>
          </w:tcPr>
          <w:p w14:paraId="1C9474CE" w14:textId="7D7EA5A0" w:rsidR="004F0618" w:rsidRDefault="005A3D7D" w:rsidP="0010506F">
            <w:pPr>
              <w:jc w:val="center"/>
            </w:pPr>
            <w:r>
              <w:t>0.0% (0)</w:t>
            </w:r>
          </w:p>
        </w:tc>
        <w:tc>
          <w:tcPr>
            <w:tcW w:w="1620" w:type="dxa"/>
          </w:tcPr>
          <w:p w14:paraId="0651BFAE" w14:textId="7EA4E448" w:rsidR="004F0618" w:rsidRDefault="005A3D7D" w:rsidP="0010506F">
            <w:pPr>
              <w:jc w:val="center"/>
            </w:pPr>
            <w:r>
              <w:t>0.0% (0)</w:t>
            </w:r>
          </w:p>
        </w:tc>
      </w:tr>
    </w:tbl>
    <w:p w14:paraId="08FD8E63" w14:textId="77777777" w:rsidR="008C5FC7" w:rsidRPr="000A093B" w:rsidRDefault="008C5FC7" w:rsidP="000A093B">
      <w:pPr>
        <w:pStyle w:val="labeltext"/>
        <w:keepNext/>
        <w:rPr>
          <w:u w:val="single"/>
        </w:rPr>
      </w:pPr>
    </w:p>
    <w:p w14:paraId="024C1F72" w14:textId="77777777" w:rsidR="00F976E8" w:rsidRDefault="005A3D7D" w:rsidP="000A093B">
      <w:pPr>
        <w:keepNext/>
        <w:spacing w:line="240" w:lineRule="auto"/>
        <w:rPr>
          <w:u w:val="single"/>
        </w:rPr>
      </w:pPr>
      <w:r w:rsidRPr="00A808AC">
        <w:rPr>
          <w:u w:val="single"/>
        </w:rPr>
        <w:t>Reporting of suspected adverse reactions</w:t>
      </w:r>
    </w:p>
    <w:p w14:paraId="3D5F03B9" w14:textId="77777777" w:rsidR="00223101" w:rsidRPr="00A808AC" w:rsidRDefault="00223101" w:rsidP="000A093B">
      <w:pPr>
        <w:keepNext/>
        <w:spacing w:line="240" w:lineRule="auto"/>
        <w:rPr>
          <w:u w:val="single"/>
        </w:rPr>
      </w:pPr>
    </w:p>
    <w:p w14:paraId="011EA99A" w14:textId="77777777" w:rsidR="00F976E8" w:rsidRPr="00A808AC" w:rsidRDefault="005A3D7D" w:rsidP="000A093B">
      <w:pPr>
        <w:keepNext/>
        <w:spacing w:line="240" w:lineRule="auto"/>
      </w:pPr>
      <w:r w:rsidRPr="00A808AC">
        <w:t>Reporting suspected adverse reactions after authorisation of the medicinal product is important. It allows continued monitoring of the benefit/risk balance of the medicinal product. Healthcare professionals are asked to report any suspected adverse reactio</w:t>
      </w:r>
      <w:r w:rsidRPr="00A808AC">
        <w:t xml:space="preserve">ns via </w:t>
      </w:r>
      <w:r w:rsidRPr="00ED1D45">
        <w:rPr>
          <w:highlight w:val="lightGray"/>
        </w:rPr>
        <w:t xml:space="preserve">the national reporting system listed in </w:t>
      </w:r>
      <w:hyperlink r:id="rId14" w:history="1">
        <w:r w:rsidRPr="00FD10F5">
          <w:rPr>
            <w:rStyle w:val="Hyperlink"/>
            <w:color w:val="auto"/>
            <w:highlight w:val="lightGray"/>
          </w:rPr>
          <w:t>Appendix V</w:t>
        </w:r>
      </w:hyperlink>
      <w:r w:rsidRPr="00A808AC">
        <w:t>.</w:t>
      </w:r>
    </w:p>
    <w:p w14:paraId="105D37D0" w14:textId="77777777" w:rsidR="00F976E8" w:rsidRPr="00A808AC" w:rsidRDefault="00F976E8" w:rsidP="000D02CF">
      <w:pPr>
        <w:spacing w:line="240" w:lineRule="auto"/>
      </w:pPr>
    </w:p>
    <w:p w14:paraId="6332E93F" w14:textId="77777777" w:rsidR="00F976E8" w:rsidRPr="009955AF" w:rsidRDefault="005A3D7D" w:rsidP="00BA47B4">
      <w:pPr>
        <w:pStyle w:val="Heading2"/>
        <w:spacing w:before="0" w:after="0"/>
      </w:pPr>
      <w:r w:rsidRPr="00BA47B4">
        <w:rPr>
          <w:sz w:val="22"/>
        </w:rPr>
        <w:t>4.9</w:t>
      </w:r>
      <w:r w:rsidRPr="00BA47B4">
        <w:rPr>
          <w:sz w:val="22"/>
        </w:rPr>
        <w:tab/>
        <w:t>Overdose</w:t>
      </w:r>
    </w:p>
    <w:p w14:paraId="332B148E" w14:textId="77777777" w:rsidR="00F976E8" w:rsidRPr="00A808AC" w:rsidRDefault="00F976E8" w:rsidP="000D02CF">
      <w:pPr>
        <w:keepNext/>
        <w:numPr>
          <w:ilvl w:val="12"/>
          <w:numId w:val="0"/>
        </w:numPr>
        <w:spacing w:line="240" w:lineRule="auto"/>
      </w:pPr>
    </w:p>
    <w:p w14:paraId="16C054B8" w14:textId="77777777" w:rsidR="00F976E8" w:rsidRPr="00A808AC" w:rsidRDefault="005A3D7D" w:rsidP="000D02CF">
      <w:pPr>
        <w:pStyle w:val="labeltext"/>
        <w:keepNext/>
        <w:rPr>
          <w:sz w:val="22"/>
          <w:szCs w:val="22"/>
          <w:lang w:val="en-GB"/>
        </w:rPr>
      </w:pPr>
      <w:r w:rsidRPr="00A808AC">
        <w:rPr>
          <w:sz w:val="22"/>
          <w:szCs w:val="22"/>
          <w:lang w:val="en-GB"/>
        </w:rPr>
        <w:t xml:space="preserve">No specific antidote is available for overdose with </w:t>
      </w:r>
      <w:r w:rsidR="008939B7" w:rsidRPr="00A808AC">
        <w:rPr>
          <w:sz w:val="22"/>
          <w:szCs w:val="22"/>
          <w:lang w:val="en-GB"/>
        </w:rPr>
        <w:t>ivacaftor</w:t>
      </w:r>
      <w:r w:rsidRPr="00A808AC">
        <w:rPr>
          <w:sz w:val="22"/>
          <w:szCs w:val="22"/>
          <w:lang w:val="en-GB"/>
        </w:rPr>
        <w:t>. Treatment of overdose consists of general supportive measures including monitoring of vital signs, liver function tests and observation of the clinical status of the patient.</w:t>
      </w:r>
    </w:p>
    <w:bookmarkEnd w:id="5"/>
    <w:p w14:paraId="6B7ED51B" w14:textId="77777777" w:rsidR="00F976E8" w:rsidRPr="00A808AC" w:rsidRDefault="00F976E8" w:rsidP="000D02CF">
      <w:pPr>
        <w:numPr>
          <w:ilvl w:val="12"/>
          <w:numId w:val="0"/>
        </w:numPr>
        <w:spacing w:line="240" w:lineRule="auto"/>
        <w:ind w:right="-2"/>
        <w:rPr>
          <w:iCs/>
        </w:rPr>
      </w:pPr>
    </w:p>
    <w:p w14:paraId="7BC26AD6" w14:textId="77777777" w:rsidR="00F976E8" w:rsidRPr="00A808AC" w:rsidRDefault="00F976E8" w:rsidP="000D02CF">
      <w:pPr>
        <w:numPr>
          <w:ilvl w:val="12"/>
          <w:numId w:val="0"/>
        </w:numPr>
        <w:spacing w:line="240" w:lineRule="auto"/>
        <w:ind w:right="-2"/>
        <w:rPr>
          <w:iCs/>
        </w:rPr>
      </w:pPr>
    </w:p>
    <w:p w14:paraId="6C8981A9" w14:textId="77777777" w:rsidR="00F976E8" w:rsidRPr="00BA47B4" w:rsidRDefault="005A3D7D" w:rsidP="00A0798C">
      <w:pPr>
        <w:pStyle w:val="Heading1"/>
        <w:spacing w:before="0" w:after="0" w:line="240" w:lineRule="auto"/>
      </w:pPr>
      <w:r w:rsidRPr="006C4477">
        <w:rPr>
          <w:rFonts w:ascii="Times New Roman" w:hAnsi="Times New Roman"/>
          <w:sz w:val="22"/>
        </w:rPr>
        <w:t>5.</w:t>
      </w:r>
      <w:r w:rsidRPr="006C4477">
        <w:rPr>
          <w:rFonts w:ascii="Times New Roman" w:hAnsi="Times New Roman"/>
          <w:sz w:val="22"/>
        </w:rPr>
        <w:tab/>
      </w:r>
      <w:r w:rsidRPr="006C4477">
        <w:rPr>
          <w:rFonts w:ascii="Times New Roman" w:hAnsi="Times New Roman"/>
          <w:sz w:val="22"/>
        </w:rPr>
        <w:t>PHARMACOLOGICAL PROPERTIES</w:t>
      </w:r>
    </w:p>
    <w:p w14:paraId="72401C37" w14:textId="77777777" w:rsidR="00F976E8" w:rsidRPr="00A808AC" w:rsidRDefault="00F976E8" w:rsidP="000A093B">
      <w:pPr>
        <w:keepNext/>
        <w:numPr>
          <w:ilvl w:val="12"/>
          <w:numId w:val="0"/>
        </w:numPr>
        <w:spacing w:line="240" w:lineRule="auto"/>
        <w:ind w:right="-2"/>
      </w:pPr>
    </w:p>
    <w:p w14:paraId="20875282" w14:textId="77777777" w:rsidR="00F976E8" w:rsidRPr="00A808AC" w:rsidRDefault="005A3D7D" w:rsidP="000A093B">
      <w:pPr>
        <w:keepNext/>
        <w:numPr>
          <w:ilvl w:val="1"/>
          <w:numId w:val="8"/>
        </w:numPr>
        <w:suppressLineNumbers/>
        <w:spacing w:line="240" w:lineRule="auto"/>
        <w:outlineLvl w:val="1"/>
        <w:rPr>
          <w:b/>
          <w:bCs/>
        </w:rPr>
      </w:pPr>
      <w:r w:rsidRPr="00A808AC">
        <w:rPr>
          <w:b/>
          <w:bCs/>
        </w:rPr>
        <w:t>Pharmacodynamic properties</w:t>
      </w:r>
    </w:p>
    <w:p w14:paraId="027507B1" w14:textId="77777777" w:rsidR="009C7EB9" w:rsidRPr="00A808AC" w:rsidRDefault="009C7EB9" w:rsidP="000A093B">
      <w:pPr>
        <w:keepNext/>
        <w:numPr>
          <w:ilvl w:val="12"/>
          <w:numId w:val="0"/>
        </w:numPr>
        <w:spacing w:line="240" w:lineRule="auto"/>
        <w:ind w:right="-2"/>
        <w:rPr>
          <w:iCs/>
        </w:rPr>
      </w:pPr>
    </w:p>
    <w:p w14:paraId="5EB4C932" w14:textId="77777777" w:rsidR="00F976E8" w:rsidRPr="00A808AC" w:rsidRDefault="005A3D7D" w:rsidP="000A093B">
      <w:pPr>
        <w:keepNext/>
        <w:spacing w:line="240" w:lineRule="auto"/>
        <w:rPr>
          <w:i/>
          <w:iCs/>
        </w:rPr>
      </w:pPr>
      <w:r w:rsidRPr="00A808AC">
        <w:t>Pharmacotherapeutic group: Other respiratory system products</w:t>
      </w:r>
      <w:r w:rsidR="00D56347" w:rsidRPr="00A808AC">
        <w:t xml:space="preserve">, </w:t>
      </w:r>
      <w:r w:rsidRPr="00A808AC">
        <w:t xml:space="preserve">ATC code: </w:t>
      </w:r>
      <w:r w:rsidRPr="00A808AC">
        <w:rPr>
          <w:rFonts w:eastAsia="MS Mincho"/>
          <w:bCs/>
          <w:lang w:eastAsia="ja-JP"/>
        </w:rPr>
        <w:t>R07AX02</w:t>
      </w:r>
    </w:p>
    <w:p w14:paraId="58977056" w14:textId="77777777" w:rsidR="00F976E8" w:rsidRPr="00A808AC" w:rsidRDefault="00F976E8" w:rsidP="00D90987">
      <w:pPr>
        <w:numPr>
          <w:ilvl w:val="12"/>
          <w:numId w:val="0"/>
        </w:numPr>
        <w:spacing w:line="240" w:lineRule="auto"/>
        <w:ind w:right="-2"/>
      </w:pPr>
    </w:p>
    <w:p w14:paraId="44BD76AC" w14:textId="77777777" w:rsidR="005D665D" w:rsidRDefault="005A3D7D" w:rsidP="00A0798C">
      <w:pPr>
        <w:keepNext/>
        <w:numPr>
          <w:ilvl w:val="12"/>
          <w:numId w:val="0"/>
        </w:numPr>
        <w:spacing w:line="240" w:lineRule="auto"/>
        <w:rPr>
          <w:u w:val="single"/>
        </w:rPr>
      </w:pPr>
      <w:r w:rsidRPr="00161C70">
        <w:rPr>
          <w:u w:val="single"/>
        </w:rPr>
        <w:t>Mechanism of action</w:t>
      </w:r>
    </w:p>
    <w:p w14:paraId="337E7FC0" w14:textId="77777777" w:rsidR="00223101" w:rsidRPr="00161C70" w:rsidRDefault="00223101" w:rsidP="0069106A">
      <w:pPr>
        <w:keepNext/>
        <w:numPr>
          <w:ilvl w:val="12"/>
          <w:numId w:val="0"/>
        </w:numPr>
        <w:spacing w:line="240" w:lineRule="auto"/>
        <w:rPr>
          <w:u w:val="single"/>
        </w:rPr>
      </w:pPr>
    </w:p>
    <w:p w14:paraId="16F7A55F" w14:textId="734FDFFE" w:rsidR="00EB3D56" w:rsidRDefault="005A3D7D" w:rsidP="000A093B">
      <w:pPr>
        <w:keepNext/>
        <w:spacing w:line="240" w:lineRule="auto"/>
        <w:rPr>
          <w:bCs/>
        </w:rPr>
      </w:pPr>
      <w:r w:rsidRPr="00161C70">
        <w:rPr>
          <w:bCs/>
        </w:rPr>
        <w:t xml:space="preserve">Ivacaftor is a potentiator of the CFTR protein, i.e., </w:t>
      </w:r>
      <w:r w:rsidRPr="00161C70">
        <w:rPr>
          <w:bCs/>
          <w:i/>
        </w:rPr>
        <w:t>in vitro</w:t>
      </w:r>
      <w:r w:rsidRPr="00161C70">
        <w:rPr>
          <w:bCs/>
        </w:rPr>
        <w:t xml:space="preserve"> ivacaftor increases CFTR channel gating to enhance chloride transport in specified gating mutations (as listed in section 4.1) with reduced channel</w:t>
      </w:r>
      <w:r w:rsidRPr="00161C70">
        <w:rPr>
          <w:bCs/>
        </w:rPr>
        <w:noBreakHyphen/>
        <w:t xml:space="preserve">open probability </w:t>
      </w:r>
      <w:r w:rsidRPr="00161C70">
        <w:rPr>
          <w:bCs/>
          <w:iCs/>
        </w:rPr>
        <w:t>compared to normal CFTR. Iva</w:t>
      </w:r>
      <w:r w:rsidRPr="00161C70">
        <w:rPr>
          <w:bCs/>
          <w:iCs/>
        </w:rPr>
        <w:t>caftor also potentiated the channel</w:t>
      </w:r>
      <w:r w:rsidRPr="00161C70">
        <w:rPr>
          <w:bCs/>
          <w:iCs/>
        </w:rPr>
        <w:noBreakHyphen/>
        <w:t>open probability of R117H</w:t>
      </w:r>
      <w:r w:rsidRPr="00161C70">
        <w:rPr>
          <w:bCs/>
          <w:iCs/>
        </w:rPr>
        <w:noBreakHyphen/>
        <w:t>CFTR, which has both low channel</w:t>
      </w:r>
      <w:r w:rsidRPr="00161C70">
        <w:rPr>
          <w:bCs/>
          <w:iCs/>
        </w:rPr>
        <w:noBreakHyphen/>
        <w:t>open probability (gating) and reduced channel current amplitude (conductance)</w:t>
      </w:r>
      <w:r w:rsidRPr="00161C70">
        <w:rPr>
          <w:bCs/>
        </w:rPr>
        <w:t xml:space="preserve">. </w:t>
      </w:r>
      <w:r w:rsidR="004C57CC">
        <w:rPr>
          <w:bCs/>
        </w:rPr>
        <w:t xml:space="preserve">The </w:t>
      </w:r>
      <w:r w:rsidR="004C57CC" w:rsidRPr="009F5AD4">
        <w:rPr>
          <w:bCs/>
          <w:i/>
        </w:rPr>
        <w:t xml:space="preserve">G970R </w:t>
      </w:r>
      <w:r w:rsidR="004C57CC">
        <w:rPr>
          <w:bCs/>
        </w:rPr>
        <w:t xml:space="preserve">mutation causes a splicing defect resulting in little-to-no CFTR protein at the cell surface which may explain the results observed in subjects with this mutation in </w:t>
      </w:r>
      <w:r w:rsidR="003A0DC8">
        <w:rPr>
          <w:bCs/>
        </w:rPr>
        <w:t>study </w:t>
      </w:r>
      <w:r w:rsidR="004C57CC">
        <w:rPr>
          <w:bCs/>
        </w:rPr>
        <w:t>5 (see Pharmacodynamic effects and Clinical efficacy data).</w:t>
      </w:r>
    </w:p>
    <w:p w14:paraId="358FDEF7" w14:textId="77777777" w:rsidR="00EB3D56" w:rsidRDefault="00EB3D56" w:rsidP="00BA47B4">
      <w:pPr>
        <w:spacing w:line="240" w:lineRule="auto"/>
        <w:rPr>
          <w:bCs/>
        </w:rPr>
      </w:pPr>
    </w:p>
    <w:p w14:paraId="6B697F12" w14:textId="77777777" w:rsidR="005D665D" w:rsidRPr="00161C70" w:rsidRDefault="005A3D7D" w:rsidP="006C4477">
      <w:pPr>
        <w:spacing w:line="240" w:lineRule="auto"/>
        <w:rPr>
          <w:bCs/>
        </w:rPr>
      </w:pPr>
      <w:r w:rsidRPr="00161C70">
        <w:rPr>
          <w:bCs/>
          <w:i/>
        </w:rPr>
        <w:t>In vitro</w:t>
      </w:r>
      <w:r w:rsidRPr="00161C70">
        <w:rPr>
          <w:bCs/>
        </w:rPr>
        <w:t xml:space="preserve"> responses seen in single channel patch clamp experiments using membrane patches from r</w:t>
      </w:r>
      <w:r w:rsidRPr="00161C70">
        <w:rPr>
          <w:bCs/>
        </w:rPr>
        <w:t xml:space="preserve">odent cells expressing mutant CFTR forms do not necessarily correspond to </w:t>
      </w:r>
      <w:r w:rsidRPr="00161C70">
        <w:rPr>
          <w:bCs/>
          <w:i/>
        </w:rPr>
        <w:t xml:space="preserve">in vivo </w:t>
      </w:r>
      <w:r w:rsidRPr="00161C70">
        <w:rPr>
          <w:bCs/>
        </w:rPr>
        <w:t xml:space="preserve">pharmacodynamic response (e.g., sweat chloride) or clinical benefit. </w:t>
      </w:r>
      <w:r w:rsidRPr="00161C70">
        <w:t>The exact mechanism leading ivacaftor to potentiate the gating activity of normal and some mutant CFTR fo</w:t>
      </w:r>
      <w:r w:rsidRPr="00161C70">
        <w:t>rms in this system has not been completely elucidated.</w:t>
      </w:r>
    </w:p>
    <w:p w14:paraId="493CD178" w14:textId="77777777" w:rsidR="00165135" w:rsidRPr="00A808AC" w:rsidRDefault="00165135" w:rsidP="00D90987">
      <w:pPr>
        <w:spacing w:line="240" w:lineRule="auto"/>
        <w:rPr>
          <w:u w:val="single"/>
        </w:rPr>
      </w:pPr>
    </w:p>
    <w:p w14:paraId="3D3CD338" w14:textId="77777777" w:rsidR="00F976E8" w:rsidRDefault="005A3D7D" w:rsidP="00D90987">
      <w:pPr>
        <w:keepNext/>
        <w:spacing w:line="240" w:lineRule="auto"/>
        <w:rPr>
          <w:u w:val="single"/>
        </w:rPr>
      </w:pPr>
      <w:r w:rsidRPr="00A808AC">
        <w:rPr>
          <w:u w:val="single"/>
        </w:rPr>
        <w:t>Pharmacodynamic effects</w:t>
      </w:r>
    </w:p>
    <w:p w14:paraId="617FD106" w14:textId="77777777" w:rsidR="00AF1F6F" w:rsidRPr="007B0741" w:rsidRDefault="00AF1F6F" w:rsidP="006C4477">
      <w:pPr>
        <w:keepNext/>
        <w:spacing w:line="240" w:lineRule="auto"/>
        <w:rPr>
          <w:u w:val="single"/>
          <w:lang w:val="en-US"/>
        </w:rPr>
      </w:pPr>
    </w:p>
    <w:p w14:paraId="7F82D088" w14:textId="77777777" w:rsidR="00223101" w:rsidRDefault="005A3D7D" w:rsidP="00A0798C">
      <w:pPr>
        <w:pStyle w:val="labeltext"/>
        <w:keepNext/>
        <w:rPr>
          <w:i/>
          <w:sz w:val="22"/>
          <w:lang w:val="en-GB"/>
        </w:rPr>
      </w:pPr>
      <w:r w:rsidRPr="007B0741">
        <w:rPr>
          <w:i/>
          <w:sz w:val="22"/>
          <w:lang w:val="en-GB"/>
        </w:rPr>
        <w:t>Ivacaftor</w:t>
      </w:r>
      <w:r w:rsidR="007C084E">
        <w:rPr>
          <w:i/>
          <w:sz w:val="22"/>
          <w:lang w:val="en-GB"/>
        </w:rPr>
        <w:t xml:space="preserve"> as</w:t>
      </w:r>
      <w:r w:rsidRPr="007B0741">
        <w:rPr>
          <w:i/>
          <w:sz w:val="22"/>
          <w:lang w:val="en-GB"/>
        </w:rPr>
        <w:t xml:space="preserve"> monotherapy</w:t>
      </w:r>
    </w:p>
    <w:p w14:paraId="5886ED30" w14:textId="77777777" w:rsidR="00987822" w:rsidRPr="007B0741" w:rsidRDefault="00987822" w:rsidP="0069106A">
      <w:pPr>
        <w:pStyle w:val="labeltext"/>
        <w:keepNext/>
        <w:rPr>
          <w:i/>
          <w:sz w:val="22"/>
          <w:lang w:val="en-GB"/>
        </w:rPr>
      </w:pPr>
    </w:p>
    <w:p w14:paraId="4B4626F9" w14:textId="77777777" w:rsidR="00F976E8" w:rsidRPr="00A808AC" w:rsidRDefault="005A3D7D" w:rsidP="000A093B">
      <w:pPr>
        <w:pStyle w:val="labeltext"/>
        <w:keepNext/>
        <w:rPr>
          <w:sz w:val="22"/>
          <w:szCs w:val="22"/>
          <w:lang w:val="en-GB"/>
        </w:rPr>
      </w:pPr>
      <w:r w:rsidRPr="00A808AC">
        <w:rPr>
          <w:sz w:val="22"/>
          <w:szCs w:val="22"/>
          <w:lang w:val="en-GB"/>
        </w:rPr>
        <w:t xml:space="preserve">In studies 1 and 2 in patients with the </w:t>
      </w:r>
      <w:r w:rsidRPr="00A808AC">
        <w:rPr>
          <w:i/>
          <w:sz w:val="22"/>
          <w:szCs w:val="22"/>
          <w:lang w:val="en-GB"/>
        </w:rPr>
        <w:t xml:space="preserve">G551D </w:t>
      </w:r>
      <w:r w:rsidRPr="00A808AC">
        <w:rPr>
          <w:sz w:val="22"/>
          <w:szCs w:val="22"/>
          <w:lang w:val="en-GB"/>
        </w:rPr>
        <w:t xml:space="preserve">mutation in one allele of the </w:t>
      </w:r>
      <w:r w:rsidRPr="00A808AC">
        <w:rPr>
          <w:i/>
          <w:sz w:val="22"/>
          <w:szCs w:val="22"/>
          <w:lang w:val="en-GB"/>
        </w:rPr>
        <w:t>CFTR</w:t>
      </w:r>
      <w:r w:rsidRPr="00A808AC">
        <w:rPr>
          <w:sz w:val="22"/>
          <w:szCs w:val="22"/>
          <w:lang w:val="en-GB"/>
        </w:rPr>
        <w:t xml:space="preserve"> gene, ivacaftor led to rapid (15 days), substantial (the mean change in sweat chloride from b</w:t>
      </w:r>
      <w:r w:rsidR="00100D0A" w:rsidRPr="00A808AC">
        <w:rPr>
          <w:sz w:val="22"/>
          <w:szCs w:val="22"/>
          <w:lang w:val="en-GB"/>
        </w:rPr>
        <w:t xml:space="preserve">aseline through </w:t>
      </w:r>
      <w:r w:rsidR="0008435E">
        <w:rPr>
          <w:sz w:val="22"/>
          <w:szCs w:val="22"/>
          <w:lang w:val="en-GB"/>
        </w:rPr>
        <w:t>w</w:t>
      </w:r>
      <w:r w:rsidR="007262E5" w:rsidRPr="00A808AC">
        <w:rPr>
          <w:sz w:val="22"/>
          <w:szCs w:val="22"/>
          <w:lang w:val="en-GB"/>
        </w:rPr>
        <w:t>eek</w:t>
      </w:r>
      <w:r w:rsidR="00F62129" w:rsidRPr="00A808AC">
        <w:rPr>
          <w:sz w:val="22"/>
          <w:szCs w:val="22"/>
          <w:lang w:val="en-GB"/>
        </w:rPr>
        <w:t> </w:t>
      </w:r>
      <w:r w:rsidR="00100D0A" w:rsidRPr="00A808AC">
        <w:rPr>
          <w:sz w:val="22"/>
          <w:szCs w:val="22"/>
          <w:lang w:val="en-GB"/>
        </w:rPr>
        <w:t xml:space="preserve">24 was </w:t>
      </w:r>
      <w:r w:rsidR="00100D0A" w:rsidRPr="00A808AC">
        <w:rPr>
          <w:sz w:val="22"/>
          <w:szCs w:val="22"/>
          <w:lang w:val="en-GB"/>
        </w:rPr>
        <w:noBreakHyphen/>
        <w:t>48 </w:t>
      </w:r>
      <w:r w:rsidRPr="00A808AC">
        <w:rPr>
          <w:sz w:val="22"/>
          <w:szCs w:val="22"/>
          <w:lang w:val="en-GB"/>
        </w:rPr>
        <w:t xml:space="preserve">mmol/L [95% CI </w:t>
      </w:r>
      <w:r w:rsidRPr="00A808AC">
        <w:rPr>
          <w:sz w:val="22"/>
          <w:szCs w:val="22"/>
          <w:lang w:val="en-GB"/>
        </w:rPr>
        <w:noBreakHyphen/>
        <w:t xml:space="preserve">51, </w:t>
      </w:r>
      <w:r w:rsidRPr="00A808AC">
        <w:rPr>
          <w:sz w:val="22"/>
          <w:szCs w:val="22"/>
          <w:lang w:val="en-GB"/>
        </w:rPr>
        <w:noBreakHyphen/>
        <w:t xml:space="preserve">45] and </w:t>
      </w:r>
      <w:r w:rsidR="00973583" w:rsidRPr="00A808AC">
        <w:rPr>
          <w:sz w:val="22"/>
          <w:szCs w:val="22"/>
          <w:lang w:val="en-GB"/>
        </w:rPr>
        <w:noBreakHyphen/>
      </w:r>
      <w:r w:rsidRPr="00A808AC">
        <w:rPr>
          <w:sz w:val="22"/>
          <w:szCs w:val="22"/>
          <w:lang w:val="en-GB"/>
        </w:rPr>
        <w:t xml:space="preserve">54 mmol/L [95% CI </w:t>
      </w:r>
      <w:r w:rsidRPr="00A808AC">
        <w:rPr>
          <w:sz w:val="22"/>
          <w:szCs w:val="22"/>
          <w:lang w:val="en-GB"/>
        </w:rPr>
        <w:noBreakHyphen/>
        <w:t xml:space="preserve">62, </w:t>
      </w:r>
      <w:r w:rsidRPr="00A808AC">
        <w:rPr>
          <w:sz w:val="22"/>
          <w:szCs w:val="22"/>
          <w:lang w:val="en-GB"/>
        </w:rPr>
        <w:noBreakHyphen/>
        <w:t>47], respectively) and sustained (through 48 weeks) reduction</w:t>
      </w:r>
      <w:r w:rsidR="00E1017C" w:rsidRPr="00A808AC">
        <w:rPr>
          <w:sz w:val="22"/>
          <w:szCs w:val="22"/>
          <w:lang w:val="en-GB"/>
        </w:rPr>
        <w:t>s</w:t>
      </w:r>
      <w:r w:rsidRPr="00A808AC">
        <w:rPr>
          <w:sz w:val="22"/>
          <w:szCs w:val="22"/>
          <w:lang w:val="en-GB"/>
        </w:rPr>
        <w:t xml:space="preserve"> in sweat chlo</w:t>
      </w:r>
      <w:r w:rsidRPr="00A808AC">
        <w:rPr>
          <w:sz w:val="22"/>
          <w:szCs w:val="22"/>
          <w:lang w:val="en-GB"/>
        </w:rPr>
        <w:t>ride concentration.</w:t>
      </w:r>
    </w:p>
    <w:p w14:paraId="5D5204CF" w14:textId="77777777" w:rsidR="00F976E8" w:rsidRPr="00A808AC" w:rsidRDefault="00F976E8" w:rsidP="00D90987">
      <w:pPr>
        <w:pStyle w:val="documenttext"/>
        <w:spacing w:after="0"/>
        <w:rPr>
          <w:sz w:val="22"/>
          <w:szCs w:val="22"/>
          <w:u w:val="single"/>
          <w:lang w:val="en-GB"/>
        </w:rPr>
      </w:pPr>
    </w:p>
    <w:p w14:paraId="2E8F57AF" w14:textId="5A5111FA" w:rsidR="00F976E8" w:rsidRPr="00A808AC" w:rsidRDefault="005A3D7D" w:rsidP="00D90987">
      <w:pPr>
        <w:pStyle w:val="documenttext"/>
        <w:spacing w:after="0"/>
        <w:rPr>
          <w:sz w:val="22"/>
          <w:szCs w:val="22"/>
          <w:lang w:val="en-GB"/>
        </w:rPr>
      </w:pPr>
      <w:r w:rsidRPr="00A808AC">
        <w:rPr>
          <w:sz w:val="22"/>
          <w:szCs w:val="22"/>
          <w:lang w:val="en-GB"/>
        </w:rPr>
        <w:t>In study</w:t>
      </w:r>
      <w:r w:rsidR="003A0DC8">
        <w:rPr>
          <w:sz w:val="22"/>
          <w:szCs w:val="22"/>
          <w:lang w:val="en-GB"/>
        </w:rPr>
        <w:t> </w:t>
      </w:r>
      <w:r w:rsidRPr="00A808AC">
        <w:rPr>
          <w:sz w:val="22"/>
          <w:szCs w:val="22"/>
          <w:lang w:val="en-GB"/>
        </w:rPr>
        <w:t>5, part 1 in patients who had a non</w:t>
      </w:r>
      <w:r w:rsidRPr="00A808AC">
        <w:rPr>
          <w:sz w:val="22"/>
          <w:szCs w:val="22"/>
          <w:lang w:val="en-GB"/>
        </w:rPr>
        <w:noBreakHyphen/>
      </w:r>
      <w:r w:rsidRPr="00A808AC">
        <w:rPr>
          <w:i/>
          <w:sz w:val="22"/>
          <w:szCs w:val="22"/>
          <w:lang w:val="en-GB"/>
        </w:rPr>
        <w:t>G551D</w:t>
      </w:r>
      <w:r w:rsidRPr="00A808AC">
        <w:rPr>
          <w:sz w:val="22"/>
          <w:szCs w:val="22"/>
          <w:lang w:val="en-GB"/>
        </w:rPr>
        <w:t xml:space="preserve"> gating mutation in the </w:t>
      </w:r>
      <w:r w:rsidRPr="00A808AC">
        <w:rPr>
          <w:i/>
          <w:sz w:val="22"/>
          <w:szCs w:val="22"/>
          <w:lang w:val="en-GB"/>
        </w:rPr>
        <w:t>CFTR</w:t>
      </w:r>
      <w:r w:rsidRPr="00A808AC">
        <w:rPr>
          <w:sz w:val="22"/>
          <w:szCs w:val="22"/>
          <w:lang w:val="en-GB"/>
        </w:rPr>
        <w:t xml:space="preserve"> gene, treatment with ivacaftor led to a rapid (15 days) and substantial mean change from baseline in sweat chloride of </w:t>
      </w:r>
      <w:r w:rsidRPr="00A808AC">
        <w:rPr>
          <w:sz w:val="22"/>
          <w:szCs w:val="22"/>
          <w:lang w:val="en-GB"/>
        </w:rPr>
        <w:noBreakHyphen/>
        <w:t xml:space="preserve">49 mmol/L </w:t>
      </w:r>
      <w:r w:rsidR="00DA3BEC" w:rsidRPr="00A808AC">
        <w:rPr>
          <w:sz w:val="22"/>
          <w:szCs w:val="22"/>
          <w:lang w:val="en-GB"/>
        </w:rPr>
        <w:t>(</w:t>
      </w:r>
      <w:r w:rsidRPr="00A808AC">
        <w:rPr>
          <w:sz w:val="22"/>
          <w:szCs w:val="22"/>
          <w:lang w:val="en-GB"/>
        </w:rPr>
        <w:t xml:space="preserve">95% CI </w:t>
      </w:r>
      <w:r w:rsidRPr="00A808AC">
        <w:rPr>
          <w:sz w:val="22"/>
          <w:szCs w:val="22"/>
          <w:lang w:val="en-GB"/>
        </w:rPr>
        <w:noBreakHyphen/>
        <w:t xml:space="preserve">57, </w:t>
      </w:r>
      <w:r w:rsidRPr="00A808AC">
        <w:rPr>
          <w:sz w:val="22"/>
          <w:szCs w:val="22"/>
          <w:lang w:val="en-GB"/>
        </w:rPr>
        <w:noBreakHyphen/>
        <w:t>41</w:t>
      </w:r>
      <w:r w:rsidR="00DA3BEC" w:rsidRPr="00A808AC">
        <w:rPr>
          <w:sz w:val="22"/>
          <w:szCs w:val="22"/>
          <w:lang w:val="en-GB"/>
        </w:rPr>
        <w:t xml:space="preserve">) </w:t>
      </w:r>
      <w:r w:rsidRPr="00A808AC">
        <w:rPr>
          <w:sz w:val="22"/>
          <w:szCs w:val="22"/>
          <w:lang w:val="en-GB"/>
        </w:rPr>
        <w:t xml:space="preserve">through 8 weeks of treatment. However, in patients with the </w:t>
      </w:r>
      <w:r w:rsidRPr="00A808AC">
        <w:rPr>
          <w:i/>
          <w:sz w:val="22"/>
          <w:szCs w:val="22"/>
          <w:lang w:val="en-GB"/>
        </w:rPr>
        <w:t>G970R</w:t>
      </w:r>
      <w:r w:rsidRPr="00A808AC">
        <w:rPr>
          <w:sz w:val="22"/>
          <w:szCs w:val="22"/>
          <w:lang w:val="en-GB"/>
        </w:rPr>
        <w:noBreakHyphen/>
      </w:r>
      <w:r w:rsidRPr="00A808AC">
        <w:rPr>
          <w:i/>
          <w:sz w:val="22"/>
          <w:szCs w:val="22"/>
          <w:lang w:val="en-GB"/>
        </w:rPr>
        <w:t>CFTR</w:t>
      </w:r>
      <w:r w:rsidRPr="00A808AC">
        <w:rPr>
          <w:sz w:val="22"/>
          <w:szCs w:val="22"/>
          <w:lang w:val="en-GB"/>
        </w:rPr>
        <w:t xml:space="preserve"> mutation, the mean (SD) absolute cha</w:t>
      </w:r>
      <w:r w:rsidRPr="00A808AC">
        <w:rPr>
          <w:sz w:val="22"/>
          <w:szCs w:val="22"/>
          <w:lang w:val="en-GB"/>
        </w:rPr>
        <w:t xml:space="preserve">nge in sweat chloride at </w:t>
      </w:r>
      <w:r w:rsidR="003B32AD">
        <w:rPr>
          <w:sz w:val="22"/>
          <w:szCs w:val="22"/>
          <w:lang w:val="en-GB"/>
        </w:rPr>
        <w:t>w</w:t>
      </w:r>
      <w:r w:rsidR="007262E5" w:rsidRPr="00A808AC">
        <w:rPr>
          <w:sz w:val="22"/>
          <w:szCs w:val="22"/>
          <w:lang w:val="en-GB"/>
        </w:rPr>
        <w:t>eek</w:t>
      </w:r>
      <w:r w:rsidR="00F62129" w:rsidRPr="00A808AC">
        <w:rPr>
          <w:sz w:val="22"/>
          <w:szCs w:val="22"/>
          <w:lang w:val="en-GB"/>
        </w:rPr>
        <w:t> </w:t>
      </w:r>
      <w:r w:rsidRPr="00A808AC">
        <w:rPr>
          <w:sz w:val="22"/>
          <w:szCs w:val="22"/>
          <w:lang w:val="en-GB"/>
        </w:rPr>
        <w:t xml:space="preserve">8 was </w:t>
      </w:r>
      <w:r w:rsidRPr="00A808AC">
        <w:rPr>
          <w:sz w:val="22"/>
          <w:szCs w:val="22"/>
          <w:lang w:val="en-GB"/>
        </w:rPr>
        <w:noBreakHyphen/>
        <w:t xml:space="preserve">6.25 (6.55) mmol/L. Similar results to part 1 were seen in part 2 of the study. </w:t>
      </w:r>
      <w:r w:rsidRPr="00A808AC">
        <w:rPr>
          <w:sz w:val="22"/>
          <w:szCs w:val="22"/>
        </w:rPr>
        <w:t>At the 4</w:t>
      </w:r>
      <w:r w:rsidRPr="00A808AC">
        <w:rPr>
          <w:sz w:val="22"/>
          <w:szCs w:val="22"/>
        </w:rPr>
        <w:noBreakHyphen/>
        <w:t>week follow</w:t>
      </w:r>
      <w:r w:rsidRPr="00A808AC">
        <w:rPr>
          <w:sz w:val="22"/>
          <w:szCs w:val="22"/>
        </w:rPr>
        <w:noBreakHyphen/>
        <w:t>up visit (4</w:t>
      </w:r>
      <w:r w:rsidR="00973583" w:rsidRPr="00A808AC">
        <w:rPr>
          <w:sz w:val="22"/>
          <w:szCs w:val="22"/>
        </w:rPr>
        <w:t> </w:t>
      </w:r>
      <w:r w:rsidRPr="00A808AC">
        <w:rPr>
          <w:sz w:val="22"/>
          <w:szCs w:val="22"/>
        </w:rPr>
        <w:t>weeks after dosing with ivacaftor ended), mean sweat chloride values for each group</w:t>
      </w:r>
      <w:r w:rsidR="00964D65" w:rsidRPr="00A808AC">
        <w:rPr>
          <w:sz w:val="22"/>
          <w:szCs w:val="22"/>
        </w:rPr>
        <w:t xml:space="preserve"> </w:t>
      </w:r>
      <w:r w:rsidRPr="00A808AC">
        <w:rPr>
          <w:sz w:val="22"/>
          <w:szCs w:val="22"/>
        </w:rPr>
        <w:t>were trending to pre</w:t>
      </w:r>
      <w:r w:rsidRPr="00A808AC">
        <w:rPr>
          <w:sz w:val="22"/>
          <w:szCs w:val="22"/>
        </w:rPr>
        <w:noBreakHyphen/>
        <w:t>t</w:t>
      </w:r>
      <w:r w:rsidRPr="00A808AC">
        <w:rPr>
          <w:sz w:val="22"/>
          <w:szCs w:val="22"/>
        </w:rPr>
        <w:t>reatment levels.</w:t>
      </w:r>
    </w:p>
    <w:p w14:paraId="4C23B049" w14:textId="77777777" w:rsidR="00F976E8" w:rsidRPr="00A808AC" w:rsidRDefault="00F976E8" w:rsidP="00D90987">
      <w:pPr>
        <w:pStyle w:val="documenttext"/>
        <w:spacing w:after="0"/>
        <w:rPr>
          <w:sz w:val="22"/>
          <w:szCs w:val="22"/>
          <w:u w:val="single"/>
          <w:lang w:val="en-GB"/>
        </w:rPr>
      </w:pPr>
    </w:p>
    <w:p w14:paraId="102EC6F3" w14:textId="4DC94813" w:rsidR="00F976E8" w:rsidRPr="000A093B" w:rsidRDefault="005A3D7D" w:rsidP="00D90987">
      <w:pPr>
        <w:pStyle w:val="documenttext"/>
        <w:spacing w:after="0"/>
        <w:rPr>
          <w:sz w:val="22"/>
          <w:lang w:val="en-GB"/>
        </w:rPr>
      </w:pPr>
      <w:r w:rsidRPr="00A808AC">
        <w:rPr>
          <w:sz w:val="22"/>
          <w:szCs w:val="22"/>
          <w:lang w:val="en-GB"/>
        </w:rPr>
        <w:t xml:space="preserve">In </w:t>
      </w:r>
      <w:r w:rsidR="0032138D" w:rsidRPr="00A808AC">
        <w:rPr>
          <w:sz w:val="22"/>
          <w:szCs w:val="22"/>
          <w:lang w:val="en-GB"/>
        </w:rPr>
        <w:t>study</w:t>
      </w:r>
      <w:r w:rsidR="0032138D">
        <w:rPr>
          <w:sz w:val="22"/>
          <w:szCs w:val="22"/>
          <w:lang w:val="en-GB"/>
        </w:rPr>
        <w:t> </w:t>
      </w:r>
      <w:r w:rsidRPr="00A808AC">
        <w:rPr>
          <w:sz w:val="22"/>
          <w:szCs w:val="22"/>
          <w:lang w:val="en-GB"/>
        </w:rPr>
        <w:t>6 in</w:t>
      </w:r>
      <w:r w:rsidR="00964D65" w:rsidRPr="00A808AC">
        <w:rPr>
          <w:sz w:val="22"/>
          <w:szCs w:val="22"/>
          <w:lang w:val="en-GB"/>
        </w:rPr>
        <w:t xml:space="preserve"> </w:t>
      </w:r>
      <w:r w:rsidRPr="00A808AC">
        <w:rPr>
          <w:sz w:val="22"/>
          <w:szCs w:val="22"/>
          <w:lang w:val="en-GB"/>
        </w:rPr>
        <w:t>patients aged 6</w:t>
      </w:r>
      <w:r w:rsidR="00973583" w:rsidRPr="00A808AC">
        <w:rPr>
          <w:sz w:val="22"/>
          <w:szCs w:val="22"/>
          <w:lang w:val="en-GB"/>
        </w:rPr>
        <w:t> </w:t>
      </w:r>
      <w:r w:rsidRPr="00A808AC">
        <w:rPr>
          <w:sz w:val="22"/>
          <w:szCs w:val="22"/>
          <w:lang w:val="en-GB"/>
        </w:rPr>
        <w:t xml:space="preserve">years or older with CF who had an </w:t>
      </w:r>
      <w:r w:rsidRPr="00A808AC">
        <w:rPr>
          <w:i/>
          <w:sz w:val="22"/>
          <w:szCs w:val="22"/>
          <w:lang w:val="en-GB"/>
        </w:rPr>
        <w:t>R117H</w:t>
      </w:r>
      <w:r w:rsidRPr="00A808AC">
        <w:rPr>
          <w:sz w:val="22"/>
          <w:szCs w:val="22"/>
          <w:lang w:val="en-GB"/>
        </w:rPr>
        <w:t xml:space="preserve"> mutation in the </w:t>
      </w:r>
      <w:r w:rsidRPr="00A808AC">
        <w:rPr>
          <w:i/>
          <w:sz w:val="22"/>
          <w:szCs w:val="22"/>
          <w:lang w:val="en-GB"/>
        </w:rPr>
        <w:t>CFTR</w:t>
      </w:r>
      <w:r w:rsidRPr="00A808AC">
        <w:rPr>
          <w:sz w:val="22"/>
          <w:szCs w:val="22"/>
          <w:lang w:val="en-GB"/>
        </w:rPr>
        <w:t xml:space="preserve"> gene, the treatment difference in mean change in sweat chloride from baseline through 24</w:t>
      </w:r>
      <w:r w:rsidR="00973583" w:rsidRPr="00A808AC">
        <w:rPr>
          <w:sz w:val="22"/>
          <w:szCs w:val="22"/>
          <w:lang w:val="en-GB"/>
        </w:rPr>
        <w:t> </w:t>
      </w:r>
      <w:r w:rsidRPr="00A808AC">
        <w:rPr>
          <w:sz w:val="22"/>
          <w:szCs w:val="22"/>
          <w:lang w:val="en-GB"/>
        </w:rPr>
        <w:t xml:space="preserve">weeks of treatment was </w:t>
      </w:r>
      <w:r w:rsidRPr="00A808AC">
        <w:rPr>
          <w:sz w:val="22"/>
          <w:szCs w:val="22"/>
          <w:lang w:val="en-GB"/>
        </w:rPr>
        <w:noBreakHyphen/>
        <w:t xml:space="preserve">24 mmol/L </w:t>
      </w:r>
      <w:r w:rsidR="00A90676" w:rsidRPr="00A808AC">
        <w:rPr>
          <w:sz w:val="22"/>
          <w:szCs w:val="22"/>
          <w:lang w:val="en-GB"/>
        </w:rPr>
        <w:t>(</w:t>
      </w:r>
      <w:r w:rsidRPr="00A808AC">
        <w:rPr>
          <w:sz w:val="22"/>
          <w:szCs w:val="22"/>
          <w:lang w:val="en-GB"/>
        </w:rPr>
        <w:t>95% CI</w:t>
      </w:r>
      <w:r w:rsidR="00973583" w:rsidRPr="00A808AC">
        <w:rPr>
          <w:sz w:val="22"/>
          <w:szCs w:val="22"/>
          <w:lang w:val="en-GB"/>
        </w:rPr>
        <w:t xml:space="preserve"> </w:t>
      </w:r>
      <w:r w:rsidRPr="00A808AC">
        <w:rPr>
          <w:sz w:val="22"/>
          <w:szCs w:val="22"/>
          <w:lang w:val="en-GB"/>
        </w:rPr>
        <w:noBreakHyphen/>
        <w:t>28,</w:t>
      </w:r>
      <w:r w:rsidR="00973583" w:rsidRPr="00A808AC">
        <w:rPr>
          <w:sz w:val="22"/>
          <w:szCs w:val="22"/>
          <w:lang w:val="en-GB"/>
        </w:rPr>
        <w:t xml:space="preserve"> </w:t>
      </w:r>
      <w:r w:rsidRPr="00A808AC">
        <w:rPr>
          <w:sz w:val="22"/>
          <w:szCs w:val="22"/>
          <w:lang w:val="en-GB"/>
        </w:rPr>
        <w:noBreakHyphen/>
        <w:t>20</w:t>
      </w:r>
      <w:r w:rsidR="00A90676" w:rsidRPr="00A808AC">
        <w:rPr>
          <w:sz w:val="22"/>
          <w:szCs w:val="22"/>
          <w:lang w:val="en-GB"/>
        </w:rPr>
        <w:t>)</w:t>
      </w:r>
      <w:r w:rsidRPr="00A808AC">
        <w:rPr>
          <w:sz w:val="22"/>
          <w:szCs w:val="22"/>
          <w:lang w:val="en-GB"/>
        </w:rPr>
        <w:t>.</w:t>
      </w:r>
      <w:r w:rsidR="005C3799">
        <w:rPr>
          <w:sz w:val="22"/>
          <w:szCs w:val="22"/>
          <w:lang w:val="en-GB"/>
        </w:rPr>
        <w:t xml:space="preserve"> In subgroup analyses by age, the treatment difference was -21.87 mmol/L (95% CI: -26.46, -17.28) in patients aged 18</w:t>
      </w:r>
      <w:r w:rsidR="00025ADA">
        <w:rPr>
          <w:sz w:val="22"/>
          <w:szCs w:val="22"/>
          <w:lang w:val="en-GB"/>
        </w:rPr>
        <w:t> </w:t>
      </w:r>
      <w:r w:rsidR="005C3799">
        <w:rPr>
          <w:sz w:val="22"/>
          <w:szCs w:val="22"/>
          <w:lang w:val="en-GB"/>
        </w:rPr>
        <w:t>years or older, and -27.63 mmol/L (95% CI: -37.16, -18.10) in patients aged 6-11</w:t>
      </w:r>
      <w:r w:rsidR="00025ADA">
        <w:rPr>
          <w:sz w:val="22"/>
          <w:szCs w:val="22"/>
          <w:lang w:val="en-GB"/>
        </w:rPr>
        <w:t> </w:t>
      </w:r>
      <w:r w:rsidR="005C3799">
        <w:rPr>
          <w:sz w:val="22"/>
          <w:szCs w:val="22"/>
          <w:lang w:val="en-GB"/>
        </w:rPr>
        <w:t xml:space="preserve">years. </w:t>
      </w:r>
      <w:r w:rsidR="005C3799" w:rsidRPr="000A093B">
        <w:rPr>
          <w:sz w:val="22"/>
          <w:lang w:val="en-GB"/>
        </w:rPr>
        <w:t>Two patients 12 to 17</w:t>
      </w:r>
      <w:r w:rsidR="00025ADA">
        <w:rPr>
          <w:sz w:val="22"/>
          <w:szCs w:val="22"/>
          <w:lang w:val="en-GB"/>
        </w:rPr>
        <w:t> </w:t>
      </w:r>
      <w:r w:rsidR="005C3799" w:rsidRPr="000A093B">
        <w:rPr>
          <w:sz w:val="22"/>
          <w:lang w:val="en-GB"/>
        </w:rPr>
        <w:t>years of age were enrolled in this study.</w:t>
      </w:r>
    </w:p>
    <w:p w14:paraId="6D93175D" w14:textId="77777777" w:rsidR="00F976E8" w:rsidRDefault="00F976E8" w:rsidP="00D90987">
      <w:pPr>
        <w:pStyle w:val="documenttext"/>
        <w:spacing w:after="0"/>
        <w:rPr>
          <w:sz w:val="22"/>
          <w:szCs w:val="22"/>
          <w:u w:val="single"/>
          <w:lang w:val="en-GB"/>
        </w:rPr>
      </w:pPr>
    </w:p>
    <w:p w14:paraId="3EF448BD" w14:textId="77777777" w:rsidR="00A4646D" w:rsidRDefault="005A3D7D" w:rsidP="000A093B">
      <w:pPr>
        <w:keepNext/>
        <w:spacing w:line="240" w:lineRule="auto"/>
        <w:rPr>
          <w:i/>
        </w:rPr>
      </w:pPr>
      <w:r w:rsidRPr="007B0741">
        <w:rPr>
          <w:i/>
        </w:rPr>
        <w:t>Ivacaftor in a combination regimen with tezacaftor/ivacaftor</w:t>
      </w:r>
    </w:p>
    <w:p w14:paraId="3C97618A" w14:textId="77777777" w:rsidR="0084031C" w:rsidRPr="006C4477" w:rsidRDefault="005A3D7D" w:rsidP="000A093B">
      <w:pPr>
        <w:keepNext/>
        <w:spacing w:line="240" w:lineRule="auto"/>
        <w:rPr>
          <w:color w:val="000000"/>
        </w:rPr>
      </w:pPr>
      <w:r>
        <w:rPr>
          <w:i/>
        </w:rPr>
        <w:br/>
      </w:r>
      <w:r w:rsidRPr="0084031C">
        <w:t xml:space="preserve">In patients homozygous for the </w:t>
      </w:r>
      <w:r w:rsidRPr="0084031C">
        <w:rPr>
          <w:i/>
          <w:iCs/>
        </w:rPr>
        <w:t>F508de</w:t>
      </w:r>
      <w:r w:rsidRPr="0084031C">
        <w:rPr>
          <w:i/>
          <w:iCs/>
        </w:rPr>
        <w:t xml:space="preserve">l </w:t>
      </w:r>
      <w:r w:rsidRPr="0084031C">
        <w:t xml:space="preserve">mutation, the treatment difference between ivacaftor in combination with tezacaftor/ivacaftor and placebo in mean absolute change from baseline in sweat chloride through </w:t>
      </w:r>
      <w:r w:rsidR="003B32AD">
        <w:t>w</w:t>
      </w:r>
      <w:r w:rsidRPr="0084031C">
        <w:t xml:space="preserve">eek 24, was </w:t>
      </w:r>
      <w:r>
        <w:noBreakHyphen/>
      </w:r>
      <w:r w:rsidRPr="0084031C">
        <w:t>10.1</w:t>
      </w:r>
      <w:r>
        <w:t> </w:t>
      </w:r>
      <w:r w:rsidRPr="0084031C">
        <w:t>mmol/L (95%</w:t>
      </w:r>
      <w:r>
        <w:t> </w:t>
      </w:r>
      <w:r w:rsidRPr="0084031C">
        <w:t xml:space="preserve">CI: </w:t>
      </w:r>
      <w:r>
        <w:noBreakHyphen/>
      </w:r>
      <w:r w:rsidRPr="0084031C">
        <w:t xml:space="preserve">11.4, </w:t>
      </w:r>
      <w:r>
        <w:noBreakHyphen/>
      </w:r>
      <w:r w:rsidRPr="0084031C">
        <w:t>8.8</w:t>
      </w:r>
      <w:r w:rsidRPr="006C4477">
        <w:rPr>
          <w:color w:val="000000"/>
        </w:rPr>
        <w:t>).</w:t>
      </w:r>
    </w:p>
    <w:p w14:paraId="1685ADAC" w14:textId="77777777" w:rsidR="00F92278" w:rsidRPr="0084031C" w:rsidRDefault="00F92278" w:rsidP="00B32377">
      <w:pPr>
        <w:spacing w:line="240" w:lineRule="auto"/>
      </w:pPr>
    </w:p>
    <w:p w14:paraId="21645E5A" w14:textId="29B3FA1C" w:rsidR="0084031C" w:rsidRDefault="005A3D7D" w:rsidP="00ED1D45">
      <w:pPr>
        <w:spacing w:line="240" w:lineRule="auto"/>
      </w:pPr>
      <w:r w:rsidRPr="0084031C">
        <w:t xml:space="preserve">In patients heterozygous for the </w:t>
      </w:r>
      <w:r w:rsidRPr="0084031C">
        <w:rPr>
          <w:i/>
          <w:iCs/>
        </w:rPr>
        <w:t xml:space="preserve">F508del </w:t>
      </w:r>
      <w:r w:rsidRPr="0084031C">
        <w:t xml:space="preserve">mutation and a second mutation associated with residual </w:t>
      </w:r>
      <w:r w:rsidRPr="003D374D">
        <w:rPr>
          <w:iCs/>
        </w:rPr>
        <w:t>CFTR</w:t>
      </w:r>
      <w:r w:rsidRPr="0084031C">
        <w:rPr>
          <w:i/>
          <w:iCs/>
        </w:rPr>
        <w:t xml:space="preserve"> </w:t>
      </w:r>
      <w:r w:rsidRPr="0084031C">
        <w:t xml:space="preserve">activity, the treatment difference in mean absolute change from baseline in sweat chloride through </w:t>
      </w:r>
      <w:r w:rsidR="003B32AD">
        <w:t>w</w:t>
      </w:r>
      <w:r w:rsidRPr="0084031C">
        <w:t>eek</w:t>
      </w:r>
      <w:r>
        <w:t> </w:t>
      </w:r>
      <w:r w:rsidRPr="0084031C">
        <w:t xml:space="preserve">8 was </w:t>
      </w:r>
      <w:r>
        <w:noBreakHyphen/>
      </w:r>
      <w:r w:rsidRPr="0084031C">
        <w:t>9.5</w:t>
      </w:r>
      <w:r>
        <w:t> </w:t>
      </w:r>
      <w:r w:rsidRPr="0084031C">
        <w:t>mmol/L (95%</w:t>
      </w:r>
      <w:r>
        <w:t> </w:t>
      </w:r>
      <w:r w:rsidRPr="0084031C">
        <w:t xml:space="preserve">CI: </w:t>
      </w:r>
      <w:r>
        <w:noBreakHyphen/>
      </w:r>
      <w:r w:rsidRPr="0084031C">
        <w:t xml:space="preserve">11.7, </w:t>
      </w:r>
      <w:r>
        <w:noBreakHyphen/>
      </w:r>
      <w:r w:rsidRPr="0084031C">
        <w:t>7.3) between te</w:t>
      </w:r>
      <w:r w:rsidRPr="0084031C">
        <w:t xml:space="preserve">zacaftor/ivacaftor and placebo, and </w:t>
      </w:r>
      <w:r w:rsidR="005D0331">
        <w:noBreakHyphen/>
      </w:r>
      <w:r w:rsidRPr="0084031C">
        <w:t>4.5</w:t>
      </w:r>
      <w:r>
        <w:t> </w:t>
      </w:r>
      <w:r w:rsidRPr="0084031C">
        <w:t>mmol/L (95%</w:t>
      </w:r>
      <w:r>
        <w:t> </w:t>
      </w:r>
      <w:r w:rsidRPr="0084031C">
        <w:t xml:space="preserve">CI: </w:t>
      </w:r>
      <w:r>
        <w:noBreakHyphen/>
      </w:r>
      <w:r w:rsidRPr="0084031C">
        <w:t xml:space="preserve">6.7, </w:t>
      </w:r>
      <w:r>
        <w:noBreakHyphen/>
      </w:r>
      <w:r w:rsidRPr="0084031C">
        <w:t>2.3) between ivacaftor and</w:t>
      </w:r>
      <w:r w:rsidRPr="00B27150">
        <w:t xml:space="preserve"> placebo.</w:t>
      </w:r>
    </w:p>
    <w:p w14:paraId="22846562" w14:textId="77777777" w:rsidR="0084031C" w:rsidRPr="0044589F" w:rsidRDefault="0084031C" w:rsidP="00D90987">
      <w:pPr>
        <w:pStyle w:val="documenttext"/>
        <w:spacing w:after="0"/>
        <w:rPr>
          <w:sz w:val="22"/>
          <w:szCs w:val="22"/>
          <w:u w:val="single"/>
          <w:lang w:val="en-GB"/>
        </w:rPr>
      </w:pPr>
    </w:p>
    <w:p w14:paraId="4C322D67" w14:textId="77777777" w:rsidR="003754BB" w:rsidRPr="00184D87" w:rsidRDefault="005A3D7D" w:rsidP="00184D87">
      <w:pPr>
        <w:pStyle w:val="documenttext"/>
        <w:keepNext/>
        <w:spacing w:after="0"/>
        <w:rPr>
          <w:i/>
          <w:iCs/>
          <w:sz w:val="22"/>
          <w:szCs w:val="22"/>
          <w:lang w:val="en-GB"/>
        </w:rPr>
      </w:pPr>
      <w:r w:rsidRPr="00184D87">
        <w:rPr>
          <w:i/>
          <w:iCs/>
          <w:sz w:val="22"/>
          <w:szCs w:val="22"/>
          <w:lang w:val="en-GB"/>
        </w:rPr>
        <w:t xml:space="preserve">Ivacaftor in a combination regimen with </w:t>
      </w:r>
      <w:r w:rsidR="007C084E" w:rsidRPr="00184D87">
        <w:rPr>
          <w:i/>
          <w:iCs/>
          <w:sz w:val="22"/>
          <w:szCs w:val="22"/>
          <w:lang w:val="en-GB"/>
        </w:rPr>
        <w:t>ivacaftor/tezacaftor/elexacaftor</w:t>
      </w:r>
    </w:p>
    <w:p w14:paraId="3C04A93A" w14:textId="77777777" w:rsidR="003B1A87" w:rsidRDefault="003B1A87" w:rsidP="00184D87">
      <w:pPr>
        <w:keepNext/>
        <w:tabs>
          <w:tab w:val="clear" w:pos="567"/>
        </w:tabs>
        <w:spacing w:line="240" w:lineRule="auto"/>
        <w:rPr>
          <w:rFonts w:eastAsia="Calibri"/>
          <w:i/>
          <w:iCs/>
        </w:rPr>
      </w:pPr>
    </w:p>
    <w:p w14:paraId="19DCE3A0" w14:textId="77777777" w:rsidR="00E836DD" w:rsidRPr="000671E3" w:rsidRDefault="005A3D7D" w:rsidP="00184D87">
      <w:pPr>
        <w:keepNext/>
        <w:tabs>
          <w:tab w:val="clear" w:pos="567"/>
        </w:tabs>
        <w:spacing w:line="240" w:lineRule="auto"/>
        <w:rPr>
          <w:rFonts w:eastAsia="Calibri"/>
        </w:rPr>
      </w:pPr>
      <w:r>
        <w:rPr>
          <w:rFonts w:eastAsia="Calibri"/>
        </w:rPr>
        <w:t>In</w:t>
      </w:r>
      <w:r w:rsidR="00CF0A9D">
        <w:rPr>
          <w:rFonts w:eastAsia="Calibri"/>
        </w:rPr>
        <w:t xml:space="preserve"> </w:t>
      </w:r>
      <w:r w:rsidR="009B1867" w:rsidRPr="000671E3">
        <w:rPr>
          <w:rFonts w:eastAsia="Calibri"/>
        </w:rPr>
        <w:t xml:space="preserve">patients with an </w:t>
      </w:r>
      <w:r w:rsidR="009B1867" w:rsidRPr="000671E3">
        <w:rPr>
          <w:rFonts w:eastAsia="Calibri"/>
          <w:i/>
        </w:rPr>
        <w:t>F508del</w:t>
      </w:r>
      <w:r w:rsidR="009B1867" w:rsidRPr="000671E3">
        <w:rPr>
          <w:rFonts w:eastAsia="Calibri"/>
        </w:rPr>
        <w:t xml:space="preserve"> mutation on one allele and a mutation on the second allele that results in either no CFTR protein or a CFTR protein that is not responsive to ivacaftor and tezacaftor/ivacaftor, </w:t>
      </w:r>
      <w:r>
        <w:rPr>
          <w:rFonts w:eastAsia="Calibri"/>
        </w:rPr>
        <w:t>t</w:t>
      </w:r>
      <w:r w:rsidR="009B1867" w:rsidRPr="000671E3">
        <w:rPr>
          <w:rFonts w:eastAsia="Calibri"/>
        </w:rPr>
        <w:t xml:space="preserve">he treatment difference between </w:t>
      </w:r>
      <w:r w:rsidR="005078CA">
        <w:rPr>
          <w:rFonts w:eastAsia="Calibri"/>
        </w:rPr>
        <w:t>ivacaftor/tezacaftor/elexacaftor</w:t>
      </w:r>
      <w:r w:rsidR="009B1867">
        <w:rPr>
          <w:rFonts w:eastAsia="Calibri"/>
        </w:rPr>
        <w:t xml:space="preserve"> </w:t>
      </w:r>
      <w:r w:rsidR="009B1867" w:rsidRPr="000671E3">
        <w:rPr>
          <w:rFonts w:eastAsia="Calibri"/>
        </w:rPr>
        <w:t xml:space="preserve">and placebo for mean absolute change in sweat chloride from baseline through </w:t>
      </w:r>
      <w:r w:rsidR="005078CA">
        <w:rPr>
          <w:rFonts w:eastAsia="Calibri"/>
        </w:rPr>
        <w:t>w</w:t>
      </w:r>
      <w:r w:rsidR="009B1867" w:rsidRPr="000671E3">
        <w:rPr>
          <w:rFonts w:eastAsia="Calibri"/>
        </w:rPr>
        <w:t xml:space="preserve">eek 24 was </w:t>
      </w:r>
      <w:r w:rsidR="009B1867" w:rsidRPr="000671E3">
        <w:rPr>
          <w:rFonts w:eastAsia="Calibri"/>
        </w:rPr>
        <w:noBreakHyphen/>
        <w:t>41.8 mmol/L (95% CI: -44.4, -39.3).</w:t>
      </w:r>
    </w:p>
    <w:p w14:paraId="4A152487" w14:textId="77777777" w:rsidR="00E836DD" w:rsidRPr="004672B3" w:rsidRDefault="00E836DD" w:rsidP="00E836DD">
      <w:pPr>
        <w:tabs>
          <w:tab w:val="clear" w:pos="567"/>
        </w:tabs>
        <w:autoSpaceDE w:val="0"/>
        <w:autoSpaceDN w:val="0"/>
        <w:adjustRightInd w:val="0"/>
      </w:pPr>
    </w:p>
    <w:p w14:paraId="282719C0" w14:textId="77777777" w:rsidR="00E836DD" w:rsidRDefault="005A3D7D" w:rsidP="00E836DD">
      <w:pPr>
        <w:tabs>
          <w:tab w:val="clear" w:pos="567"/>
        </w:tabs>
        <w:autoSpaceDE w:val="0"/>
        <w:autoSpaceDN w:val="0"/>
        <w:adjustRightInd w:val="0"/>
      </w:pPr>
      <w:r>
        <w:t>In</w:t>
      </w:r>
      <w:r w:rsidR="005078CA">
        <w:t xml:space="preserve"> </w:t>
      </w:r>
      <w:r w:rsidR="009B1867" w:rsidRPr="0065685E">
        <w:t xml:space="preserve">patients homozygous for the </w:t>
      </w:r>
      <w:r w:rsidR="009B1867" w:rsidRPr="0065685E">
        <w:rPr>
          <w:i/>
        </w:rPr>
        <w:t xml:space="preserve">F508del </w:t>
      </w:r>
      <w:r w:rsidR="009B1867" w:rsidRPr="0065685E">
        <w:t xml:space="preserve">mutation, the treatment difference between </w:t>
      </w:r>
      <w:r w:rsidR="005078CA">
        <w:t>ivacaftor/tezacaftor/elexacaftor</w:t>
      </w:r>
      <w:r w:rsidR="009B1867" w:rsidRPr="0065685E">
        <w:t xml:space="preserve"> and tezacaftor/ivacaftor </w:t>
      </w:r>
      <w:r w:rsidR="009B1867">
        <w:t>for</w:t>
      </w:r>
      <w:r w:rsidR="009B1867" w:rsidRPr="0065685E">
        <w:t xml:space="preserve"> mean absolute change in sweat chloride from baseline at </w:t>
      </w:r>
      <w:r w:rsidR="005078CA">
        <w:t>w</w:t>
      </w:r>
      <w:r w:rsidR="009B1867" w:rsidRPr="0065685E">
        <w:t xml:space="preserve">eek 4 was </w:t>
      </w:r>
      <w:r w:rsidR="009B1867" w:rsidRPr="0065685E">
        <w:noBreakHyphen/>
        <w:t>45.1 mmol/L (95% CI: -50.1, -40.1).</w:t>
      </w:r>
    </w:p>
    <w:p w14:paraId="7F1391E5" w14:textId="77777777" w:rsidR="00E836DD" w:rsidRDefault="00E836DD" w:rsidP="00D90987">
      <w:pPr>
        <w:pStyle w:val="documenttext"/>
        <w:spacing w:after="0"/>
        <w:rPr>
          <w:sz w:val="22"/>
          <w:szCs w:val="22"/>
          <w:u w:val="single"/>
          <w:lang w:val="en-GB"/>
        </w:rPr>
      </w:pPr>
    </w:p>
    <w:p w14:paraId="2CD0F268" w14:textId="77777777" w:rsidR="00F976E8" w:rsidRPr="0044589F" w:rsidRDefault="005A3D7D" w:rsidP="000A093B">
      <w:pPr>
        <w:pStyle w:val="documenttext"/>
        <w:keepNext/>
        <w:spacing w:after="0"/>
        <w:rPr>
          <w:sz w:val="22"/>
          <w:szCs w:val="22"/>
          <w:u w:val="single"/>
          <w:lang w:val="en-GB"/>
        </w:rPr>
      </w:pPr>
      <w:r w:rsidRPr="0044589F">
        <w:rPr>
          <w:sz w:val="22"/>
          <w:szCs w:val="22"/>
          <w:u w:val="single"/>
          <w:lang w:val="en-GB"/>
        </w:rPr>
        <w:t>Clinical efficacy and safety</w:t>
      </w:r>
    </w:p>
    <w:p w14:paraId="66F04F21" w14:textId="77777777" w:rsidR="00993310" w:rsidRPr="007B0741" w:rsidRDefault="00993310" w:rsidP="000A093B">
      <w:pPr>
        <w:pStyle w:val="documenttext"/>
        <w:keepNext/>
        <w:spacing w:after="0"/>
        <w:rPr>
          <w:i/>
          <w:sz w:val="22"/>
          <w:szCs w:val="22"/>
        </w:rPr>
      </w:pPr>
    </w:p>
    <w:p w14:paraId="2C188C8A" w14:textId="788ED7DD" w:rsidR="00432E9B" w:rsidRPr="007B0741" w:rsidRDefault="005A3D7D" w:rsidP="000A093B">
      <w:pPr>
        <w:pStyle w:val="documenttext"/>
        <w:keepNext/>
        <w:spacing w:after="0"/>
        <w:rPr>
          <w:i/>
          <w:sz w:val="22"/>
          <w:szCs w:val="22"/>
          <w:lang w:val="en-GB"/>
        </w:rPr>
      </w:pPr>
      <w:r>
        <w:rPr>
          <w:i/>
          <w:sz w:val="22"/>
          <w:szCs w:val="22"/>
          <w:lang w:val="en-GB"/>
        </w:rPr>
        <w:t>Ivacaftor as</w:t>
      </w:r>
      <w:r w:rsidRPr="007B0741">
        <w:rPr>
          <w:i/>
          <w:sz w:val="22"/>
          <w:szCs w:val="22"/>
          <w:lang w:val="en-GB"/>
        </w:rPr>
        <w:t xml:space="preserve"> </w:t>
      </w:r>
      <w:r w:rsidR="009B1867" w:rsidRPr="007B0741">
        <w:rPr>
          <w:i/>
          <w:sz w:val="22"/>
          <w:szCs w:val="22"/>
          <w:lang w:val="en-GB"/>
        </w:rPr>
        <w:t>monotherapy</w:t>
      </w:r>
    </w:p>
    <w:p w14:paraId="44D46505" w14:textId="77777777" w:rsidR="00D90763" w:rsidRPr="007B0741" w:rsidRDefault="00D90763" w:rsidP="000A093B">
      <w:pPr>
        <w:pStyle w:val="documenttext"/>
        <w:keepNext/>
        <w:spacing w:after="0"/>
        <w:rPr>
          <w:i/>
          <w:sz w:val="22"/>
          <w:szCs w:val="22"/>
        </w:rPr>
      </w:pPr>
    </w:p>
    <w:p w14:paraId="23345752" w14:textId="1AFC355E" w:rsidR="00223101" w:rsidRDefault="005A3D7D" w:rsidP="000A093B">
      <w:pPr>
        <w:keepNext/>
        <w:spacing w:line="240" w:lineRule="auto"/>
        <w:rPr>
          <w:i/>
          <w:u w:val="single"/>
        </w:rPr>
      </w:pPr>
      <w:r w:rsidRPr="007B0741">
        <w:rPr>
          <w:i/>
          <w:u w:val="single"/>
        </w:rPr>
        <w:t>Study</w:t>
      </w:r>
      <w:r>
        <w:rPr>
          <w:i/>
          <w:u w:val="single"/>
        </w:rPr>
        <w:t> </w:t>
      </w:r>
      <w:r w:rsidR="009B1867" w:rsidRPr="007B0741">
        <w:rPr>
          <w:i/>
          <w:u w:val="single"/>
        </w:rPr>
        <w:t>1 and 2: studies in patients with CF with G551D gating mutations</w:t>
      </w:r>
    </w:p>
    <w:p w14:paraId="2A06AAD9" w14:textId="77777777" w:rsidR="005078CA" w:rsidRPr="007B0741" w:rsidRDefault="005078CA" w:rsidP="000A093B">
      <w:pPr>
        <w:keepNext/>
        <w:spacing w:line="240" w:lineRule="auto"/>
        <w:rPr>
          <w:i/>
          <w:u w:val="single"/>
        </w:rPr>
      </w:pPr>
    </w:p>
    <w:p w14:paraId="5CD51A4D" w14:textId="4198D5D9" w:rsidR="00F976E8" w:rsidRPr="00A808AC" w:rsidRDefault="005A3D7D" w:rsidP="000A093B">
      <w:pPr>
        <w:pStyle w:val="labeltext"/>
        <w:keepNext/>
        <w:ind w:right="-37"/>
        <w:rPr>
          <w:sz w:val="22"/>
          <w:szCs w:val="22"/>
          <w:lang w:val="en-GB"/>
        </w:rPr>
      </w:pPr>
      <w:r w:rsidRPr="00A808AC">
        <w:rPr>
          <w:sz w:val="22"/>
          <w:szCs w:val="22"/>
          <w:lang w:val="en-GB"/>
        </w:rPr>
        <w:t xml:space="preserve">The efficacy of </w:t>
      </w:r>
      <w:r w:rsidR="005078CA">
        <w:rPr>
          <w:sz w:val="22"/>
          <w:szCs w:val="22"/>
          <w:lang w:val="en-GB"/>
        </w:rPr>
        <w:t>ivacaftor</w:t>
      </w:r>
      <w:r w:rsidR="005078CA" w:rsidRPr="00A808AC">
        <w:rPr>
          <w:sz w:val="22"/>
          <w:szCs w:val="22"/>
          <w:lang w:val="en-GB"/>
        </w:rPr>
        <w:t xml:space="preserve"> </w:t>
      </w:r>
      <w:r w:rsidRPr="00A808AC">
        <w:rPr>
          <w:sz w:val="22"/>
          <w:szCs w:val="22"/>
          <w:lang w:val="en-GB"/>
        </w:rPr>
        <w:t xml:space="preserve">has been evaluated in two </w:t>
      </w:r>
      <w:r w:rsidR="00BA40DB">
        <w:rPr>
          <w:sz w:val="22"/>
          <w:szCs w:val="22"/>
          <w:lang w:val="en-GB"/>
        </w:rPr>
        <w:t>p</w:t>
      </w:r>
      <w:r w:rsidRPr="00A808AC">
        <w:rPr>
          <w:sz w:val="22"/>
          <w:szCs w:val="22"/>
          <w:lang w:val="en-GB"/>
        </w:rPr>
        <w:t>hase 3 randomised, double</w:t>
      </w:r>
      <w:r w:rsidRPr="00A808AC">
        <w:rPr>
          <w:sz w:val="22"/>
          <w:szCs w:val="22"/>
          <w:lang w:val="en-GB"/>
        </w:rPr>
        <w:noBreakHyphen/>
        <w:t>blind, placebo</w:t>
      </w:r>
      <w:r w:rsidRPr="00A808AC">
        <w:rPr>
          <w:sz w:val="22"/>
          <w:szCs w:val="22"/>
          <w:lang w:val="en-GB"/>
        </w:rPr>
        <w:noBreakHyphen/>
        <w:t>controlled, multi</w:t>
      </w:r>
      <w:r w:rsidRPr="00A808AC">
        <w:rPr>
          <w:sz w:val="22"/>
          <w:szCs w:val="22"/>
          <w:lang w:val="en-GB"/>
        </w:rPr>
        <w:noBreakHyphen/>
        <w:t xml:space="preserve">centre studies of clinically stable patients with CF who had the </w:t>
      </w:r>
      <w:r w:rsidRPr="00A808AC">
        <w:rPr>
          <w:i/>
          <w:iCs/>
          <w:sz w:val="22"/>
          <w:szCs w:val="22"/>
          <w:lang w:val="en-GB"/>
        </w:rPr>
        <w:t>G551D</w:t>
      </w:r>
      <w:r w:rsidRPr="00A808AC">
        <w:rPr>
          <w:sz w:val="22"/>
          <w:szCs w:val="22"/>
          <w:lang w:val="en-GB"/>
        </w:rPr>
        <w:t xml:space="preserve"> mutation in the </w:t>
      </w:r>
      <w:r w:rsidRPr="00A808AC">
        <w:rPr>
          <w:i/>
          <w:sz w:val="22"/>
          <w:szCs w:val="22"/>
          <w:lang w:val="en-GB"/>
        </w:rPr>
        <w:t>CFTR</w:t>
      </w:r>
      <w:r w:rsidRPr="00A808AC">
        <w:rPr>
          <w:sz w:val="22"/>
          <w:szCs w:val="22"/>
          <w:lang w:val="en-GB"/>
        </w:rPr>
        <w:t xml:space="preserve"> gene on at least 1 allele and had FEV</w:t>
      </w:r>
      <w:r w:rsidRPr="00A808AC">
        <w:rPr>
          <w:sz w:val="22"/>
          <w:szCs w:val="22"/>
          <w:vertAlign w:val="subscript"/>
          <w:lang w:val="en-GB"/>
        </w:rPr>
        <w:t>1</w:t>
      </w:r>
      <w:r w:rsidRPr="00A808AC">
        <w:rPr>
          <w:sz w:val="22"/>
          <w:szCs w:val="22"/>
          <w:lang w:val="en-GB"/>
        </w:rPr>
        <w:t xml:space="preserve"> ≥</w:t>
      </w:r>
      <w:r w:rsidR="006D6288">
        <w:rPr>
          <w:sz w:val="22"/>
          <w:szCs w:val="22"/>
          <w:lang w:val="en-GB"/>
        </w:rPr>
        <w:t> </w:t>
      </w:r>
      <w:r w:rsidRPr="00A808AC">
        <w:rPr>
          <w:sz w:val="22"/>
          <w:szCs w:val="22"/>
          <w:lang w:val="en-GB"/>
        </w:rPr>
        <w:t>40% predict</w:t>
      </w:r>
      <w:r w:rsidRPr="00A808AC">
        <w:rPr>
          <w:sz w:val="22"/>
          <w:szCs w:val="22"/>
          <w:lang w:val="en-GB"/>
        </w:rPr>
        <w:t>ed.</w:t>
      </w:r>
    </w:p>
    <w:p w14:paraId="765EE325" w14:textId="77777777" w:rsidR="00F976E8" w:rsidRPr="00A808AC" w:rsidRDefault="00F976E8" w:rsidP="00D90987">
      <w:pPr>
        <w:pStyle w:val="labeltext"/>
        <w:rPr>
          <w:sz w:val="22"/>
          <w:szCs w:val="22"/>
          <w:lang w:val="en-GB"/>
        </w:rPr>
      </w:pPr>
    </w:p>
    <w:p w14:paraId="313D0737" w14:textId="77777777" w:rsidR="00F976E8" w:rsidRPr="00A808AC" w:rsidRDefault="005A3D7D" w:rsidP="00D90987">
      <w:pPr>
        <w:pStyle w:val="labeltext"/>
        <w:rPr>
          <w:sz w:val="22"/>
          <w:szCs w:val="22"/>
          <w:lang w:val="en-GB"/>
        </w:rPr>
      </w:pPr>
      <w:r w:rsidRPr="00A808AC">
        <w:rPr>
          <w:sz w:val="22"/>
          <w:szCs w:val="22"/>
          <w:lang w:val="en-GB"/>
        </w:rPr>
        <w:t>Patients in both studies were randomised 1:1 to receive either 150 mg of ivacaftor or placebo every 12 hours with food containing fat for 48</w:t>
      </w:r>
      <w:r w:rsidR="00973583" w:rsidRPr="00A808AC">
        <w:rPr>
          <w:sz w:val="22"/>
          <w:szCs w:val="22"/>
          <w:lang w:val="en-GB"/>
        </w:rPr>
        <w:t> </w:t>
      </w:r>
      <w:r w:rsidRPr="00A808AC">
        <w:rPr>
          <w:sz w:val="22"/>
          <w:szCs w:val="22"/>
          <w:lang w:val="en-GB"/>
        </w:rPr>
        <w:t>weeks in addition to their prescribed CF therapies (e.g., tobramycin, dornase alfa). The use of inhaled hypert</w:t>
      </w:r>
      <w:r w:rsidRPr="00A808AC">
        <w:rPr>
          <w:sz w:val="22"/>
          <w:szCs w:val="22"/>
          <w:lang w:val="en-GB"/>
        </w:rPr>
        <w:t xml:space="preserve">onic </w:t>
      </w:r>
      <w:r w:rsidR="008939B7" w:rsidRPr="00A808AC">
        <w:rPr>
          <w:sz w:val="22"/>
          <w:szCs w:val="22"/>
          <w:lang w:val="en-GB"/>
        </w:rPr>
        <w:t xml:space="preserve">sodium chloride </w:t>
      </w:r>
      <w:r w:rsidRPr="00A808AC">
        <w:rPr>
          <w:sz w:val="22"/>
          <w:szCs w:val="22"/>
          <w:lang w:val="en-GB"/>
        </w:rPr>
        <w:t>was not permitted.</w:t>
      </w:r>
    </w:p>
    <w:p w14:paraId="0D4A9DBA" w14:textId="77777777" w:rsidR="00F976E8" w:rsidRPr="00A808AC" w:rsidRDefault="00F976E8" w:rsidP="00D90987">
      <w:pPr>
        <w:pStyle w:val="labeltext"/>
        <w:rPr>
          <w:sz w:val="22"/>
          <w:szCs w:val="22"/>
          <w:lang w:val="en-GB"/>
        </w:rPr>
      </w:pPr>
    </w:p>
    <w:p w14:paraId="0291ACC2" w14:textId="60713908" w:rsidR="00F976E8" w:rsidRPr="00A808AC" w:rsidRDefault="005A3D7D" w:rsidP="00D90987">
      <w:pPr>
        <w:pStyle w:val="labeltext"/>
        <w:rPr>
          <w:sz w:val="22"/>
          <w:szCs w:val="22"/>
          <w:lang w:val="en-GB"/>
        </w:rPr>
      </w:pPr>
      <w:r w:rsidRPr="00A808AC">
        <w:rPr>
          <w:sz w:val="22"/>
          <w:szCs w:val="22"/>
          <w:lang w:val="en-GB"/>
        </w:rPr>
        <w:t>Study</w:t>
      </w:r>
      <w:r>
        <w:rPr>
          <w:sz w:val="22"/>
          <w:szCs w:val="22"/>
          <w:lang w:val="en-GB"/>
        </w:rPr>
        <w:t> </w:t>
      </w:r>
      <w:r w:rsidR="009B1867" w:rsidRPr="00A808AC">
        <w:rPr>
          <w:sz w:val="22"/>
          <w:szCs w:val="22"/>
          <w:lang w:val="en-GB"/>
        </w:rPr>
        <w:t xml:space="preserve">1 evaluated 161 patients who were 12 years of age or older; 122 (75.8%) patients had the </w:t>
      </w:r>
      <w:r w:rsidR="009B1867" w:rsidRPr="00A808AC">
        <w:rPr>
          <w:i/>
          <w:sz w:val="22"/>
          <w:szCs w:val="22"/>
          <w:lang w:val="en-GB"/>
        </w:rPr>
        <w:t>F508del</w:t>
      </w:r>
      <w:r w:rsidR="009B1867" w:rsidRPr="00A808AC">
        <w:rPr>
          <w:sz w:val="22"/>
          <w:szCs w:val="22"/>
          <w:lang w:val="en-GB"/>
        </w:rPr>
        <w:t xml:space="preserve"> mutation in the second allele. At the start of the study, patients in the placebo group used some medicinal products at a higher frequency than the ivacaftor group. These medications included dornase alfa (73.1% versus 65.1%), salbutamol (53.8% versus 42.2%), tobramycin (44.9% versus 33.7%) and salmeterol/fluticasone (41.0% versus 27.7%). At baseline, mean predicted FEV</w:t>
      </w:r>
      <w:r w:rsidR="009B1867" w:rsidRPr="00A808AC">
        <w:rPr>
          <w:sz w:val="22"/>
          <w:szCs w:val="22"/>
          <w:vertAlign w:val="subscript"/>
          <w:lang w:val="en-GB"/>
        </w:rPr>
        <w:t>1</w:t>
      </w:r>
      <w:r w:rsidR="009B1867" w:rsidRPr="00A808AC">
        <w:rPr>
          <w:sz w:val="22"/>
          <w:szCs w:val="22"/>
          <w:lang w:val="en-GB"/>
        </w:rPr>
        <w:t xml:space="preserve"> was 63.6% (range: 31.6% to 98.2%) and mean age was 26 years (range: 12 to 53 years).</w:t>
      </w:r>
    </w:p>
    <w:p w14:paraId="299D4D31" w14:textId="77777777" w:rsidR="00F976E8" w:rsidRPr="00A808AC" w:rsidRDefault="00F976E8" w:rsidP="00D90987">
      <w:pPr>
        <w:pStyle w:val="labeltext"/>
        <w:rPr>
          <w:sz w:val="22"/>
          <w:szCs w:val="22"/>
          <w:lang w:val="en-GB"/>
        </w:rPr>
      </w:pPr>
    </w:p>
    <w:p w14:paraId="12A72BEB" w14:textId="72A5C7E3" w:rsidR="00F976E8" w:rsidRPr="00A808AC" w:rsidRDefault="005A3D7D" w:rsidP="00D90987">
      <w:pPr>
        <w:pStyle w:val="labeltext"/>
        <w:rPr>
          <w:sz w:val="22"/>
          <w:szCs w:val="22"/>
          <w:lang w:val="en-GB"/>
        </w:rPr>
      </w:pPr>
      <w:r w:rsidRPr="00A808AC">
        <w:rPr>
          <w:sz w:val="22"/>
          <w:szCs w:val="22"/>
          <w:lang w:val="en-GB"/>
        </w:rPr>
        <w:t>Study 2 evaluated 52 patients who were 6 to 11 year</w:t>
      </w:r>
      <w:r w:rsidRPr="00A808AC">
        <w:rPr>
          <w:sz w:val="22"/>
          <w:szCs w:val="22"/>
          <w:lang w:val="en-GB"/>
        </w:rPr>
        <w:t xml:space="preserve">s of age at screening; mean (SD) body weight was 30.9 (8.63) kg; 42 (80.8%) patients had the </w:t>
      </w:r>
      <w:r w:rsidRPr="00A808AC">
        <w:rPr>
          <w:i/>
          <w:sz w:val="22"/>
          <w:szCs w:val="22"/>
          <w:lang w:val="en-GB"/>
        </w:rPr>
        <w:t>F508del</w:t>
      </w:r>
      <w:r w:rsidRPr="00A808AC">
        <w:rPr>
          <w:sz w:val="22"/>
          <w:szCs w:val="22"/>
          <w:lang w:val="en-GB"/>
        </w:rPr>
        <w:t xml:space="preserve"> mutation in the second allele. At baseline, mean predicted FEV</w:t>
      </w:r>
      <w:r w:rsidRPr="00A808AC">
        <w:rPr>
          <w:sz w:val="22"/>
          <w:szCs w:val="22"/>
          <w:vertAlign w:val="subscript"/>
          <w:lang w:val="en-GB"/>
        </w:rPr>
        <w:t>1</w:t>
      </w:r>
      <w:r w:rsidRPr="00A808AC">
        <w:rPr>
          <w:sz w:val="22"/>
          <w:szCs w:val="22"/>
          <w:lang w:val="en-GB"/>
        </w:rPr>
        <w:t xml:space="preserve"> was 84.2% (range: 44.0% to 133.8%) and mean age was 9 years (range: 6 to </w:t>
      </w:r>
      <w:r w:rsidR="00B40199" w:rsidRPr="00A808AC">
        <w:rPr>
          <w:sz w:val="22"/>
          <w:szCs w:val="22"/>
          <w:lang w:val="en-GB"/>
        </w:rPr>
        <w:t>12</w:t>
      </w:r>
      <w:r w:rsidR="00B40199">
        <w:rPr>
          <w:sz w:val="22"/>
          <w:szCs w:val="22"/>
          <w:lang w:val="en-GB"/>
        </w:rPr>
        <w:t> </w:t>
      </w:r>
      <w:r w:rsidRPr="00A808AC">
        <w:rPr>
          <w:sz w:val="22"/>
          <w:szCs w:val="22"/>
          <w:lang w:val="en-GB"/>
        </w:rPr>
        <w:t>years); 8 (30.8</w:t>
      </w:r>
      <w:r w:rsidRPr="00A808AC">
        <w:rPr>
          <w:sz w:val="22"/>
          <w:szCs w:val="22"/>
          <w:lang w:val="en-GB"/>
        </w:rPr>
        <w:t>%) patients in the placebo group and 4 (15.4%) patients in the ivacaftor group had an FEV</w:t>
      </w:r>
      <w:r w:rsidRPr="00A808AC">
        <w:rPr>
          <w:sz w:val="22"/>
          <w:szCs w:val="22"/>
          <w:vertAlign w:val="subscript"/>
          <w:lang w:val="en-GB"/>
        </w:rPr>
        <w:t>1</w:t>
      </w:r>
      <w:r w:rsidRPr="00A808AC">
        <w:rPr>
          <w:sz w:val="22"/>
          <w:szCs w:val="22"/>
          <w:lang w:val="en-GB"/>
        </w:rPr>
        <w:t xml:space="preserve"> less than 70% predicted at baseline.</w:t>
      </w:r>
    </w:p>
    <w:p w14:paraId="324C9C0E" w14:textId="77777777" w:rsidR="00F976E8" w:rsidRPr="00A808AC" w:rsidRDefault="00F976E8" w:rsidP="00D90987">
      <w:pPr>
        <w:pStyle w:val="labeltext"/>
        <w:rPr>
          <w:sz w:val="22"/>
          <w:szCs w:val="22"/>
          <w:lang w:val="en-GB"/>
        </w:rPr>
      </w:pPr>
    </w:p>
    <w:p w14:paraId="400B9C14" w14:textId="77777777" w:rsidR="00F976E8" w:rsidRPr="00A808AC" w:rsidRDefault="005A3D7D" w:rsidP="00D90987">
      <w:pPr>
        <w:pStyle w:val="labeltext"/>
        <w:rPr>
          <w:sz w:val="22"/>
          <w:szCs w:val="22"/>
          <w:lang w:val="en-GB"/>
        </w:rPr>
      </w:pPr>
      <w:r w:rsidRPr="00A808AC">
        <w:rPr>
          <w:sz w:val="22"/>
          <w:szCs w:val="22"/>
          <w:lang w:val="en-GB"/>
        </w:rPr>
        <w:t>The primary efficacy endpoint in both studies was the mean absolute change from baseline in percent predicted FEV</w:t>
      </w:r>
      <w:r w:rsidRPr="00A808AC">
        <w:rPr>
          <w:sz w:val="22"/>
          <w:szCs w:val="22"/>
          <w:vertAlign w:val="subscript"/>
          <w:lang w:val="en-GB"/>
        </w:rPr>
        <w:t>1</w:t>
      </w:r>
      <w:r w:rsidRPr="00A808AC">
        <w:rPr>
          <w:sz w:val="22"/>
          <w:szCs w:val="22"/>
          <w:lang w:val="en-GB"/>
        </w:rPr>
        <w:t xml:space="preserve"> through 24 weeks of treatment.</w:t>
      </w:r>
    </w:p>
    <w:p w14:paraId="186F80B0" w14:textId="77777777" w:rsidR="00F976E8" w:rsidRPr="00A808AC" w:rsidRDefault="00F976E8" w:rsidP="00D90987">
      <w:pPr>
        <w:pStyle w:val="labeltext"/>
        <w:rPr>
          <w:sz w:val="22"/>
          <w:szCs w:val="22"/>
          <w:lang w:val="en-GB"/>
        </w:rPr>
      </w:pPr>
    </w:p>
    <w:p w14:paraId="08A8961D" w14:textId="1AAC0529" w:rsidR="00F976E8" w:rsidRPr="00A808AC" w:rsidRDefault="005A3D7D" w:rsidP="00D90987">
      <w:pPr>
        <w:pStyle w:val="labeltext"/>
        <w:rPr>
          <w:sz w:val="22"/>
          <w:szCs w:val="22"/>
          <w:lang w:val="en-GB"/>
        </w:rPr>
      </w:pPr>
      <w:r w:rsidRPr="00A808AC">
        <w:rPr>
          <w:sz w:val="22"/>
          <w:szCs w:val="22"/>
          <w:lang w:val="en-GB"/>
        </w:rPr>
        <w:t>The treatment difference between ivacaftor and placebo for the mean absolute change (95% CI) in percent predicted FEV</w:t>
      </w:r>
      <w:r w:rsidRPr="00A808AC">
        <w:rPr>
          <w:sz w:val="22"/>
          <w:szCs w:val="22"/>
          <w:vertAlign w:val="subscript"/>
          <w:lang w:val="en-GB"/>
        </w:rPr>
        <w:t>1</w:t>
      </w:r>
      <w:r w:rsidRPr="00A808AC">
        <w:rPr>
          <w:sz w:val="22"/>
          <w:szCs w:val="22"/>
          <w:lang w:val="en-GB"/>
        </w:rPr>
        <w:t xml:space="preserve"> from baseline through </w:t>
      </w:r>
      <w:r w:rsidR="00136C13">
        <w:rPr>
          <w:sz w:val="22"/>
          <w:szCs w:val="22"/>
          <w:lang w:val="en-GB"/>
        </w:rPr>
        <w:t>w</w:t>
      </w:r>
      <w:r w:rsidR="007262E5" w:rsidRPr="00A808AC">
        <w:rPr>
          <w:sz w:val="22"/>
          <w:szCs w:val="22"/>
          <w:lang w:val="en-GB"/>
        </w:rPr>
        <w:t>eek</w:t>
      </w:r>
      <w:r w:rsidR="00F62129" w:rsidRPr="00A808AC">
        <w:rPr>
          <w:sz w:val="22"/>
          <w:szCs w:val="22"/>
          <w:lang w:val="en-GB"/>
        </w:rPr>
        <w:t> </w:t>
      </w:r>
      <w:r w:rsidRPr="00A808AC">
        <w:rPr>
          <w:sz w:val="22"/>
          <w:szCs w:val="22"/>
          <w:lang w:val="en-GB"/>
        </w:rPr>
        <w:t>24 was 10.6</w:t>
      </w:r>
      <w:r w:rsidR="00973583" w:rsidRPr="00A808AC">
        <w:rPr>
          <w:sz w:val="22"/>
          <w:szCs w:val="22"/>
          <w:lang w:val="en-GB"/>
        </w:rPr>
        <w:t> </w:t>
      </w:r>
      <w:r w:rsidRPr="00A808AC">
        <w:rPr>
          <w:sz w:val="22"/>
          <w:szCs w:val="22"/>
          <w:lang w:val="en-GB"/>
        </w:rPr>
        <w:t>percentage points (8.6</w:t>
      </w:r>
      <w:r w:rsidR="00E1017C" w:rsidRPr="00A808AC">
        <w:rPr>
          <w:sz w:val="22"/>
          <w:szCs w:val="22"/>
          <w:lang w:val="en-GB"/>
        </w:rPr>
        <w:t xml:space="preserve">, </w:t>
      </w:r>
      <w:r w:rsidRPr="00A808AC">
        <w:rPr>
          <w:sz w:val="22"/>
          <w:szCs w:val="22"/>
          <w:lang w:val="en-GB"/>
        </w:rPr>
        <w:t xml:space="preserve">12.6) in study 1 and </w:t>
      </w:r>
      <w:r w:rsidRPr="00A808AC">
        <w:rPr>
          <w:sz w:val="22"/>
          <w:szCs w:val="22"/>
          <w:lang w:val="en-GB"/>
        </w:rPr>
        <w:t>12.5 percentage points (6.6</w:t>
      </w:r>
      <w:r w:rsidR="00E1017C" w:rsidRPr="00A808AC">
        <w:rPr>
          <w:sz w:val="22"/>
          <w:szCs w:val="22"/>
          <w:lang w:val="en-GB"/>
        </w:rPr>
        <w:t xml:space="preserve">, </w:t>
      </w:r>
      <w:r w:rsidRPr="00A808AC">
        <w:rPr>
          <w:sz w:val="22"/>
          <w:szCs w:val="22"/>
          <w:lang w:val="en-GB"/>
        </w:rPr>
        <w:t xml:space="preserve">18.3) in </w:t>
      </w:r>
      <w:r w:rsidR="0032138D">
        <w:rPr>
          <w:sz w:val="22"/>
          <w:szCs w:val="22"/>
          <w:lang w:val="en-GB"/>
        </w:rPr>
        <w:t>study </w:t>
      </w:r>
      <w:r w:rsidRPr="00A808AC">
        <w:rPr>
          <w:sz w:val="22"/>
          <w:szCs w:val="22"/>
          <w:lang w:val="en-GB"/>
        </w:rPr>
        <w:t>2. The treatment difference between ivacaftor and placebo for the mean relative change (95% CI) in percent predicted FEV</w:t>
      </w:r>
      <w:r w:rsidRPr="00A808AC">
        <w:rPr>
          <w:sz w:val="22"/>
          <w:szCs w:val="22"/>
          <w:vertAlign w:val="subscript"/>
          <w:lang w:val="en-GB"/>
        </w:rPr>
        <w:t>1</w:t>
      </w:r>
      <w:r w:rsidRPr="00A808AC">
        <w:rPr>
          <w:sz w:val="22"/>
          <w:szCs w:val="22"/>
          <w:lang w:val="en-GB"/>
        </w:rPr>
        <w:t xml:space="preserve"> from baseline through </w:t>
      </w:r>
      <w:r w:rsidR="003B32AD">
        <w:rPr>
          <w:sz w:val="22"/>
          <w:szCs w:val="22"/>
          <w:lang w:val="en-GB"/>
        </w:rPr>
        <w:t>w</w:t>
      </w:r>
      <w:r w:rsidR="007262E5" w:rsidRPr="00A808AC">
        <w:rPr>
          <w:sz w:val="22"/>
          <w:szCs w:val="22"/>
          <w:lang w:val="en-GB"/>
        </w:rPr>
        <w:t>eek</w:t>
      </w:r>
      <w:r w:rsidR="00F62129" w:rsidRPr="00A808AC">
        <w:rPr>
          <w:sz w:val="22"/>
          <w:szCs w:val="22"/>
          <w:lang w:val="en-GB"/>
        </w:rPr>
        <w:t> </w:t>
      </w:r>
      <w:r w:rsidRPr="00A808AC">
        <w:rPr>
          <w:sz w:val="22"/>
          <w:szCs w:val="22"/>
          <w:lang w:val="en-GB"/>
        </w:rPr>
        <w:t xml:space="preserve">24 was 17.1% (13.9, 20.2) in </w:t>
      </w:r>
      <w:r w:rsidR="0032138D">
        <w:rPr>
          <w:sz w:val="22"/>
          <w:szCs w:val="22"/>
          <w:lang w:val="en-GB"/>
        </w:rPr>
        <w:t>study </w:t>
      </w:r>
      <w:r w:rsidRPr="00A808AC">
        <w:rPr>
          <w:sz w:val="22"/>
          <w:szCs w:val="22"/>
          <w:lang w:val="en-GB"/>
        </w:rPr>
        <w:t xml:space="preserve">1 and 15.8% (8.4, 23.2) in </w:t>
      </w:r>
      <w:r w:rsidR="0032138D">
        <w:rPr>
          <w:sz w:val="22"/>
          <w:szCs w:val="22"/>
          <w:lang w:val="en-GB"/>
        </w:rPr>
        <w:t>study </w:t>
      </w:r>
      <w:r w:rsidRPr="00A808AC">
        <w:rPr>
          <w:sz w:val="22"/>
          <w:szCs w:val="22"/>
          <w:lang w:val="en-GB"/>
        </w:rPr>
        <w:t xml:space="preserve">2. The mean change from baseline through </w:t>
      </w:r>
      <w:r w:rsidR="003B32AD">
        <w:rPr>
          <w:sz w:val="22"/>
          <w:szCs w:val="22"/>
          <w:lang w:val="en-GB"/>
        </w:rPr>
        <w:t>w</w:t>
      </w:r>
      <w:r w:rsidR="007262E5" w:rsidRPr="00A808AC">
        <w:rPr>
          <w:sz w:val="22"/>
          <w:szCs w:val="22"/>
          <w:lang w:val="en-GB"/>
        </w:rPr>
        <w:t>eek </w:t>
      </w:r>
      <w:r w:rsidRPr="00A808AC">
        <w:rPr>
          <w:sz w:val="22"/>
          <w:szCs w:val="22"/>
          <w:lang w:val="en-GB"/>
        </w:rPr>
        <w:t>24 in FEV</w:t>
      </w:r>
      <w:r w:rsidRPr="00A808AC">
        <w:rPr>
          <w:sz w:val="22"/>
          <w:szCs w:val="22"/>
          <w:vertAlign w:val="subscript"/>
          <w:lang w:val="en-GB"/>
        </w:rPr>
        <w:t>1</w:t>
      </w:r>
      <w:r w:rsidRPr="00A808AC">
        <w:rPr>
          <w:sz w:val="22"/>
          <w:szCs w:val="22"/>
          <w:lang w:val="en-GB"/>
        </w:rPr>
        <w:t xml:space="preserve"> (L) was 0.37 L in the ivacaftor group and 0.01 L in the placebo group in </w:t>
      </w:r>
      <w:r w:rsidR="0032138D">
        <w:rPr>
          <w:sz w:val="22"/>
          <w:szCs w:val="22"/>
          <w:lang w:val="en-GB"/>
        </w:rPr>
        <w:t>study </w:t>
      </w:r>
      <w:r w:rsidRPr="00A808AC">
        <w:rPr>
          <w:sz w:val="22"/>
          <w:szCs w:val="22"/>
          <w:lang w:val="en-GB"/>
        </w:rPr>
        <w:t xml:space="preserve">1 and 0.30 L in the ivacaftor group and 0.07 L in the placebo group in </w:t>
      </w:r>
      <w:r w:rsidR="0032138D">
        <w:rPr>
          <w:sz w:val="22"/>
          <w:szCs w:val="22"/>
          <w:lang w:val="en-GB"/>
        </w:rPr>
        <w:t>study </w:t>
      </w:r>
      <w:r w:rsidRPr="00A808AC">
        <w:rPr>
          <w:sz w:val="22"/>
          <w:szCs w:val="22"/>
          <w:lang w:val="en-GB"/>
        </w:rPr>
        <w:t>2. In both studies, improvements in FE</w:t>
      </w:r>
      <w:r w:rsidRPr="00A808AC">
        <w:rPr>
          <w:sz w:val="22"/>
          <w:szCs w:val="22"/>
          <w:lang w:val="en-GB"/>
        </w:rPr>
        <w:t>V</w:t>
      </w:r>
      <w:r w:rsidRPr="00A808AC">
        <w:rPr>
          <w:sz w:val="22"/>
          <w:szCs w:val="22"/>
          <w:vertAlign w:val="subscript"/>
          <w:lang w:val="en-GB"/>
        </w:rPr>
        <w:t>1</w:t>
      </w:r>
      <w:r w:rsidRPr="00A808AC">
        <w:rPr>
          <w:sz w:val="22"/>
          <w:szCs w:val="22"/>
          <w:lang w:val="en-GB"/>
        </w:rPr>
        <w:t xml:space="preserve"> were rapid in onset (</w:t>
      </w:r>
      <w:r w:rsidR="00136C13">
        <w:rPr>
          <w:sz w:val="22"/>
          <w:szCs w:val="22"/>
          <w:lang w:val="en-GB"/>
        </w:rPr>
        <w:t>d</w:t>
      </w:r>
      <w:r w:rsidR="00C53F51" w:rsidRPr="00A808AC">
        <w:rPr>
          <w:sz w:val="22"/>
          <w:szCs w:val="22"/>
          <w:lang w:val="en-GB"/>
        </w:rPr>
        <w:t>ay</w:t>
      </w:r>
      <w:r w:rsidR="00F62129" w:rsidRPr="00A808AC">
        <w:rPr>
          <w:sz w:val="22"/>
          <w:szCs w:val="22"/>
          <w:lang w:val="en-GB"/>
        </w:rPr>
        <w:t> </w:t>
      </w:r>
      <w:r w:rsidRPr="00A808AC">
        <w:rPr>
          <w:sz w:val="22"/>
          <w:szCs w:val="22"/>
          <w:lang w:val="en-GB"/>
        </w:rPr>
        <w:t>15) and durable through 48</w:t>
      </w:r>
      <w:r w:rsidR="00973583" w:rsidRPr="00A808AC">
        <w:rPr>
          <w:sz w:val="22"/>
          <w:szCs w:val="22"/>
          <w:lang w:val="en-GB"/>
        </w:rPr>
        <w:t> </w:t>
      </w:r>
      <w:r w:rsidRPr="00A808AC">
        <w:rPr>
          <w:sz w:val="22"/>
          <w:szCs w:val="22"/>
          <w:lang w:val="en-GB"/>
        </w:rPr>
        <w:t>weeks.</w:t>
      </w:r>
    </w:p>
    <w:p w14:paraId="46939686" w14:textId="77777777" w:rsidR="00F976E8" w:rsidRPr="00A808AC" w:rsidRDefault="00F976E8" w:rsidP="00D90987">
      <w:pPr>
        <w:pStyle w:val="labeltext"/>
        <w:rPr>
          <w:sz w:val="22"/>
          <w:szCs w:val="22"/>
          <w:lang w:val="en-GB"/>
        </w:rPr>
      </w:pPr>
    </w:p>
    <w:p w14:paraId="2702712B" w14:textId="69D866C4" w:rsidR="00F976E8" w:rsidRPr="00A808AC" w:rsidRDefault="005A3D7D" w:rsidP="00D90987">
      <w:pPr>
        <w:pStyle w:val="labeltext"/>
        <w:rPr>
          <w:sz w:val="22"/>
          <w:szCs w:val="22"/>
          <w:lang w:val="en-GB"/>
        </w:rPr>
      </w:pPr>
      <w:r w:rsidRPr="00A808AC">
        <w:rPr>
          <w:sz w:val="22"/>
          <w:szCs w:val="22"/>
          <w:lang w:val="en-GB"/>
        </w:rPr>
        <w:t>The treatment difference between ivacaftor and placebo for the mean absolute change (95% CI) in percent predicted FEV</w:t>
      </w:r>
      <w:r w:rsidRPr="00A808AC">
        <w:rPr>
          <w:sz w:val="22"/>
          <w:szCs w:val="22"/>
          <w:vertAlign w:val="subscript"/>
          <w:lang w:val="en-GB"/>
        </w:rPr>
        <w:t>1</w:t>
      </w:r>
      <w:r w:rsidRPr="00A808AC">
        <w:rPr>
          <w:sz w:val="22"/>
          <w:szCs w:val="22"/>
          <w:lang w:val="en-GB"/>
        </w:rPr>
        <w:t xml:space="preserve"> from baseline through </w:t>
      </w:r>
      <w:r w:rsidR="003B32AD">
        <w:rPr>
          <w:sz w:val="22"/>
          <w:szCs w:val="22"/>
          <w:lang w:val="en-GB"/>
        </w:rPr>
        <w:t>w</w:t>
      </w:r>
      <w:r w:rsidR="007262E5" w:rsidRPr="00A808AC">
        <w:rPr>
          <w:sz w:val="22"/>
          <w:szCs w:val="22"/>
          <w:lang w:val="en-GB"/>
        </w:rPr>
        <w:t>eek</w:t>
      </w:r>
      <w:r w:rsidR="00F62129" w:rsidRPr="00A808AC">
        <w:rPr>
          <w:sz w:val="22"/>
          <w:szCs w:val="22"/>
          <w:lang w:val="en-GB"/>
        </w:rPr>
        <w:t> </w:t>
      </w:r>
      <w:r w:rsidRPr="00A808AC">
        <w:rPr>
          <w:sz w:val="22"/>
          <w:szCs w:val="22"/>
          <w:lang w:val="en-GB"/>
        </w:rPr>
        <w:t>24 in patients 12 to 17</w:t>
      </w:r>
      <w:r w:rsidR="00973583" w:rsidRPr="00A808AC">
        <w:rPr>
          <w:sz w:val="22"/>
          <w:szCs w:val="22"/>
          <w:lang w:val="en-GB"/>
        </w:rPr>
        <w:t> </w:t>
      </w:r>
      <w:r w:rsidRPr="00A808AC">
        <w:rPr>
          <w:sz w:val="22"/>
          <w:szCs w:val="22"/>
          <w:lang w:val="en-GB"/>
        </w:rPr>
        <w:t xml:space="preserve">years of age in </w:t>
      </w:r>
      <w:r w:rsidR="0032138D">
        <w:rPr>
          <w:sz w:val="22"/>
          <w:szCs w:val="22"/>
          <w:lang w:val="en-GB"/>
        </w:rPr>
        <w:t>study </w:t>
      </w:r>
      <w:r w:rsidRPr="00A808AC">
        <w:rPr>
          <w:sz w:val="22"/>
          <w:szCs w:val="22"/>
          <w:lang w:val="en-GB"/>
        </w:rPr>
        <w:t>1</w:t>
      </w:r>
      <w:r w:rsidRPr="00A808AC">
        <w:rPr>
          <w:sz w:val="22"/>
          <w:szCs w:val="22"/>
          <w:lang w:val="en-GB"/>
        </w:rPr>
        <w:t xml:space="preserve"> was 11.9 percentage points (5.9</w:t>
      </w:r>
      <w:r w:rsidR="00E1017C" w:rsidRPr="00A808AC">
        <w:rPr>
          <w:sz w:val="22"/>
          <w:szCs w:val="22"/>
          <w:lang w:val="en-GB"/>
        </w:rPr>
        <w:t xml:space="preserve">, </w:t>
      </w:r>
      <w:r w:rsidRPr="00A808AC">
        <w:rPr>
          <w:sz w:val="22"/>
          <w:szCs w:val="22"/>
          <w:lang w:val="en-GB"/>
        </w:rPr>
        <w:t>17.9). The treatment difference between ivacaftor and placebo for the mean absolute change (95% CI) in percent predicted FEV</w:t>
      </w:r>
      <w:r w:rsidRPr="00A808AC">
        <w:rPr>
          <w:sz w:val="22"/>
          <w:szCs w:val="22"/>
          <w:vertAlign w:val="subscript"/>
          <w:lang w:val="en-GB"/>
        </w:rPr>
        <w:t>1</w:t>
      </w:r>
      <w:r w:rsidRPr="00A808AC">
        <w:rPr>
          <w:sz w:val="22"/>
          <w:szCs w:val="22"/>
          <w:lang w:val="en-GB"/>
        </w:rPr>
        <w:t xml:space="preserve"> from baseline through </w:t>
      </w:r>
      <w:r w:rsidR="003B32AD">
        <w:rPr>
          <w:sz w:val="22"/>
          <w:szCs w:val="22"/>
          <w:lang w:val="en-GB"/>
        </w:rPr>
        <w:t>w</w:t>
      </w:r>
      <w:r w:rsidR="007262E5" w:rsidRPr="00A808AC">
        <w:rPr>
          <w:sz w:val="22"/>
          <w:szCs w:val="22"/>
          <w:lang w:val="en-GB"/>
        </w:rPr>
        <w:t>eek</w:t>
      </w:r>
      <w:r w:rsidR="00F62129" w:rsidRPr="00A808AC">
        <w:rPr>
          <w:sz w:val="22"/>
          <w:szCs w:val="22"/>
          <w:lang w:val="en-GB"/>
        </w:rPr>
        <w:t> </w:t>
      </w:r>
      <w:r w:rsidRPr="00A808AC">
        <w:rPr>
          <w:sz w:val="22"/>
          <w:szCs w:val="22"/>
          <w:lang w:val="en-GB"/>
        </w:rPr>
        <w:t>24 in patients with baseline predicted FEV</w:t>
      </w:r>
      <w:r w:rsidRPr="00A808AC">
        <w:rPr>
          <w:sz w:val="22"/>
          <w:szCs w:val="22"/>
          <w:vertAlign w:val="subscript"/>
          <w:lang w:val="en-GB"/>
        </w:rPr>
        <w:t xml:space="preserve">1 </w:t>
      </w:r>
      <w:r w:rsidRPr="00A808AC">
        <w:rPr>
          <w:sz w:val="22"/>
          <w:szCs w:val="22"/>
          <w:lang w:val="en-GB"/>
        </w:rPr>
        <w:t xml:space="preserve">greater than 90% in </w:t>
      </w:r>
      <w:r w:rsidR="0032138D">
        <w:rPr>
          <w:sz w:val="22"/>
          <w:szCs w:val="22"/>
          <w:lang w:val="en-GB"/>
        </w:rPr>
        <w:t>study </w:t>
      </w:r>
      <w:r w:rsidRPr="00A808AC">
        <w:rPr>
          <w:sz w:val="22"/>
          <w:szCs w:val="22"/>
          <w:lang w:val="en-GB"/>
        </w:rPr>
        <w:t>2 was 6.9</w:t>
      </w:r>
      <w:r w:rsidR="00973583" w:rsidRPr="00A808AC">
        <w:rPr>
          <w:sz w:val="22"/>
          <w:szCs w:val="22"/>
          <w:lang w:val="en-GB"/>
        </w:rPr>
        <w:t> </w:t>
      </w:r>
      <w:r w:rsidRPr="00A808AC">
        <w:rPr>
          <w:sz w:val="22"/>
          <w:szCs w:val="22"/>
          <w:lang w:val="en-GB"/>
        </w:rPr>
        <w:t>percentage points (</w:t>
      </w:r>
      <w:r w:rsidRPr="00A808AC">
        <w:rPr>
          <w:sz w:val="22"/>
          <w:szCs w:val="22"/>
          <w:lang w:val="en-GB"/>
        </w:rPr>
        <w:noBreakHyphen/>
        <w:t>3.8</w:t>
      </w:r>
      <w:r w:rsidR="00E1017C" w:rsidRPr="00A808AC">
        <w:rPr>
          <w:sz w:val="22"/>
          <w:szCs w:val="22"/>
          <w:lang w:val="en-GB"/>
        </w:rPr>
        <w:t xml:space="preserve">, </w:t>
      </w:r>
      <w:r w:rsidRPr="00A808AC">
        <w:rPr>
          <w:sz w:val="22"/>
          <w:szCs w:val="22"/>
          <w:lang w:val="en-GB"/>
        </w:rPr>
        <w:t>17.6).</w:t>
      </w:r>
    </w:p>
    <w:p w14:paraId="23BC33F9" w14:textId="77777777" w:rsidR="00F976E8" w:rsidRPr="00A808AC" w:rsidRDefault="00F976E8" w:rsidP="00D90987">
      <w:pPr>
        <w:pStyle w:val="labeltext"/>
        <w:rPr>
          <w:sz w:val="22"/>
          <w:szCs w:val="22"/>
          <w:lang w:val="en-GB"/>
        </w:rPr>
      </w:pPr>
    </w:p>
    <w:p w14:paraId="06229786" w14:textId="2DEB60F8" w:rsidR="00F976E8" w:rsidRPr="00A808AC" w:rsidRDefault="005A3D7D" w:rsidP="00D90987">
      <w:pPr>
        <w:pStyle w:val="labeltext"/>
        <w:rPr>
          <w:sz w:val="22"/>
          <w:szCs w:val="22"/>
          <w:lang w:val="en-GB"/>
        </w:rPr>
      </w:pPr>
      <w:r w:rsidRPr="00A808AC">
        <w:rPr>
          <w:sz w:val="22"/>
          <w:szCs w:val="22"/>
          <w:lang w:val="en-GB"/>
        </w:rPr>
        <w:t xml:space="preserve">The results </w:t>
      </w:r>
      <w:r w:rsidR="00E1017C" w:rsidRPr="00A808AC">
        <w:rPr>
          <w:sz w:val="22"/>
          <w:szCs w:val="22"/>
          <w:lang w:val="en-GB"/>
        </w:rPr>
        <w:t xml:space="preserve">for </w:t>
      </w:r>
      <w:r w:rsidRPr="00A808AC">
        <w:rPr>
          <w:sz w:val="22"/>
          <w:szCs w:val="22"/>
          <w:lang w:val="en-GB"/>
        </w:rPr>
        <w:t>clinically relevant secondary endpoints are shown in Table</w:t>
      </w:r>
      <w:r w:rsidR="004F6F1C">
        <w:rPr>
          <w:sz w:val="22"/>
          <w:szCs w:val="22"/>
          <w:lang w:val="en-GB"/>
        </w:rPr>
        <w:t> </w:t>
      </w:r>
      <w:r w:rsidR="002F0872">
        <w:rPr>
          <w:sz w:val="22"/>
          <w:szCs w:val="22"/>
          <w:lang w:val="en-GB"/>
        </w:rPr>
        <w:t>6</w:t>
      </w:r>
      <w:r w:rsidRPr="00A808AC">
        <w:rPr>
          <w:sz w:val="22"/>
          <w:szCs w:val="22"/>
          <w:lang w:val="en-GB"/>
        </w:rPr>
        <w:t>.</w:t>
      </w:r>
    </w:p>
    <w:p w14:paraId="781BAEC4" w14:textId="77777777" w:rsidR="00F976E8" w:rsidRPr="009955AF" w:rsidRDefault="00F976E8" w:rsidP="00D90987">
      <w:pPr>
        <w:pStyle w:val="labeltext"/>
        <w:rPr>
          <w:sz w:val="22"/>
          <w:lang w:val="en-GB"/>
        </w:rPr>
      </w:pPr>
    </w:p>
    <w:p w14:paraId="590C9328" w14:textId="39F3D5EC" w:rsidR="00F976E8" w:rsidRDefault="005A3D7D" w:rsidP="00A0798C">
      <w:pPr>
        <w:pStyle w:val="labeltext"/>
        <w:keepNext/>
        <w:spacing w:after="120"/>
        <w:rPr>
          <w:b/>
          <w:bCs/>
          <w:sz w:val="22"/>
          <w:szCs w:val="22"/>
          <w:lang w:val="en-GB"/>
        </w:rPr>
      </w:pPr>
      <w:r w:rsidRPr="00A808AC">
        <w:rPr>
          <w:b/>
          <w:bCs/>
          <w:sz w:val="22"/>
          <w:szCs w:val="22"/>
          <w:lang w:val="en-GB"/>
        </w:rPr>
        <w:t>Table</w:t>
      </w:r>
      <w:r w:rsidR="004F6F1C">
        <w:rPr>
          <w:b/>
          <w:bCs/>
          <w:sz w:val="22"/>
          <w:szCs w:val="22"/>
          <w:lang w:val="en-GB"/>
        </w:rPr>
        <w:t> </w:t>
      </w:r>
      <w:r w:rsidR="002F0872">
        <w:rPr>
          <w:b/>
          <w:bCs/>
          <w:sz w:val="22"/>
          <w:szCs w:val="22"/>
          <w:lang w:val="en-GB"/>
        </w:rPr>
        <w:t>6</w:t>
      </w:r>
      <w:r>
        <w:rPr>
          <w:b/>
          <w:bCs/>
          <w:sz w:val="22"/>
          <w:szCs w:val="22"/>
          <w:lang w:val="en-GB"/>
        </w:rPr>
        <w:t>:</w:t>
      </w:r>
      <w:r w:rsidRPr="00A808AC">
        <w:rPr>
          <w:b/>
          <w:bCs/>
          <w:sz w:val="22"/>
          <w:szCs w:val="22"/>
          <w:lang w:val="en-GB"/>
        </w:rPr>
        <w:t xml:space="preserve"> Effect of ivacaftor on other efficacy endpoints in studies 1 and 2</w:t>
      </w:r>
    </w:p>
    <w:tbl>
      <w:tblPr>
        <w:tblW w:w="4941" w:type="pct"/>
        <w:tblInd w:w="109" w:type="dxa"/>
        <w:tblLook w:val="01E0" w:firstRow="1" w:lastRow="1" w:firstColumn="1" w:lastColumn="1" w:noHBand="0" w:noVBand="0"/>
      </w:tblPr>
      <w:tblGrid>
        <w:gridCol w:w="2432"/>
        <w:gridCol w:w="1810"/>
        <w:gridCol w:w="1313"/>
        <w:gridCol w:w="1810"/>
        <w:gridCol w:w="1603"/>
      </w:tblGrid>
      <w:tr w:rsidR="00476058" w14:paraId="412A33BD" w14:textId="77777777" w:rsidTr="006878A4">
        <w:trPr>
          <w:trHeight w:val="210"/>
          <w:tblHeader/>
        </w:trPr>
        <w:tc>
          <w:tcPr>
            <w:tcW w:w="1356" w:type="pct"/>
            <w:vMerge w:val="restart"/>
            <w:tcBorders>
              <w:top w:val="single" w:sz="4" w:space="0" w:color="auto"/>
              <w:left w:val="single" w:sz="4" w:space="0" w:color="auto"/>
              <w:right w:val="single" w:sz="4" w:space="0" w:color="auto"/>
            </w:tcBorders>
            <w:vAlign w:val="bottom"/>
          </w:tcPr>
          <w:p w14:paraId="52764C68" w14:textId="77777777" w:rsidR="00C63971" w:rsidRPr="00E66334" w:rsidRDefault="005A3D7D" w:rsidP="000A093B">
            <w:pPr>
              <w:keepNext/>
              <w:tabs>
                <w:tab w:val="clear" w:pos="567"/>
              </w:tabs>
              <w:spacing w:line="240" w:lineRule="auto"/>
              <w:ind w:left="1100"/>
              <w:rPr>
                <w:b/>
                <w:bCs/>
                <w:lang w:eastAsia="en-GB"/>
              </w:rPr>
            </w:pPr>
            <w:r w:rsidRPr="00E66334">
              <w:rPr>
                <w:b/>
                <w:bCs/>
                <w:lang w:eastAsia="en-GB"/>
              </w:rPr>
              <w:t>Endpoint</w:t>
            </w:r>
          </w:p>
        </w:tc>
        <w:tc>
          <w:tcPr>
            <w:tcW w:w="1741" w:type="pct"/>
            <w:gridSpan w:val="2"/>
            <w:tcBorders>
              <w:top w:val="single" w:sz="4" w:space="0" w:color="auto"/>
              <w:left w:val="single" w:sz="4" w:space="0" w:color="auto"/>
              <w:bottom w:val="single" w:sz="4" w:space="0" w:color="auto"/>
              <w:right w:val="single" w:sz="4" w:space="0" w:color="auto"/>
            </w:tcBorders>
          </w:tcPr>
          <w:p w14:paraId="1F5E1AAF" w14:textId="77777777" w:rsidR="00C63971" w:rsidRPr="00E66334" w:rsidRDefault="005A3D7D" w:rsidP="00A0798C">
            <w:pPr>
              <w:keepNext/>
              <w:tabs>
                <w:tab w:val="clear" w:pos="567"/>
              </w:tabs>
              <w:spacing w:line="240" w:lineRule="auto"/>
              <w:jc w:val="center"/>
              <w:rPr>
                <w:b/>
                <w:bCs/>
                <w:lang w:eastAsia="en-GB"/>
              </w:rPr>
            </w:pPr>
            <w:r>
              <w:rPr>
                <w:b/>
                <w:bCs/>
              </w:rPr>
              <w:t>Study </w:t>
            </w:r>
            <w:r w:rsidR="009B1867" w:rsidRPr="00E66334">
              <w:rPr>
                <w:b/>
                <w:bCs/>
              </w:rPr>
              <w:t>1</w:t>
            </w:r>
          </w:p>
        </w:tc>
        <w:tc>
          <w:tcPr>
            <w:tcW w:w="1903" w:type="pct"/>
            <w:gridSpan w:val="2"/>
            <w:tcBorders>
              <w:top w:val="single" w:sz="4" w:space="0" w:color="auto"/>
              <w:left w:val="single" w:sz="4" w:space="0" w:color="auto"/>
              <w:bottom w:val="single" w:sz="4" w:space="0" w:color="auto"/>
              <w:right w:val="single" w:sz="4" w:space="0" w:color="auto"/>
            </w:tcBorders>
          </w:tcPr>
          <w:p w14:paraId="78326A70" w14:textId="77777777" w:rsidR="00C63971" w:rsidRPr="00E66334" w:rsidRDefault="005A3D7D" w:rsidP="0069106A">
            <w:pPr>
              <w:keepNext/>
              <w:tabs>
                <w:tab w:val="clear" w:pos="567"/>
              </w:tabs>
              <w:spacing w:line="240" w:lineRule="auto"/>
              <w:jc w:val="center"/>
              <w:rPr>
                <w:b/>
                <w:bCs/>
                <w:lang w:eastAsia="en-GB"/>
              </w:rPr>
            </w:pPr>
            <w:r>
              <w:rPr>
                <w:b/>
                <w:bCs/>
              </w:rPr>
              <w:t>Study </w:t>
            </w:r>
            <w:r w:rsidR="009B1867" w:rsidRPr="00E66334">
              <w:rPr>
                <w:b/>
                <w:bCs/>
              </w:rPr>
              <w:t>2</w:t>
            </w:r>
          </w:p>
        </w:tc>
      </w:tr>
      <w:tr w:rsidR="00476058" w14:paraId="76035FC7" w14:textId="77777777" w:rsidTr="006878A4">
        <w:trPr>
          <w:trHeight w:val="565"/>
          <w:tblHeader/>
        </w:trPr>
        <w:tc>
          <w:tcPr>
            <w:tcW w:w="1356" w:type="pct"/>
            <w:vMerge/>
            <w:tcBorders>
              <w:left w:val="single" w:sz="4" w:space="0" w:color="auto"/>
              <w:bottom w:val="single" w:sz="4" w:space="0" w:color="auto"/>
              <w:right w:val="single" w:sz="4" w:space="0" w:color="auto"/>
            </w:tcBorders>
            <w:vAlign w:val="bottom"/>
          </w:tcPr>
          <w:p w14:paraId="0B0FA69D" w14:textId="77777777" w:rsidR="00C63971" w:rsidRPr="00E66334" w:rsidRDefault="00C63971" w:rsidP="006878A4">
            <w:pPr>
              <w:tabs>
                <w:tab w:val="clear" w:pos="567"/>
              </w:tabs>
              <w:spacing w:line="240" w:lineRule="auto"/>
              <w:rPr>
                <w:b/>
                <w:bCs/>
                <w:lang w:eastAsia="en-GB"/>
              </w:rPr>
            </w:pPr>
          </w:p>
        </w:tc>
        <w:tc>
          <w:tcPr>
            <w:tcW w:w="1009" w:type="pct"/>
            <w:tcBorders>
              <w:top w:val="single" w:sz="4" w:space="0" w:color="auto"/>
              <w:left w:val="single" w:sz="4" w:space="0" w:color="auto"/>
              <w:bottom w:val="single" w:sz="4" w:space="0" w:color="auto"/>
              <w:right w:val="single" w:sz="4" w:space="0" w:color="auto"/>
            </w:tcBorders>
            <w:vAlign w:val="bottom"/>
          </w:tcPr>
          <w:p w14:paraId="72779D6A" w14:textId="77777777" w:rsidR="00C63971" w:rsidRPr="00E66334" w:rsidRDefault="005A3D7D" w:rsidP="006878A4">
            <w:pPr>
              <w:tabs>
                <w:tab w:val="clear" w:pos="567"/>
              </w:tabs>
              <w:spacing w:line="240" w:lineRule="auto"/>
              <w:jc w:val="center"/>
              <w:rPr>
                <w:b/>
                <w:bCs/>
                <w:lang w:eastAsia="en-GB"/>
              </w:rPr>
            </w:pPr>
            <w:r w:rsidRPr="00E66334">
              <w:rPr>
                <w:b/>
                <w:bCs/>
                <w:lang w:eastAsia="en-GB"/>
              </w:rPr>
              <w:t>Treatment difference</w:t>
            </w:r>
            <w:r w:rsidRPr="00E66334">
              <w:rPr>
                <w:b/>
                <w:bCs/>
                <w:vertAlign w:val="superscript"/>
                <w:lang w:eastAsia="en-GB"/>
              </w:rPr>
              <w:t>a</w:t>
            </w:r>
          </w:p>
          <w:p w14:paraId="71DED72D" w14:textId="77777777" w:rsidR="00C63971" w:rsidRPr="00E66334" w:rsidRDefault="005A3D7D" w:rsidP="006878A4">
            <w:pPr>
              <w:tabs>
                <w:tab w:val="clear" w:pos="567"/>
              </w:tabs>
              <w:spacing w:line="240" w:lineRule="auto"/>
              <w:jc w:val="center"/>
              <w:rPr>
                <w:b/>
                <w:bCs/>
                <w:lang w:eastAsia="en-GB"/>
              </w:rPr>
            </w:pPr>
            <w:r w:rsidRPr="00E66334">
              <w:rPr>
                <w:b/>
                <w:bCs/>
                <w:lang w:eastAsia="en-GB"/>
              </w:rPr>
              <w:t>(95% CI)</w:t>
            </w:r>
          </w:p>
        </w:tc>
        <w:tc>
          <w:tcPr>
            <w:tcW w:w="732" w:type="pct"/>
            <w:tcBorders>
              <w:top w:val="single" w:sz="4" w:space="0" w:color="auto"/>
              <w:left w:val="single" w:sz="4" w:space="0" w:color="auto"/>
              <w:bottom w:val="single" w:sz="4" w:space="0" w:color="auto"/>
              <w:right w:val="single" w:sz="4" w:space="0" w:color="auto"/>
            </w:tcBorders>
            <w:vAlign w:val="bottom"/>
          </w:tcPr>
          <w:p w14:paraId="0CF1DA4D" w14:textId="77777777" w:rsidR="00C63971" w:rsidRPr="00E66334" w:rsidRDefault="005A3D7D" w:rsidP="006878A4">
            <w:pPr>
              <w:tabs>
                <w:tab w:val="clear" w:pos="567"/>
              </w:tabs>
              <w:spacing w:line="240" w:lineRule="auto"/>
              <w:jc w:val="center"/>
              <w:rPr>
                <w:b/>
                <w:bCs/>
                <w:lang w:eastAsia="en-GB"/>
              </w:rPr>
            </w:pPr>
            <w:r w:rsidRPr="00E66334">
              <w:rPr>
                <w:b/>
                <w:bCs/>
                <w:i/>
                <w:iCs/>
              </w:rPr>
              <w:t xml:space="preserve">P </w:t>
            </w:r>
            <w:r w:rsidRPr="00E66334">
              <w:rPr>
                <w:b/>
                <w:bCs/>
                <w:iCs/>
              </w:rPr>
              <w:t>value</w:t>
            </w:r>
          </w:p>
        </w:tc>
        <w:tc>
          <w:tcPr>
            <w:tcW w:w="1009" w:type="pct"/>
            <w:tcBorders>
              <w:top w:val="single" w:sz="4" w:space="0" w:color="auto"/>
              <w:left w:val="single" w:sz="4" w:space="0" w:color="auto"/>
              <w:bottom w:val="single" w:sz="4" w:space="0" w:color="auto"/>
              <w:right w:val="single" w:sz="4" w:space="0" w:color="auto"/>
            </w:tcBorders>
            <w:vAlign w:val="bottom"/>
          </w:tcPr>
          <w:p w14:paraId="355086AD" w14:textId="77777777" w:rsidR="00C63971" w:rsidRPr="00E66334" w:rsidRDefault="005A3D7D" w:rsidP="006878A4">
            <w:pPr>
              <w:tabs>
                <w:tab w:val="clear" w:pos="567"/>
              </w:tabs>
              <w:spacing w:line="240" w:lineRule="auto"/>
              <w:jc w:val="center"/>
              <w:rPr>
                <w:b/>
                <w:bCs/>
                <w:lang w:eastAsia="en-GB"/>
              </w:rPr>
            </w:pPr>
            <w:r w:rsidRPr="00E66334">
              <w:rPr>
                <w:b/>
                <w:bCs/>
                <w:lang w:eastAsia="en-GB"/>
              </w:rPr>
              <w:t>Treatment difference</w:t>
            </w:r>
            <w:r w:rsidRPr="00E66334">
              <w:rPr>
                <w:b/>
                <w:bCs/>
                <w:vertAlign w:val="superscript"/>
                <w:lang w:eastAsia="en-GB"/>
              </w:rPr>
              <w:t>a</w:t>
            </w:r>
          </w:p>
          <w:p w14:paraId="6D4B785B" w14:textId="77777777" w:rsidR="00C63971" w:rsidRPr="00E66334" w:rsidRDefault="005A3D7D" w:rsidP="006878A4">
            <w:pPr>
              <w:tabs>
                <w:tab w:val="clear" w:pos="567"/>
              </w:tabs>
              <w:spacing w:line="240" w:lineRule="auto"/>
              <w:jc w:val="center"/>
              <w:rPr>
                <w:b/>
                <w:bCs/>
                <w:lang w:eastAsia="en-GB"/>
              </w:rPr>
            </w:pPr>
            <w:r w:rsidRPr="00E66334">
              <w:rPr>
                <w:b/>
                <w:bCs/>
                <w:lang w:eastAsia="en-GB"/>
              </w:rPr>
              <w:t>(95% CI)</w:t>
            </w:r>
          </w:p>
        </w:tc>
        <w:tc>
          <w:tcPr>
            <w:tcW w:w="894" w:type="pct"/>
            <w:tcBorders>
              <w:top w:val="single" w:sz="4" w:space="0" w:color="auto"/>
              <w:left w:val="single" w:sz="4" w:space="0" w:color="auto"/>
              <w:bottom w:val="single" w:sz="4" w:space="0" w:color="auto"/>
              <w:right w:val="single" w:sz="4" w:space="0" w:color="auto"/>
            </w:tcBorders>
            <w:vAlign w:val="bottom"/>
          </w:tcPr>
          <w:p w14:paraId="03552F47" w14:textId="77777777" w:rsidR="00C63971" w:rsidRPr="00E66334" w:rsidRDefault="005A3D7D" w:rsidP="006878A4">
            <w:pPr>
              <w:keepNext/>
              <w:tabs>
                <w:tab w:val="clear" w:pos="567"/>
              </w:tabs>
              <w:spacing w:line="240" w:lineRule="auto"/>
              <w:jc w:val="center"/>
              <w:rPr>
                <w:b/>
                <w:bCs/>
                <w:lang w:eastAsia="en-GB"/>
              </w:rPr>
            </w:pPr>
            <w:r w:rsidRPr="00E66334">
              <w:rPr>
                <w:b/>
                <w:bCs/>
                <w:i/>
                <w:iCs/>
              </w:rPr>
              <w:t xml:space="preserve">P </w:t>
            </w:r>
            <w:r w:rsidRPr="00E66334">
              <w:rPr>
                <w:b/>
                <w:bCs/>
                <w:iCs/>
              </w:rPr>
              <w:t>value</w:t>
            </w:r>
          </w:p>
        </w:tc>
      </w:tr>
      <w:tr w:rsidR="00476058" w14:paraId="57F11C6F" w14:textId="77777777" w:rsidTr="006878A4">
        <w:trPr>
          <w:trHeight w:val="210"/>
        </w:trPr>
        <w:tc>
          <w:tcPr>
            <w:tcW w:w="5000" w:type="pct"/>
            <w:gridSpan w:val="5"/>
            <w:tcBorders>
              <w:left w:val="single" w:sz="4" w:space="0" w:color="auto"/>
              <w:bottom w:val="single" w:sz="4" w:space="0" w:color="auto"/>
              <w:right w:val="single" w:sz="4" w:space="0" w:color="auto"/>
            </w:tcBorders>
          </w:tcPr>
          <w:p w14:paraId="7A7E3CD8" w14:textId="77777777" w:rsidR="00C63971" w:rsidRPr="00E66334" w:rsidRDefault="005A3D7D" w:rsidP="006878A4">
            <w:pPr>
              <w:keepNext/>
              <w:tabs>
                <w:tab w:val="clear" w:pos="567"/>
              </w:tabs>
              <w:spacing w:line="240" w:lineRule="auto"/>
              <w:rPr>
                <w:b/>
                <w:bCs/>
                <w:i/>
                <w:iCs/>
              </w:rPr>
            </w:pPr>
            <w:r w:rsidRPr="00E66334">
              <w:rPr>
                <w:b/>
                <w:bCs/>
              </w:rPr>
              <w:t>Mean absolute change from baseline in CFQ-R</w:t>
            </w:r>
            <w:r w:rsidRPr="00E66334">
              <w:rPr>
                <w:bCs/>
                <w:vertAlign w:val="superscript"/>
              </w:rPr>
              <w:t>b</w:t>
            </w:r>
            <w:r w:rsidRPr="00E66334">
              <w:rPr>
                <w:b/>
                <w:bCs/>
              </w:rPr>
              <w:t xml:space="preserve"> respiratory domain score (points)</w:t>
            </w:r>
            <w:r w:rsidRPr="00E66334">
              <w:rPr>
                <w:bCs/>
                <w:vertAlign w:val="superscript"/>
              </w:rPr>
              <w:t>c</w:t>
            </w:r>
          </w:p>
        </w:tc>
      </w:tr>
      <w:tr w:rsidR="00476058" w14:paraId="18A0D9EF"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57DCB2CD" w14:textId="77777777" w:rsidR="00C63971" w:rsidRPr="00E66334" w:rsidRDefault="005A3D7D" w:rsidP="00C63971">
            <w:pPr>
              <w:tabs>
                <w:tab w:val="clear" w:pos="567"/>
              </w:tabs>
              <w:spacing w:line="240" w:lineRule="auto"/>
              <w:rPr>
                <w:lang w:eastAsia="en-GB"/>
              </w:rPr>
            </w:pPr>
            <w:r w:rsidRPr="00E66334">
              <w:rPr>
                <w:lang w:eastAsia="en-GB"/>
              </w:rPr>
              <w:t xml:space="preserve">Through </w:t>
            </w:r>
            <w:r>
              <w:rPr>
                <w:lang w:eastAsia="en-GB"/>
              </w:rPr>
              <w:t>w</w:t>
            </w:r>
            <w:r w:rsidRPr="00E66334">
              <w:rPr>
                <w:lang w:eastAsia="en-GB"/>
              </w:rPr>
              <w:t>eek 24</w:t>
            </w:r>
          </w:p>
        </w:tc>
        <w:tc>
          <w:tcPr>
            <w:tcW w:w="1009" w:type="pct"/>
            <w:tcBorders>
              <w:top w:val="single" w:sz="4" w:space="0" w:color="auto"/>
              <w:left w:val="single" w:sz="4" w:space="0" w:color="auto"/>
              <w:bottom w:val="single" w:sz="4" w:space="0" w:color="auto"/>
              <w:right w:val="single" w:sz="4" w:space="0" w:color="auto"/>
            </w:tcBorders>
          </w:tcPr>
          <w:p w14:paraId="48C45291" w14:textId="77777777" w:rsidR="00C63971" w:rsidRPr="00E66334" w:rsidRDefault="005A3D7D" w:rsidP="006878A4">
            <w:pPr>
              <w:tabs>
                <w:tab w:val="clear" w:pos="567"/>
              </w:tabs>
              <w:spacing w:line="240" w:lineRule="auto"/>
              <w:jc w:val="center"/>
              <w:rPr>
                <w:lang w:eastAsia="en-GB"/>
              </w:rPr>
            </w:pPr>
            <w:r w:rsidRPr="00E66334">
              <w:rPr>
                <w:lang w:eastAsia="en-GB"/>
              </w:rPr>
              <w:t>8.1</w:t>
            </w:r>
          </w:p>
          <w:p w14:paraId="2EA05453" w14:textId="77777777" w:rsidR="00C63971" w:rsidRPr="00E66334" w:rsidRDefault="005A3D7D" w:rsidP="006878A4">
            <w:pPr>
              <w:tabs>
                <w:tab w:val="clear" w:pos="567"/>
              </w:tabs>
              <w:spacing w:line="240" w:lineRule="auto"/>
              <w:jc w:val="center"/>
              <w:rPr>
                <w:lang w:eastAsia="en-GB"/>
              </w:rPr>
            </w:pPr>
            <w:r w:rsidRPr="00E66334">
              <w:rPr>
                <w:lang w:eastAsia="en-GB"/>
              </w:rPr>
              <w:t>(4.7, 11.4)</w:t>
            </w:r>
          </w:p>
        </w:tc>
        <w:tc>
          <w:tcPr>
            <w:tcW w:w="732" w:type="pct"/>
            <w:tcBorders>
              <w:top w:val="single" w:sz="4" w:space="0" w:color="auto"/>
              <w:left w:val="single" w:sz="4" w:space="0" w:color="auto"/>
              <w:bottom w:val="single" w:sz="4" w:space="0" w:color="auto"/>
              <w:right w:val="single" w:sz="4" w:space="0" w:color="auto"/>
            </w:tcBorders>
          </w:tcPr>
          <w:p w14:paraId="57CFD136" w14:textId="77777777" w:rsidR="00C63971" w:rsidRPr="00E66334" w:rsidRDefault="005A3D7D"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5A99F562" w14:textId="77777777" w:rsidR="00C63971" w:rsidRPr="00E66334" w:rsidRDefault="005A3D7D" w:rsidP="006878A4">
            <w:pPr>
              <w:tabs>
                <w:tab w:val="clear" w:pos="567"/>
              </w:tabs>
              <w:spacing w:line="240" w:lineRule="auto"/>
              <w:jc w:val="center"/>
              <w:rPr>
                <w:lang w:eastAsia="en-GB"/>
              </w:rPr>
            </w:pPr>
            <w:r w:rsidRPr="00E66334">
              <w:rPr>
                <w:lang w:eastAsia="en-GB"/>
              </w:rPr>
              <w:t>6.1</w:t>
            </w:r>
          </w:p>
          <w:p w14:paraId="5F67989A" w14:textId="77777777" w:rsidR="00C63971" w:rsidRPr="00E66334" w:rsidRDefault="005A3D7D" w:rsidP="006878A4">
            <w:pPr>
              <w:tabs>
                <w:tab w:val="clear" w:pos="567"/>
              </w:tabs>
              <w:spacing w:line="240" w:lineRule="auto"/>
              <w:jc w:val="center"/>
              <w:rPr>
                <w:lang w:eastAsia="en-GB"/>
              </w:rPr>
            </w:pPr>
            <w:r w:rsidRPr="00E66334">
              <w:rPr>
                <w:lang w:eastAsia="en-GB"/>
              </w:rPr>
              <w:t>(</w:t>
            </w:r>
            <w:r w:rsidRPr="00E66334">
              <w:rPr>
                <w:lang w:eastAsia="en-GB"/>
              </w:rPr>
              <w:noBreakHyphen/>
              <w:t>1.4, 13.5)</w:t>
            </w:r>
          </w:p>
        </w:tc>
        <w:tc>
          <w:tcPr>
            <w:tcW w:w="894" w:type="pct"/>
            <w:tcBorders>
              <w:top w:val="single" w:sz="4" w:space="0" w:color="auto"/>
              <w:left w:val="single" w:sz="4" w:space="0" w:color="auto"/>
              <w:bottom w:val="single" w:sz="4" w:space="0" w:color="auto"/>
              <w:right w:val="single" w:sz="4" w:space="0" w:color="auto"/>
            </w:tcBorders>
          </w:tcPr>
          <w:p w14:paraId="24562A48" w14:textId="77777777" w:rsidR="00C63971" w:rsidRPr="00E66334" w:rsidRDefault="005A3D7D" w:rsidP="006878A4">
            <w:pPr>
              <w:keepNext/>
              <w:tabs>
                <w:tab w:val="clear" w:pos="567"/>
              </w:tabs>
              <w:spacing w:line="240" w:lineRule="auto"/>
              <w:jc w:val="center"/>
              <w:rPr>
                <w:lang w:eastAsia="en-GB"/>
              </w:rPr>
            </w:pPr>
            <w:r w:rsidRPr="00E66334">
              <w:rPr>
                <w:lang w:eastAsia="en-GB"/>
              </w:rPr>
              <w:t>0.1092</w:t>
            </w:r>
          </w:p>
        </w:tc>
      </w:tr>
      <w:tr w:rsidR="00476058" w14:paraId="266416A5" w14:textId="77777777" w:rsidTr="006878A4">
        <w:trPr>
          <w:trHeight w:val="377"/>
        </w:trPr>
        <w:tc>
          <w:tcPr>
            <w:tcW w:w="1356" w:type="pct"/>
            <w:tcBorders>
              <w:top w:val="single" w:sz="4" w:space="0" w:color="auto"/>
              <w:left w:val="single" w:sz="4" w:space="0" w:color="auto"/>
              <w:bottom w:val="single" w:sz="4" w:space="0" w:color="auto"/>
              <w:right w:val="single" w:sz="4" w:space="0" w:color="auto"/>
            </w:tcBorders>
          </w:tcPr>
          <w:p w14:paraId="6DD56E21" w14:textId="77777777" w:rsidR="00C63971" w:rsidRPr="00E66334" w:rsidRDefault="005A3D7D" w:rsidP="00C63971">
            <w:pPr>
              <w:tabs>
                <w:tab w:val="clear" w:pos="567"/>
              </w:tabs>
              <w:spacing w:line="240" w:lineRule="auto"/>
            </w:pPr>
            <w:r w:rsidRPr="00E66334">
              <w:rPr>
                <w:lang w:eastAsia="en-GB"/>
              </w:rPr>
              <w:t xml:space="preserve">Through </w:t>
            </w:r>
            <w:r>
              <w:rPr>
                <w:lang w:eastAsia="en-GB"/>
              </w:rPr>
              <w:t>w</w:t>
            </w:r>
            <w:r w:rsidRPr="00E66334">
              <w:rPr>
                <w:lang w:eastAsia="en-GB"/>
              </w:rPr>
              <w:t>eek 48</w:t>
            </w:r>
          </w:p>
        </w:tc>
        <w:tc>
          <w:tcPr>
            <w:tcW w:w="1009" w:type="pct"/>
            <w:tcBorders>
              <w:top w:val="single" w:sz="4" w:space="0" w:color="auto"/>
              <w:left w:val="single" w:sz="4" w:space="0" w:color="auto"/>
              <w:bottom w:val="single" w:sz="4" w:space="0" w:color="auto"/>
              <w:right w:val="single" w:sz="4" w:space="0" w:color="auto"/>
            </w:tcBorders>
          </w:tcPr>
          <w:p w14:paraId="2FEECCB1" w14:textId="77777777" w:rsidR="00C63971" w:rsidRPr="00E66334" w:rsidRDefault="005A3D7D" w:rsidP="006878A4">
            <w:pPr>
              <w:tabs>
                <w:tab w:val="clear" w:pos="567"/>
              </w:tabs>
              <w:spacing w:line="240" w:lineRule="auto"/>
              <w:jc w:val="center"/>
            </w:pPr>
            <w:r w:rsidRPr="00E66334">
              <w:t>8.6</w:t>
            </w:r>
          </w:p>
          <w:p w14:paraId="772F80EF" w14:textId="77777777" w:rsidR="00C63971" w:rsidRPr="00E66334" w:rsidRDefault="005A3D7D" w:rsidP="006878A4">
            <w:pPr>
              <w:tabs>
                <w:tab w:val="clear" w:pos="567"/>
              </w:tabs>
              <w:spacing w:line="240" w:lineRule="auto"/>
              <w:jc w:val="center"/>
              <w:rPr>
                <w:lang w:eastAsia="en-GB"/>
              </w:rPr>
            </w:pPr>
            <w:r w:rsidRPr="00E66334">
              <w:t>(5.3, 11.9)</w:t>
            </w:r>
          </w:p>
        </w:tc>
        <w:tc>
          <w:tcPr>
            <w:tcW w:w="732" w:type="pct"/>
            <w:tcBorders>
              <w:top w:val="single" w:sz="4" w:space="0" w:color="auto"/>
              <w:left w:val="single" w:sz="4" w:space="0" w:color="auto"/>
              <w:bottom w:val="single" w:sz="4" w:space="0" w:color="auto"/>
              <w:right w:val="single" w:sz="4" w:space="0" w:color="auto"/>
            </w:tcBorders>
          </w:tcPr>
          <w:p w14:paraId="74723A78" w14:textId="77777777" w:rsidR="00C63971" w:rsidRPr="00E66334" w:rsidRDefault="005A3D7D"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5D3A124A" w14:textId="77777777" w:rsidR="00C63971" w:rsidRPr="00E66334" w:rsidRDefault="005A3D7D" w:rsidP="006878A4">
            <w:pPr>
              <w:tabs>
                <w:tab w:val="clear" w:pos="567"/>
              </w:tabs>
              <w:spacing w:line="240" w:lineRule="auto"/>
              <w:jc w:val="center"/>
              <w:rPr>
                <w:lang w:eastAsia="en-GB"/>
              </w:rPr>
            </w:pPr>
            <w:r w:rsidRPr="00E66334">
              <w:rPr>
                <w:lang w:eastAsia="en-GB"/>
              </w:rPr>
              <w:t>5.1</w:t>
            </w:r>
          </w:p>
          <w:p w14:paraId="17DC9519" w14:textId="77777777" w:rsidR="00C63971" w:rsidRPr="00E66334" w:rsidRDefault="005A3D7D" w:rsidP="006878A4">
            <w:pPr>
              <w:tabs>
                <w:tab w:val="clear" w:pos="567"/>
              </w:tabs>
              <w:spacing w:line="240" w:lineRule="auto"/>
              <w:jc w:val="center"/>
              <w:rPr>
                <w:lang w:eastAsia="en-GB"/>
              </w:rPr>
            </w:pPr>
            <w:r w:rsidRPr="00E66334">
              <w:rPr>
                <w:lang w:eastAsia="en-GB"/>
              </w:rPr>
              <w:t>(</w:t>
            </w:r>
            <w:r w:rsidRPr="00E66334">
              <w:rPr>
                <w:lang w:eastAsia="en-GB"/>
              </w:rPr>
              <w:noBreakHyphen/>
              <w:t>1.6, 11.8)</w:t>
            </w:r>
          </w:p>
        </w:tc>
        <w:tc>
          <w:tcPr>
            <w:tcW w:w="894" w:type="pct"/>
            <w:tcBorders>
              <w:top w:val="single" w:sz="4" w:space="0" w:color="auto"/>
              <w:left w:val="single" w:sz="4" w:space="0" w:color="auto"/>
              <w:bottom w:val="single" w:sz="4" w:space="0" w:color="auto"/>
              <w:right w:val="single" w:sz="4" w:space="0" w:color="auto"/>
            </w:tcBorders>
          </w:tcPr>
          <w:p w14:paraId="0450AF5C" w14:textId="77777777" w:rsidR="00C63971" w:rsidRPr="00E66334" w:rsidRDefault="005A3D7D" w:rsidP="006878A4">
            <w:pPr>
              <w:keepNext/>
              <w:tabs>
                <w:tab w:val="clear" w:pos="567"/>
              </w:tabs>
              <w:spacing w:line="240" w:lineRule="auto"/>
              <w:jc w:val="center"/>
              <w:rPr>
                <w:lang w:eastAsia="en-GB"/>
              </w:rPr>
            </w:pPr>
            <w:r w:rsidRPr="00E66334">
              <w:rPr>
                <w:lang w:eastAsia="en-GB"/>
              </w:rPr>
              <w:t>0.1354</w:t>
            </w:r>
          </w:p>
        </w:tc>
      </w:tr>
      <w:tr w:rsidR="00476058" w14:paraId="797D109E" w14:textId="77777777" w:rsidTr="006878A4">
        <w:trPr>
          <w:trHeight w:val="199"/>
        </w:trPr>
        <w:tc>
          <w:tcPr>
            <w:tcW w:w="5000" w:type="pct"/>
            <w:gridSpan w:val="5"/>
            <w:tcBorders>
              <w:top w:val="single" w:sz="4" w:space="0" w:color="auto"/>
              <w:left w:val="single" w:sz="4" w:space="0" w:color="auto"/>
              <w:bottom w:val="single" w:sz="4" w:space="0" w:color="auto"/>
              <w:right w:val="single" w:sz="4" w:space="0" w:color="auto"/>
            </w:tcBorders>
          </w:tcPr>
          <w:p w14:paraId="68C57096" w14:textId="77777777" w:rsidR="00C63971" w:rsidRPr="00E66334" w:rsidRDefault="005A3D7D" w:rsidP="006878A4">
            <w:pPr>
              <w:keepNext/>
              <w:tabs>
                <w:tab w:val="clear" w:pos="567"/>
              </w:tabs>
              <w:spacing w:line="240" w:lineRule="auto"/>
              <w:rPr>
                <w:b/>
                <w:bCs/>
                <w:lang w:eastAsia="en-GB"/>
              </w:rPr>
            </w:pPr>
            <w:r w:rsidRPr="00E66334">
              <w:rPr>
                <w:b/>
                <w:bCs/>
              </w:rPr>
              <w:t>Relative risk of pulmonary exacerbation</w:t>
            </w:r>
          </w:p>
        </w:tc>
      </w:tr>
      <w:tr w:rsidR="00476058" w14:paraId="7F434C9D" w14:textId="77777777" w:rsidTr="006878A4">
        <w:trPr>
          <w:trHeight w:val="210"/>
        </w:trPr>
        <w:tc>
          <w:tcPr>
            <w:tcW w:w="1356" w:type="pct"/>
            <w:tcBorders>
              <w:top w:val="single" w:sz="4" w:space="0" w:color="auto"/>
              <w:left w:val="single" w:sz="4" w:space="0" w:color="auto"/>
              <w:bottom w:val="single" w:sz="4" w:space="0" w:color="auto"/>
              <w:right w:val="single" w:sz="4" w:space="0" w:color="auto"/>
            </w:tcBorders>
          </w:tcPr>
          <w:p w14:paraId="4DF36D57" w14:textId="77777777" w:rsidR="00C63971" w:rsidRPr="00E66334" w:rsidRDefault="005A3D7D" w:rsidP="00C63971">
            <w:pPr>
              <w:keepNext/>
              <w:tabs>
                <w:tab w:val="clear" w:pos="567"/>
              </w:tabs>
              <w:spacing w:line="240" w:lineRule="auto"/>
              <w:rPr>
                <w:lang w:eastAsia="en-GB"/>
              </w:rPr>
            </w:pPr>
            <w:r w:rsidRPr="00E66334">
              <w:rPr>
                <w:lang w:eastAsia="en-GB"/>
              </w:rPr>
              <w:t xml:space="preserve">Through </w:t>
            </w:r>
            <w:r>
              <w:rPr>
                <w:lang w:eastAsia="en-GB"/>
              </w:rPr>
              <w:t>w</w:t>
            </w:r>
            <w:r w:rsidRPr="00E66334">
              <w:rPr>
                <w:lang w:eastAsia="en-GB"/>
              </w:rPr>
              <w:t>eek 24</w:t>
            </w:r>
          </w:p>
        </w:tc>
        <w:tc>
          <w:tcPr>
            <w:tcW w:w="1009" w:type="pct"/>
            <w:tcBorders>
              <w:top w:val="single" w:sz="4" w:space="0" w:color="auto"/>
              <w:left w:val="single" w:sz="4" w:space="0" w:color="auto"/>
              <w:bottom w:val="single" w:sz="4" w:space="0" w:color="auto"/>
              <w:right w:val="single" w:sz="4" w:space="0" w:color="auto"/>
            </w:tcBorders>
          </w:tcPr>
          <w:p w14:paraId="0EB68AD6" w14:textId="77777777" w:rsidR="00C63971" w:rsidRPr="00E66334" w:rsidRDefault="005A3D7D" w:rsidP="006878A4">
            <w:pPr>
              <w:keepNext/>
              <w:tabs>
                <w:tab w:val="clear" w:pos="567"/>
              </w:tabs>
              <w:spacing w:line="240" w:lineRule="auto"/>
              <w:jc w:val="center"/>
              <w:rPr>
                <w:lang w:eastAsia="en-GB"/>
              </w:rPr>
            </w:pPr>
            <w:r w:rsidRPr="00E66334">
              <w:t>0.40</w:t>
            </w:r>
            <w:r w:rsidRPr="00E66334">
              <w:rPr>
                <w:vertAlign w:val="superscript"/>
                <w:lang w:eastAsia="en-GB"/>
              </w:rPr>
              <w:t>d</w:t>
            </w:r>
          </w:p>
        </w:tc>
        <w:tc>
          <w:tcPr>
            <w:tcW w:w="732" w:type="pct"/>
            <w:tcBorders>
              <w:top w:val="single" w:sz="4" w:space="0" w:color="auto"/>
              <w:left w:val="single" w:sz="4" w:space="0" w:color="auto"/>
              <w:bottom w:val="single" w:sz="4" w:space="0" w:color="auto"/>
              <w:right w:val="single" w:sz="4" w:space="0" w:color="auto"/>
            </w:tcBorders>
          </w:tcPr>
          <w:p w14:paraId="0BF8DA42" w14:textId="77777777" w:rsidR="00C63971" w:rsidRPr="00E66334" w:rsidRDefault="005A3D7D" w:rsidP="006878A4">
            <w:pPr>
              <w:keepNext/>
              <w:tabs>
                <w:tab w:val="clear" w:pos="567"/>
              </w:tabs>
              <w:spacing w:line="240" w:lineRule="auto"/>
              <w:jc w:val="center"/>
              <w:rPr>
                <w:lang w:eastAsia="en-GB"/>
              </w:rPr>
            </w:pPr>
            <w:r w:rsidRPr="00E66334">
              <w:t>0.0016</w:t>
            </w:r>
          </w:p>
        </w:tc>
        <w:tc>
          <w:tcPr>
            <w:tcW w:w="1009" w:type="pct"/>
            <w:tcBorders>
              <w:top w:val="single" w:sz="4" w:space="0" w:color="auto"/>
              <w:left w:val="single" w:sz="4" w:space="0" w:color="auto"/>
              <w:bottom w:val="single" w:sz="4" w:space="0" w:color="auto"/>
              <w:right w:val="single" w:sz="4" w:space="0" w:color="auto"/>
            </w:tcBorders>
          </w:tcPr>
          <w:p w14:paraId="64D9D763" w14:textId="77777777" w:rsidR="00C63971" w:rsidRPr="00E66334" w:rsidRDefault="005A3D7D" w:rsidP="006878A4">
            <w:pPr>
              <w:keepNext/>
              <w:tabs>
                <w:tab w:val="clear" w:pos="567"/>
              </w:tabs>
              <w:spacing w:line="240" w:lineRule="auto"/>
              <w:jc w:val="center"/>
              <w:rPr>
                <w:lang w:eastAsia="en-GB"/>
              </w:rPr>
            </w:pPr>
            <w:r w:rsidRPr="00E66334">
              <w:rPr>
                <w:lang w:eastAsia="en-GB"/>
              </w:rPr>
              <w:t>NA</w:t>
            </w:r>
          </w:p>
        </w:tc>
        <w:tc>
          <w:tcPr>
            <w:tcW w:w="894" w:type="pct"/>
            <w:tcBorders>
              <w:top w:val="single" w:sz="4" w:space="0" w:color="auto"/>
              <w:left w:val="single" w:sz="4" w:space="0" w:color="auto"/>
              <w:bottom w:val="single" w:sz="4" w:space="0" w:color="auto"/>
              <w:right w:val="single" w:sz="4" w:space="0" w:color="auto"/>
            </w:tcBorders>
          </w:tcPr>
          <w:p w14:paraId="1428E0C3" w14:textId="77777777" w:rsidR="00C63971" w:rsidRPr="00E66334" w:rsidRDefault="005A3D7D" w:rsidP="006878A4">
            <w:pPr>
              <w:keepNext/>
              <w:tabs>
                <w:tab w:val="clear" w:pos="567"/>
              </w:tabs>
              <w:spacing w:line="240" w:lineRule="auto"/>
              <w:jc w:val="center"/>
              <w:rPr>
                <w:lang w:eastAsia="en-GB"/>
              </w:rPr>
            </w:pPr>
            <w:r w:rsidRPr="00E66334">
              <w:rPr>
                <w:lang w:eastAsia="en-GB"/>
              </w:rPr>
              <w:t>NA</w:t>
            </w:r>
          </w:p>
        </w:tc>
      </w:tr>
      <w:tr w:rsidR="00476058" w14:paraId="7310FB82" w14:textId="77777777" w:rsidTr="006878A4">
        <w:trPr>
          <w:trHeight w:val="199"/>
        </w:trPr>
        <w:tc>
          <w:tcPr>
            <w:tcW w:w="1356" w:type="pct"/>
            <w:tcBorders>
              <w:top w:val="single" w:sz="4" w:space="0" w:color="auto"/>
              <w:left w:val="single" w:sz="4" w:space="0" w:color="auto"/>
              <w:bottom w:val="single" w:sz="4" w:space="0" w:color="auto"/>
              <w:right w:val="single" w:sz="4" w:space="0" w:color="auto"/>
            </w:tcBorders>
          </w:tcPr>
          <w:p w14:paraId="53DF1094" w14:textId="77777777" w:rsidR="00C63971" w:rsidRPr="00E66334" w:rsidRDefault="005A3D7D" w:rsidP="00C63971">
            <w:pPr>
              <w:keepNext/>
              <w:tabs>
                <w:tab w:val="clear" w:pos="567"/>
              </w:tabs>
              <w:spacing w:line="240" w:lineRule="auto"/>
            </w:pPr>
            <w:r w:rsidRPr="00E66334">
              <w:rPr>
                <w:lang w:eastAsia="en-GB"/>
              </w:rPr>
              <w:t xml:space="preserve">Through </w:t>
            </w:r>
            <w:r>
              <w:rPr>
                <w:lang w:eastAsia="en-GB"/>
              </w:rPr>
              <w:t>w</w:t>
            </w:r>
            <w:r w:rsidRPr="00E66334">
              <w:rPr>
                <w:lang w:eastAsia="en-GB"/>
              </w:rPr>
              <w:t>eek 48</w:t>
            </w:r>
          </w:p>
        </w:tc>
        <w:tc>
          <w:tcPr>
            <w:tcW w:w="1009" w:type="pct"/>
            <w:tcBorders>
              <w:top w:val="single" w:sz="4" w:space="0" w:color="auto"/>
              <w:left w:val="single" w:sz="4" w:space="0" w:color="auto"/>
              <w:bottom w:val="single" w:sz="4" w:space="0" w:color="auto"/>
              <w:right w:val="single" w:sz="4" w:space="0" w:color="auto"/>
            </w:tcBorders>
          </w:tcPr>
          <w:p w14:paraId="2F8BED2F" w14:textId="77777777" w:rsidR="00C63971" w:rsidRPr="00E66334" w:rsidRDefault="005A3D7D" w:rsidP="006878A4">
            <w:pPr>
              <w:keepNext/>
              <w:tabs>
                <w:tab w:val="clear" w:pos="567"/>
              </w:tabs>
              <w:spacing w:line="240" w:lineRule="auto"/>
              <w:jc w:val="center"/>
              <w:rPr>
                <w:lang w:eastAsia="en-GB"/>
              </w:rPr>
            </w:pPr>
            <w:r w:rsidRPr="00E66334">
              <w:rPr>
                <w:lang w:eastAsia="en-GB"/>
              </w:rPr>
              <w:t>0.46</w:t>
            </w:r>
            <w:r w:rsidRPr="00E66334">
              <w:rPr>
                <w:vertAlign w:val="superscript"/>
                <w:lang w:eastAsia="en-GB"/>
              </w:rPr>
              <w:t>d</w:t>
            </w:r>
          </w:p>
        </w:tc>
        <w:tc>
          <w:tcPr>
            <w:tcW w:w="732" w:type="pct"/>
            <w:tcBorders>
              <w:top w:val="single" w:sz="4" w:space="0" w:color="auto"/>
              <w:left w:val="single" w:sz="4" w:space="0" w:color="auto"/>
              <w:bottom w:val="single" w:sz="4" w:space="0" w:color="auto"/>
              <w:right w:val="single" w:sz="4" w:space="0" w:color="auto"/>
            </w:tcBorders>
          </w:tcPr>
          <w:p w14:paraId="261701BD" w14:textId="77777777" w:rsidR="00C63971" w:rsidRPr="00E66334" w:rsidRDefault="005A3D7D" w:rsidP="006878A4">
            <w:pPr>
              <w:keepNext/>
              <w:tabs>
                <w:tab w:val="clear" w:pos="567"/>
              </w:tabs>
              <w:spacing w:line="240" w:lineRule="auto"/>
              <w:jc w:val="center"/>
              <w:rPr>
                <w:lang w:eastAsia="en-GB"/>
              </w:rPr>
            </w:pPr>
            <w:r w:rsidRPr="00E66334">
              <w:rPr>
                <w:lang w:eastAsia="en-GB"/>
              </w:rPr>
              <w:t>0.0012</w:t>
            </w:r>
          </w:p>
        </w:tc>
        <w:tc>
          <w:tcPr>
            <w:tcW w:w="1009" w:type="pct"/>
            <w:tcBorders>
              <w:top w:val="single" w:sz="4" w:space="0" w:color="auto"/>
              <w:left w:val="single" w:sz="4" w:space="0" w:color="auto"/>
              <w:bottom w:val="single" w:sz="4" w:space="0" w:color="auto"/>
              <w:right w:val="single" w:sz="4" w:space="0" w:color="auto"/>
            </w:tcBorders>
          </w:tcPr>
          <w:p w14:paraId="5BAA6515" w14:textId="77777777" w:rsidR="00C63971" w:rsidRPr="00E66334" w:rsidRDefault="005A3D7D" w:rsidP="006878A4">
            <w:pPr>
              <w:keepNext/>
              <w:tabs>
                <w:tab w:val="clear" w:pos="567"/>
              </w:tabs>
              <w:spacing w:line="240" w:lineRule="auto"/>
              <w:jc w:val="center"/>
              <w:rPr>
                <w:lang w:eastAsia="en-GB"/>
              </w:rPr>
            </w:pPr>
            <w:r w:rsidRPr="00E66334">
              <w:rPr>
                <w:lang w:eastAsia="en-GB"/>
              </w:rPr>
              <w:t>NA</w:t>
            </w:r>
          </w:p>
        </w:tc>
        <w:tc>
          <w:tcPr>
            <w:tcW w:w="894" w:type="pct"/>
            <w:tcBorders>
              <w:top w:val="single" w:sz="4" w:space="0" w:color="auto"/>
              <w:left w:val="single" w:sz="4" w:space="0" w:color="auto"/>
              <w:bottom w:val="single" w:sz="4" w:space="0" w:color="auto"/>
              <w:right w:val="single" w:sz="4" w:space="0" w:color="auto"/>
            </w:tcBorders>
          </w:tcPr>
          <w:p w14:paraId="32F4C406" w14:textId="77777777" w:rsidR="00C63971" w:rsidRPr="00E66334" w:rsidRDefault="005A3D7D" w:rsidP="006878A4">
            <w:pPr>
              <w:keepNext/>
              <w:tabs>
                <w:tab w:val="clear" w:pos="567"/>
              </w:tabs>
              <w:spacing w:line="240" w:lineRule="auto"/>
              <w:jc w:val="center"/>
              <w:rPr>
                <w:lang w:eastAsia="en-GB"/>
              </w:rPr>
            </w:pPr>
            <w:r w:rsidRPr="00E66334">
              <w:rPr>
                <w:lang w:eastAsia="en-GB"/>
              </w:rPr>
              <w:t>NA</w:t>
            </w:r>
          </w:p>
        </w:tc>
      </w:tr>
      <w:tr w:rsidR="00476058" w14:paraId="6E883303" w14:textId="77777777" w:rsidTr="006878A4">
        <w:trPr>
          <w:trHeight w:val="210"/>
        </w:trPr>
        <w:tc>
          <w:tcPr>
            <w:tcW w:w="5000" w:type="pct"/>
            <w:gridSpan w:val="5"/>
            <w:tcBorders>
              <w:top w:val="single" w:sz="4" w:space="0" w:color="auto"/>
              <w:left w:val="single" w:sz="4" w:space="0" w:color="auto"/>
              <w:bottom w:val="single" w:sz="4" w:space="0" w:color="auto"/>
              <w:right w:val="single" w:sz="4" w:space="0" w:color="auto"/>
            </w:tcBorders>
          </w:tcPr>
          <w:p w14:paraId="6D8DA88E" w14:textId="77777777" w:rsidR="00C63971" w:rsidRPr="00E66334" w:rsidRDefault="005A3D7D" w:rsidP="006878A4">
            <w:pPr>
              <w:keepNext/>
              <w:tabs>
                <w:tab w:val="clear" w:pos="567"/>
              </w:tabs>
              <w:spacing w:line="240" w:lineRule="auto"/>
              <w:rPr>
                <w:b/>
                <w:bCs/>
                <w:lang w:eastAsia="en-GB"/>
              </w:rPr>
            </w:pPr>
            <w:r w:rsidRPr="00E66334">
              <w:rPr>
                <w:b/>
                <w:bCs/>
              </w:rPr>
              <w:t>Mean absolute change from baseline in body weight (kg)</w:t>
            </w:r>
          </w:p>
        </w:tc>
      </w:tr>
      <w:tr w:rsidR="00476058" w14:paraId="2B836015" w14:textId="77777777" w:rsidTr="006878A4">
        <w:trPr>
          <w:trHeight w:val="377"/>
        </w:trPr>
        <w:tc>
          <w:tcPr>
            <w:tcW w:w="1356" w:type="pct"/>
            <w:tcBorders>
              <w:top w:val="single" w:sz="4" w:space="0" w:color="auto"/>
              <w:left w:val="single" w:sz="4" w:space="0" w:color="auto"/>
              <w:bottom w:val="single" w:sz="4" w:space="0" w:color="auto"/>
              <w:right w:val="single" w:sz="4" w:space="0" w:color="auto"/>
            </w:tcBorders>
          </w:tcPr>
          <w:p w14:paraId="7A19FBCA" w14:textId="77777777" w:rsidR="00C63971" w:rsidRPr="00E66334" w:rsidRDefault="005A3D7D" w:rsidP="00C63971">
            <w:pPr>
              <w:tabs>
                <w:tab w:val="clear" w:pos="567"/>
              </w:tabs>
              <w:spacing w:line="240" w:lineRule="auto"/>
              <w:rPr>
                <w:lang w:eastAsia="en-GB"/>
              </w:rPr>
            </w:pPr>
            <w:r w:rsidRPr="00E66334">
              <w:t>At </w:t>
            </w:r>
            <w:r>
              <w:t>w</w:t>
            </w:r>
            <w:r w:rsidRPr="00E66334">
              <w:t>eek 24</w:t>
            </w:r>
          </w:p>
        </w:tc>
        <w:tc>
          <w:tcPr>
            <w:tcW w:w="1009" w:type="pct"/>
            <w:tcBorders>
              <w:top w:val="single" w:sz="4" w:space="0" w:color="auto"/>
              <w:left w:val="single" w:sz="4" w:space="0" w:color="auto"/>
              <w:bottom w:val="single" w:sz="4" w:space="0" w:color="auto"/>
              <w:right w:val="single" w:sz="4" w:space="0" w:color="auto"/>
            </w:tcBorders>
          </w:tcPr>
          <w:p w14:paraId="51DD5E68" w14:textId="77777777" w:rsidR="00C63971" w:rsidRPr="00E66334" w:rsidRDefault="005A3D7D" w:rsidP="006878A4">
            <w:pPr>
              <w:tabs>
                <w:tab w:val="clear" w:pos="567"/>
              </w:tabs>
              <w:spacing w:line="240" w:lineRule="auto"/>
              <w:jc w:val="center"/>
            </w:pPr>
            <w:r w:rsidRPr="00E66334">
              <w:t>2.8</w:t>
            </w:r>
          </w:p>
          <w:p w14:paraId="347B9685" w14:textId="77777777" w:rsidR="00C63971" w:rsidRPr="00E66334" w:rsidRDefault="005A3D7D" w:rsidP="006878A4">
            <w:pPr>
              <w:tabs>
                <w:tab w:val="clear" w:pos="567"/>
              </w:tabs>
              <w:spacing w:line="240" w:lineRule="auto"/>
              <w:jc w:val="center"/>
              <w:rPr>
                <w:lang w:eastAsia="en-GB"/>
              </w:rPr>
            </w:pPr>
            <w:r w:rsidRPr="00E66334">
              <w:t>(1.8, 3.7)</w:t>
            </w:r>
          </w:p>
        </w:tc>
        <w:tc>
          <w:tcPr>
            <w:tcW w:w="732" w:type="pct"/>
            <w:tcBorders>
              <w:top w:val="single" w:sz="4" w:space="0" w:color="auto"/>
              <w:left w:val="single" w:sz="4" w:space="0" w:color="auto"/>
              <w:bottom w:val="single" w:sz="4" w:space="0" w:color="auto"/>
              <w:right w:val="single" w:sz="4" w:space="0" w:color="auto"/>
            </w:tcBorders>
          </w:tcPr>
          <w:p w14:paraId="044A44E3" w14:textId="77777777" w:rsidR="00C63971" w:rsidRPr="00E66334" w:rsidRDefault="005A3D7D" w:rsidP="006878A4">
            <w:pPr>
              <w:tabs>
                <w:tab w:val="clear" w:pos="567"/>
              </w:tabs>
              <w:spacing w:line="240" w:lineRule="auto"/>
              <w:jc w:val="center"/>
              <w:rPr>
                <w:lang w:eastAsia="en-GB"/>
              </w:rPr>
            </w:pPr>
            <w:r w:rsidRPr="00E66334">
              <w:t>&lt;</w:t>
            </w:r>
            <w:r>
              <w:t> </w:t>
            </w:r>
            <w:r w:rsidRPr="00E66334">
              <w:t>0.0001</w:t>
            </w:r>
          </w:p>
        </w:tc>
        <w:tc>
          <w:tcPr>
            <w:tcW w:w="1009" w:type="pct"/>
            <w:tcBorders>
              <w:top w:val="single" w:sz="4" w:space="0" w:color="auto"/>
              <w:left w:val="single" w:sz="4" w:space="0" w:color="auto"/>
              <w:bottom w:val="single" w:sz="4" w:space="0" w:color="auto"/>
              <w:right w:val="single" w:sz="4" w:space="0" w:color="auto"/>
            </w:tcBorders>
          </w:tcPr>
          <w:p w14:paraId="30416067" w14:textId="77777777" w:rsidR="00C63971" w:rsidRPr="00E66334" w:rsidRDefault="005A3D7D" w:rsidP="006878A4">
            <w:pPr>
              <w:tabs>
                <w:tab w:val="clear" w:pos="567"/>
              </w:tabs>
              <w:spacing w:line="240" w:lineRule="auto"/>
              <w:jc w:val="center"/>
            </w:pPr>
            <w:r w:rsidRPr="00E66334">
              <w:t>1.9</w:t>
            </w:r>
          </w:p>
          <w:p w14:paraId="571C2223" w14:textId="77777777" w:rsidR="00C63971" w:rsidRPr="00E66334" w:rsidRDefault="005A3D7D" w:rsidP="006878A4">
            <w:pPr>
              <w:tabs>
                <w:tab w:val="clear" w:pos="567"/>
              </w:tabs>
              <w:spacing w:line="240" w:lineRule="auto"/>
              <w:jc w:val="center"/>
              <w:rPr>
                <w:lang w:eastAsia="en-GB"/>
              </w:rPr>
            </w:pPr>
            <w:r w:rsidRPr="00E66334">
              <w:rPr>
                <w:lang w:eastAsia="en-GB"/>
              </w:rPr>
              <w:t>(0.9, 2.9)</w:t>
            </w:r>
          </w:p>
        </w:tc>
        <w:tc>
          <w:tcPr>
            <w:tcW w:w="894" w:type="pct"/>
            <w:tcBorders>
              <w:top w:val="single" w:sz="4" w:space="0" w:color="auto"/>
              <w:left w:val="single" w:sz="4" w:space="0" w:color="auto"/>
              <w:bottom w:val="single" w:sz="4" w:space="0" w:color="auto"/>
              <w:right w:val="single" w:sz="4" w:space="0" w:color="auto"/>
            </w:tcBorders>
          </w:tcPr>
          <w:p w14:paraId="6D5686EF" w14:textId="77777777" w:rsidR="00C63971" w:rsidRPr="00E66334" w:rsidRDefault="005A3D7D" w:rsidP="006878A4">
            <w:pPr>
              <w:keepNext/>
              <w:tabs>
                <w:tab w:val="clear" w:pos="567"/>
              </w:tabs>
              <w:spacing w:line="240" w:lineRule="auto"/>
              <w:jc w:val="center"/>
              <w:rPr>
                <w:lang w:eastAsia="en-GB"/>
              </w:rPr>
            </w:pPr>
            <w:r w:rsidRPr="00E66334">
              <w:rPr>
                <w:lang w:eastAsia="en-GB"/>
              </w:rPr>
              <w:t>0.0004</w:t>
            </w:r>
          </w:p>
        </w:tc>
      </w:tr>
      <w:tr w:rsidR="00476058" w14:paraId="77E1990F"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6A09D6C6" w14:textId="77777777" w:rsidR="00C63971" w:rsidRPr="00E66334" w:rsidRDefault="005A3D7D" w:rsidP="00C63971">
            <w:pPr>
              <w:tabs>
                <w:tab w:val="clear" w:pos="567"/>
              </w:tabs>
              <w:spacing w:line="240" w:lineRule="auto"/>
            </w:pPr>
            <w:r w:rsidRPr="00E66334">
              <w:t>At </w:t>
            </w:r>
            <w:r>
              <w:t>w</w:t>
            </w:r>
            <w:r w:rsidRPr="00E66334">
              <w:t>eek 48</w:t>
            </w:r>
          </w:p>
        </w:tc>
        <w:tc>
          <w:tcPr>
            <w:tcW w:w="1009" w:type="pct"/>
            <w:tcBorders>
              <w:top w:val="single" w:sz="4" w:space="0" w:color="auto"/>
              <w:left w:val="single" w:sz="4" w:space="0" w:color="auto"/>
              <w:bottom w:val="single" w:sz="4" w:space="0" w:color="auto"/>
              <w:right w:val="single" w:sz="4" w:space="0" w:color="auto"/>
            </w:tcBorders>
          </w:tcPr>
          <w:p w14:paraId="16815F45" w14:textId="77777777" w:rsidR="00C63971" w:rsidRPr="00E66334" w:rsidRDefault="005A3D7D" w:rsidP="006878A4">
            <w:pPr>
              <w:tabs>
                <w:tab w:val="clear" w:pos="567"/>
                <w:tab w:val="left" w:pos="715"/>
              </w:tabs>
              <w:spacing w:line="240" w:lineRule="auto"/>
              <w:jc w:val="center"/>
            </w:pPr>
            <w:r w:rsidRPr="00E66334">
              <w:t>2.7</w:t>
            </w:r>
          </w:p>
          <w:p w14:paraId="7C309EC6" w14:textId="77777777" w:rsidR="00C63971" w:rsidRPr="00E66334" w:rsidRDefault="005A3D7D" w:rsidP="006878A4">
            <w:pPr>
              <w:tabs>
                <w:tab w:val="clear" w:pos="567"/>
              </w:tabs>
              <w:spacing w:line="240" w:lineRule="auto"/>
              <w:jc w:val="center"/>
              <w:rPr>
                <w:lang w:eastAsia="en-GB"/>
              </w:rPr>
            </w:pPr>
            <w:r w:rsidRPr="00E66334">
              <w:t>(1.3, 4.1)</w:t>
            </w:r>
          </w:p>
        </w:tc>
        <w:tc>
          <w:tcPr>
            <w:tcW w:w="732" w:type="pct"/>
            <w:tcBorders>
              <w:top w:val="single" w:sz="4" w:space="0" w:color="auto"/>
              <w:left w:val="single" w:sz="4" w:space="0" w:color="auto"/>
              <w:bottom w:val="single" w:sz="4" w:space="0" w:color="auto"/>
              <w:right w:val="single" w:sz="4" w:space="0" w:color="auto"/>
            </w:tcBorders>
          </w:tcPr>
          <w:p w14:paraId="7048016C" w14:textId="77777777" w:rsidR="00C63971" w:rsidRPr="00E66334" w:rsidRDefault="005A3D7D" w:rsidP="006878A4">
            <w:pPr>
              <w:tabs>
                <w:tab w:val="clear" w:pos="567"/>
              </w:tabs>
              <w:spacing w:line="240" w:lineRule="auto"/>
              <w:jc w:val="center"/>
              <w:rPr>
                <w:lang w:eastAsia="en-GB"/>
              </w:rPr>
            </w:pP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156B70DE" w14:textId="77777777" w:rsidR="00C63971" w:rsidRPr="00E66334" w:rsidRDefault="005A3D7D" w:rsidP="006878A4">
            <w:pPr>
              <w:tabs>
                <w:tab w:val="clear" w:pos="567"/>
                <w:tab w:val="left" w:pos="654"/>
              </w:tabs>
              <w:spacing w:line="240" w:lineRule="auto"/>
              <w:jc w:val="center"/>
              <w:rPr>
                <w:lang w:eastAsia="en-GB"/>
              </w:rPr>
            </w:pPr>
            <w:r w:rsidRPr="00E66334">
              <w:rPr>
                <w:lang w:eastAsia="en-GB"/>
              </w:rPr>
              <w:t>2.8</w:t>
            </w:r>
          </w:p>
          <w:p w14:paraId="55D5A606" w14:textId="77777777" w:rsidR="00C63971" w:rsidRPr="00E66334" w:rsidRDefault="005A3D7D" w:rsidP="006878A4">
            <w:pPr>
              <w:tabs>
                <w:tab w:val="clear" w:pos="567"/>
              </w:tabs>
              <w:spacing w:line="240" w:lineRule="auto"/>
              <w:jc w:val="center"/>
              <w:rPr>
                <w:lang w:eastAsia="en-GB"/>
              </w:rPr>
            </w:pPr>
            <w:r w:rsidRPr="00E66334">
              <w:rPr>
                <w:lang w:eastAsia="en-GB"/>
              </w:rPr>
              <w:t>(1.3, 4.2)</w:t>
            </w:r>
          </w:p>
        </w:tc>
        <w:tc>
          <w:tcPr>
            <w:tcW w:w="894" w:type="pct"/>
            <w:tcBorders>
              <w:top w:val="single" w:sz="4" w:space="0" w:color="auto"/>
              <w:left w:val="single" w:sz="4" w:space="0" w:color="auto"/>
              <w:bottom w:val="single" w:sz="4" w:space="0" w:color="auto"/>
              <w:right w:val="single" w:sz="4" w:space="0" w:color="auto"/>
            </w:tcBorders>
          </w:tcPr>
          <w:p w14:paraId="004F28EC" w14:textId="77777777" w:rsidR="00C63971" w:rsidRPr="00E66334" w:rsidRDefault="005A3D7D" w:rsidP="006878A4">
            <w:pPr>
              <w:keepNext/>
              <w:tabs>
                <w:tab w:val="clear" w:pos="567"/>
              </w:tabs>
              <w:spacing w:line="240" w:lineRule="auto"/>
              <w:jc w:val="center"/>
              <w:rPr>
                <w:lang w:eastAsia="en-GB"/>
              </w:rPr>
            </w:pPr>
            <w:r w:rsidRPr="00E66334">
              <w:rPr>
                <w:lang w:eastAsia="en-GB"/>
              </w:rPr>
              <w:t>0.0002</w:t>
            </w:r>
          </w:p>
        </w:tc>
      </w:tr>
      <w:tr w:rsidR="00476058" w14:paraId="04CFF0E2" w14:textId="77777777" w:rsidTr="006878A4">
        <w:trPr>
          <w:trHeight w:val="310"/>
        </w:trPr>
        <w:tc>
          <w:tcPr>
            <w:tcW w:w="5000" w:type="pct"/>
            <w:gridSpan w:val="5"/>
            <w:tcBorders>
              <w:left w:val="single" w:sz="4" w:space="0" w:color="auto"/>
              <w:bottom w:val="single" w:sz="4" w:space="0" w:color="auto"/>
              <w:right w:val="single" w:sz="4" w:space="0" w:color="auto"/>
            </w:tcBorders>
          </w:tcPr>
          <w:p w14:paraId="24B9BE8D" w14:textId="77777777" w:rsidR="00C63971" w:rsidRPr="00E66334" w:rsidRDefault="005A3D7D" w:rsidP="006878A4">
            <w:pPr>
              <w:keepNext/>
              <w:tabs>
                <w:tab w:val="clear" w:pos="567"/>
              </w:tabs>
              <w:spacing w:line="240" w:lineRule="auto"/>
              <w:rPr>
                <w:b/>
                <w:lang w:eastAsia="en-GB"/>
              </w:rPr>
            </w:pPr>
            <w:r w:rsidRPr="00E66334">
              <w:rPr>
                <w:b/>
                <w:lang w:eastAsia="en-GB"/>
              </w:rPr>
              <w:t xml:space="preserve">Mean absolute change from baseline in BMI </w:t>
            </w:r>
            <w:r w:rsidRPr="00E66334">
              <w:rPr>
                <w:b/>
                <w:lang w:eastAsia="en-GB"/>
              </w:rPr>
              <w:t>(kg/m</w:t>
            </w:r>
            <w:r w:rsidRPr="00E66334">
              <w:rPr>
                <w:b/>
                <w:vertAlign w:val="superscript"/>
                <w:lang w:eastAsia="en-GB"/>
              </w:rPr>
              <w:t>2</w:t>
            </w:r>
            <w:r w:rsidRPr="00E66334">
              <w:rPr>
                <w:b/>
                <w:lang w:eastAsia="en-GB"/>
              </w:rPr>
              <w:t>)</w:t>
            </w:r>
          </w:p>
        </w:tc>
      </w:tr>
      <w:tr w:rsidR="00476058" w14:paraId="35EF0B28"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3858B06B" w14:textId="77777777" w:rsidR="00C63971" w:rsidRPr="00E66334" w:rsidRDefault="005A3D7D" w:rsidP="00C63971">
            <w:pPr>
              <w:tabs>
                <w:tab w:val="clear" w:pos="567"/>
              </w:tabs>
              <w:spacing w:line="240" w:lineRule="auto"/>
            </w:pPr>
            <w:r w:rsidRPr="00E66334">
              <w:t xml:space="preserve">At </w:t>
            </w:r>
            <w:r>
              <w:t>w</w:t>
            </w:r>
            <w:r w:rsidRPr="00E66334">
              <w:t>eek 24</w:t>
            </w:r>
          </w:p>
        </w:tc>
        <w:tc>
          <w:tcPr>
            <w:tcW w:w="1009" w:type="pct"/>
            <w:tcBorders>
              <w:top w:val="single" w:sz="4" w:space="0" w:color="auto"/>
              <w:left w:val="single" w:sz="4" w:space="0" w:color="auto"/>
              <w:bottom w:val="single" w:sz="4" w:space="0" w:color="auto"/>
              <w:right w:val="single" w:sz="4" w:space="0" w:color="auto"/>
            </w:tcBorders>
          </w:tcPr>
          <w:p w14:paraId="3D74DA0E" w14:textId="77777777" w:rsidR="00C63971" w:rsidRPr="00E66334" w:rsidRDefault="005A3D7D" w:rsidP="006878A4">
            <w:pPr>
              <w:tabs>
                <w:tab w:val="clear" w:pos="567"/>
                <w:tab w:val="left" w:pos="704"/>
              </w:tabs>
              <w:spacing w:line="240" w:lineRule="auto"/>
              <w:jc w:val="center"/>
            </w:pPr>
            <w:r w:rsidRPr="00E66334">
              <w:t>0.94</w:t>
            </w:r>
          </w:p>
          <w:p w14:paraId="46DE151D" w14:textId="77777777" w:rsidR="00C63971" w:rsidRPr="00E66334" w:rsidRDefault="005A3D7D" w:rsidP="006878A4">
            <w:pPr>
              <w:tabs>
                <w:tab w:val="clear" w:pos="567"/>
                <w:tab w:val="left" w:pos="681"/>
              </w:tabs>
              <w:spacing w:line="240" w:lineRule="auto"/>
              <w:jc w:val="center"/>
            </w:pPr>
            <w:r w:rsidRPr="00E66334">
              <w:t>(0.62, 1.26)</w:t>
            </w:r>
          </w:p>
        </w:tc>
        <w:tc>
          <w:tcPr>
            <w:tcW w:w="732" w:type="pct"/>
            <w:tcBorders>
              <w:top w:val="single" w:sz="4" w:space="0" w:color="auto"/>
              <w:left w:val="single" w:sz="4" w:space="0" w:color="auto"/>
              <w:bottom w:val="single" w:sz="4" w:space="0" w:color="auto"/>
              <w:right w:val="single" w:sz="4" w:space="0" w:color="auto"/>
            </w:tcBorders>
          </w:tcPr>
          <w:p w14:paraId="50DCE50E" w14:textId="77777777" w:rsidR="00C63971" w:rsidRPr="00E66334" w:rsidRDefault="005A3D7D"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454C3D07" w14:textId="77777777" w:rsidR="00C63971" w:rsidRPr="00E66334" w:rsidRDefault="005A3D7D" w:rsidP="006878A4">
            <w:pPr>
              <w:tabs>
                <w:tab w:val="clear" w:pos="567"/>
              </w:tabs>
              <w:spacing w:line="240" w:lineRule="auto"/>
              <w:jc w:val="center"/>
              <w:rPr>
                <w:lang w:eastAsia="en-GB"/>
              </w:rPr>
            </w:pPr>
            <w:r w:rsidRPr="00E66334">
              <w:rPr>
                <w:lang w:eastAsia="en-GB"/>
              </w:rPr>
              <w:t>0.81</w:t>
            </w:r>
          </w:p>
          <w:p w14:paraId="18CE0173" w14:textId="77777777" w:rsidR="00C63971" w:rsidRPr="00E66334" w:rsidRDefault="005A3D7D" w:rsidP="006878A4">
            <w:pPr>
              <w:tabs>
                <w:tab w:val="clear" w:pos="567"/>
              </w:tabs>
              <w:spacing w:line="240" w:lineRule="auto"/>
              <w:jc w:val="center"/>
              <w:rPr>
                <w:lang w:eastAsia="en-GB"/>
              </w:rPr>
            </w:pPr>
            <w:r w:rsidRPr="00E66334">
              <w:rPr>
                <w:lang w:eastAsia="en-GB"/>
              </w:rPr>
              <w:t>(0.34, 1.28)</w:t>
            </w:r>
          </w:p>
        </w:tc>
        <w:tc>
          <w:tcPr>
            <w:tcW w:w="894" w:type="pct"/>
            <w:tcBorders>
              <w:top w:val="single" w:sz="4" w:space="0" w:color="auto"/>
              <w:left w:val="single" w:sz="4" w:space="0" w:color="auto"/>
              <w:bottom w:val="single" w:sz="4" w:space="0" w:color="auto"/>
              <w:right w:val="single" w:sz="4" w:space="0" w:color="auto"/>
            </w:tcBorders>
          </w:tcPr>
          <w:p w14:paraId="321A4C54" w14:textId="77777777" w:rsidR="00C63971" w:rsidRPr="00E66334" w:rsidRDefault="005A3D7D" w:rsidP="006878A4">
            <w:pPr>
              <w:keepNext/>
              <w:tabs>
                <w:tab w:val="clear" w:pos="567"/>
              </w:tabs>
              <w:spacing w:line="240" w:lineRule="auto"/>
              <w:jc w:val="center"/>
              <w:rPr>
                <w:lang w:eastAsia="en-GB"/>
              </w:rPr>
            </w:pPr>
            <w:r w:rsidRPr="00E66334">
              <w:rPr>
                <w:lang w:eastAsia="en-GB"/>
              </w:rPr>
              <w:t>0.0008</w:t>
            </w:r>
          </w:p>
        </w:tc>
      </w:tr>
      <w:tr w:rsidR="00476058" w14:paraId="56A2F4E3"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2E8BD2CD" w14:textId="77777777" w:rsidR="00C63971" w:rsidRPr="00E66334" w:rsidRDefault="005A3D7D" w:rsidP="00C63971">
            <w:pPr>
              <w:tabs>
                <w:tab w:val="clear" w:pos="567"/>
              </w:tabs>
              <w:spacing w:line="240" w:lineRule="auto"/>
            </w:pPr>
            <w:r w:rsidRPr="00E66334">
              <w:t xml:space="preserve">At </w:t>
            </w:r>
            <w:r>
              <w:t>w</w:t>
            </w:r>
            <w:r w:rsidRPr="00E66334">
              <w:t>eek 48</w:t>
            </w:r>
          </w:p>
        </w:tc>
        <w:tc>
          <w:tcPr>
            <w:tcW w:w="1009" w:type="pct"/>
            <w:tcBorders>
              <w:top w:val="single" w:sz="4" w:space="0" w:color="auto"/>
              <w:left w:val="single" w:sz="4" w:space="0" w:color="auto"/>
              <w:bottom w:val="single" w:sz="4" w:space="0" w:color="auto"/>
              <w:right w:val="single" w:sz="4" w:space="0" w:color="auto"/>
            </w:tcBorders>
          </w:tcPr>
          <w:p w14:paraId="4522D113" w14:textId="77777777" w:rsidR="00C63971" w:rsidRPr="00E66334" w:rsidRDefault="005A3D7D" w:rsidP="006878A4">
            <w:pPr>
              <w:tabs>
                <w:tab w:val="clear" w:pos="567"/>
              </w:tabs>
              <w:spacing w:line="240" w:lineRule="auto"/>
              <w:jc w:val="center"/>
            </w:pPr>
            <w:r w:rsidRPr="00E66334">
              <w:t>0.93</w:t>
            </w:r>
          </w:p>
          <w:p w14:paraId="63BB8E22" w14:textId="77777777" w:rsidR="00C63971" w:rsidRPr="00E66334" w:rsidRDefault="005A3D7D" w:rsidP="006878A4">
            <w:pPr>
              <w:tabs>
                <w:tab w:val="clear" w:pos="567"/>
              </w:tabs>
              <w:spacing w:line="240" w:lineRule="auto"/>
              <w:jc w:val="center"/>
            </w:pPr>
            <w:r w:rsidRPr="00E66334">
              <w:t>(0.48, 1.38)</w:t>
            </w:r>
          </w:p>
        </w:tc>
        <w:tc>
          <w:tcPr>
            <w:tcW w:w="732" w:type="pct"/>
            <w:tcBorders>
              <w:top w:val="single" w:sz="4" w:space="0" w:color="auto"/>
              <w:left w:val="single" w:sz="4" w:space="0" w:color="auto"/>
              <w:bottom w:val="single" w:sz="4" w:space="0" w:color="auto"/>
              <w:right w:val="single" w:sz="4" w:space="0" w:color="auto"/>
            </w:tcBorders>
          </w:tcPr>
          <w:p w14:paraId="2D488C17" w14:textId="77777777" w:rsidR="00C63971" w:rsidRPr="00E66334" w:rsidRDefault="005A3D7D"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53330ABF" w14:textId="77777777" w:rsidR="00C63971" w:rsidRPr="00E66334" w:rsidRDefault="005A3D7D" w:rsidP="006878A4">
            <w:pPr>
              <w:tabs>
                <w:tab w:val="clear" w:pos="567"/>
              </w:tabs>
              <w:spacing w:line="240" w:lineRule="auto"/>
              <w:jc w:val="center"/>
              <w:rPr>
                <w:lang w:eastAsia="en-GB"/>
              </w:rPr>
            </w:pPr>
            <w:r w:rsidRPr="00E66334">
              <w:rPr>
                <w:lang w:eastAsia="en-GB"/>
              </w:rPr>
              <w:t>1.09</w:t>
            </w:r>
          </w:p>
          <w:p w14:paraId="68302AA9" w14:textId="77777777" w:rsidR="00C63971" w:rsidRPr="00E66334" w:rsidRDefault="005A3D7D" w:rsidP="006878A4">
            <w:pPr>
              <w:tabs>
                <w:tab w:val="clear" w:pos="567"/>
              </w:tabs>
              <w:spacing w:line="240" w:lineRule="auto"/>
              <w:jc w:val="center"/>
              <w:rPr>
                <w:lang w:eastAsia="en-GB"/>
              </w:rPr>
            </w:pPr>
            <w:r w:rsidRPr="00E66334">
              <w:rPr>
                <w:lang w:eastAsia="en-GB"/>
              </w:rPr>
              <w:t>(0.51, 1.67)</w:t>
            </w:r>
          </w:p>
        </w:tc>
        <w:tc>
          <w:tcPr>
            <w:tcW w:w="894" w:type="pct"/>
            <w:tcBorders>
              <w:top w:val="single" w:sz="4" w:space="0" w:color="auto"/>
              <w:left w:val="single" w:sz="4" w:space="0" w:color="auto"/>
              <w:bottom w:val="single" w:sz="4" w:space="0" w:color="auto"/>
              <w:right w:val="single" w:sz="4" w:space="0" w:color="auto"/>
            </w:tcBorders>
          </w:tcPr>
          <w:p w14:paraId="1AE1771B" w14:textId="77777777" w:rsidR="00C63971" w:rsidRPr="00E66334" w:rsidRDefault="005A3D7D" w:rsidP="006878A4">
            <w:pPr>
              <w:keepNext/>
              <w:tabs>
                <w:tab w:val="clear" w:pos="567"/>
              </w:tabs>
              <w:spacing w:line="240" w:lineRule="auto"/>
              <w:jc w:val="center"/>
              <w:rPr>
                <w:lang w:eastAsia="en-GB"/>
              </w:rPr>
            </w:pPr>
            <w:r w:rsidRPr="00E66334">
              <w:rPr>
                <w:lang w:eastAsia="en-GB"/>
              </w:rPr>
              <w:t>0.0003</w:t>
            </w:r>
          </w:p>
        </w:tc>
      </w:tr>
      <w:tr w:rsidR="00476058" w14:paraId="543C2D10" w14:textId="77777777" w:rsidTr="006878A4">
        <w:trPr>
          <w:trHeight w:val="301"/>
        </w:trPr>
        <w:tc>
          <w:tcPr>
            <w:tcW w:w="5000" w:type="pct"/>
            <w:gridSpan w:val="5"/>
            <w:tcBorders>
              <w:left w:val="single" w:sz="4" w:space="0" w:color="auto"/>
              <w:bottom w:val="single" w:sz="4" w:space="0" w:color="auto"/>
              <w:right w:val="single" w:sz="4" w:space="0" w:color="auto"/>
            </w:tcBorders>
          </w:tcPr>
          <w:p w14:paraId="44999D81" w14:textId="77777777" w:rsidR="00C63971" w:rsidRPr="00E66334" w:rsidRDefault="005A3D7D" w:rsidP="006878A4">
            <w:pPr>
              <w:keepNext/>
              <w:tabs>
                <w:tab w:val="clear" w:pos="567"/>
              </w:tabs>
              <w:spacing w:line="240" w:lineRule="auto"/>
              <w:rPr>
                <w:lang w:eastAsia="en-GB"/>
              </w:rPr>
            </w:pPr>
            <w:r w:rsidRPr="00E66334">
              <w:rPr>
                <w:b/>
                <w:lang w:eastAsia="en-GB"/>
              </w:rPr>
              <w:t>Mean change from baseline in z</w:t>
            </w:r>
            <w:r w:rsidRPr="00E66334">
              <w:rPr>
                <w:b/>
                <w:lang w:eastAsia="en-GB"/>
              </w:rPr>
              <w:noBreakHyphen/>
              <w:t>scores</w:t>
            </w:r>
          </w:p>
        </w:tc>
      </w:tr>
      <w:tr w:rsidR="00476058" w14:paraId="5CF91548"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2399986E" w14:textId="77777777" w:rsidR="00C63971" w:rsidRPr="00E66334" w:rsidRDefault="005A3D7D" w:rsidP="004A77BC">
            <w:pPr>
              <w:tabs>
                <w:tab w:val="clear" w:pos="567"/>
              </w:tabs>
              <w:spacing w:line="240" w:lineRule="auto"/>
            </w:pPr>
            <w:r w:rsidRPr="00E66334">
              <w:t>Weight</w:t>
            </w:r>
            <w:r w:rsidRPr="00E66334">
              <w:noBreakHyphen/>
              <w:t>for</w:t>
            </w:r>
            <w:r w:rsidRPr="00E66334">
              <w:noBreakHyphen/>
              <w:t>age z</w:t>
            </w:r>
            <w:r w:rsidRPr="00E66334">
              <w:noBreakHyphen/>
              <w:t xml:space="preserve">score at </w:t>
            </w:r>
            <w:r w:rsidR="004A77BC">
              <w:t>w</w:t>
            </w:r>
            <w:r w:rsidRPr="00E66334">
              <w:t>eek 48</w:t>
            </w:r>
            <w:r w:rsidRPr="00E66334">
              <w:rPr>
                <w:vertAlign w:val="superscript"/>
              </w:rPr>
              <w:t>e</w:t>
            </w:r>
          </w:p>
        </w:tc>
        <w:tc>
          <w:tcPr>
            <w:tcW w:w="1009" w:type="pct"/>
            <w:tcBorders>
              <w:top w:val="single" w:sz="4" w:space="0" w:color="auto"/>
              <w:left w:val="single" w:sz="4" w:space="0" w:color="auto"/>
              <w:bottom w:val="single" w:sz="4" w:space="0" w:color="auto"/>
              <w:right w:val="single" w:sz="4" w:space="0" w:color="auto"/>
            </w:tcBorders>
          </w:tcPr>
          <w:p w14:paraId="567970BA" w14:textId="77777777" w:rsidR="00C63971" w:rsidRPr="00E66334" w:rsidRDefault="005A3D7D" w:rsidP="006878A4">
            <w:pPr>
              <w:tabs>
                <w:tab w:val="clear" w:pos="567"/>
              </w:tabs>
              <w:spacing w:line="240" w:lineRule="auto"/>
              <w:jc w:val="center"/>
            </w:pPr>
            <w:r w:rsidRPr="00E66334">
              <w:t>0.33</w:t>
            </w:r>
          </w:p>
          <w:p w14:paraId="0BE67554" w14:textId="77777777" w:rsidR="00C63971" w:rsidRPr="00E66334" w:rsidRDefault="005A3D7D" w:rsidP="006878A4">
            <w:pPr>
              <w:tabs>
                <w:tab w:val="clear" w:pos="567"/>
              </w:tabs>
              <w:spacing w:line="240" w:lineRule="auto"/>
              <w:jc w:val="center"/>
            </w:pPr>
            <w:r w:rsidRPr="00E66334">
              <w:t>(0.04, 0.62)</w:t>
            </w:r>
          </w:p>
        </w:tc>
        <w:tc>
          <w:tcPr>
            <w:tcW w:w="732" w:type="pct"/>
            <w:tcBorders>
              <w:top w:val="single" w:sz="4" w:space="0" w:color="auto"/>
              <w:left w:val="single" w:sz="4" w:space="0" w:color="auto"/>
              <w:bottom w:val="single" w:sz="4" w:space="0" w:color="auto"/>
              <w:right w:val="single" w:sz="4" w:space="0" w:color="auto"/>
            </w:tcBorders>
          </w:tcPr>
          <w:p w14:paraId="232FBE41" w14:textId="77777777" w:rsidR="00C63971" w:rsidRPr="00E66334" w:rsidRDefault="005A3D7D" w:rsidP="006878A4">
            <w:pPr>
              <w:tabs>
                <w:tab w:val="clear" w:pos="567"/>
              </w:tabs>
              <w:spacing w:line="240" w:lineRule="auto"/>
              <w:jc w:val="center"/>
              <w:rPr>
                <w:lang w:eastAsia="en-GB"/>
              </w:rPr>
            </w:pPr>
            <w:r w:rsidRPr="00E66334">
              <w:rPr>
                <w:lang w:eastAsia="en-GB"/>
              </w:rPr>
              <w:t>0.0260</w:t>
            </w:r>
          </w:p>
        </w:tc>
        <w:tc>
          <w:tcPr>
            <w:tcW w:w="1009" w:type="pct"/>
            <w:tcBorders>
              <w:top w:val="single" w:sz="4" w:space="0" w:color="auto"/>
              <w:left w:val="single" w:sz="4" w:space="0" w:color="auto"/>
              <w:bottom w:val="single" w:sz="4" w:space="0" w:color="auto"/>
              <w:right w:val="single" w:sz="4" w:space="0" w:color="auto"/>
            </w:tcBorders>
          </w:tcPr>
          <w:p w14:paraId="79A299ED" w14:textId="77777777" w:rsidR="00C63971" w:rsidRPr="00E66334" w:rsidRDefault="005A3D7D" w:rsidP="006878A4">
            <w:pPr>
              <w:tabs>
                <w:tab w:val="clear" w:pos="567"/>
              </w:tabs>
              <w:spacing w:line="240" w:lineRule="auto"/>
              <w:jc w:val="center"/>
              <w:rPr>
                <w:lang w:eastAsia="en-GB"/>
              </w:rPr>
            </w:pPr>
            <w:r w:rsidRPr="00E66334">
              <w:rPr>
                <w:lang w:eastAsia="en-GB"/>
              </w:rPr>
              <w:t>0.39</w:t>
            </w:r>
          </w:p>
          <w:p w14:paraId="6DF822E3" w14:textId="77777777" w:rsidR="00C63971" w:rsidRPr="00E66334" w:rsidRDefault="005A3D7D" w:rsidP="006878A4">
            <w:pPr>
              <w:tabs>
                <w:tab w:val="clear" w:pos="567"/>
              </w:tabs>
              <w:spacing w:line="240" w:lineRule="auto"/>
              <w:jc w:val="center"/>
              <w:rPr>
                <w:lang w:eastAsia="en-GB"/>
              </w:rPr>
            </w:pPr>
            <w:r w:rsidRPr="00E66334">
              <w:rPr>
                <w:lang w:eastAsia="en-GB"/>
              </w:rPr>
              <w:t xml:space="preserve">(0.24, </w:t>
            </w:r>
            <w:r w:rsidRPr="00E66334">
              <w:rPr>
                <w:lang w:eastAsia="en-GB"/>
              </w:rPr>
              <w:t>0.53)</w:t>
            </w:r>
          </w:p>
        </w:tc>
        <w:tc>
          <w:tcPr>
            <w:tcW w:w="894" w:type="pct"/>
            <w:tcBorders>
              <w:top w:val="single" w:sz="4" w:space="0" w:color="auto"/>
              <w:left w:val="single" w:sz="4" w:space="0" w:color="auto"/>
              <w:bottom w:val="single" w:sz="4" w:space="0" w:color="auto"/>
              <w:right w:val="single" w:sz="4" w:space="0" w:color="auto"/>
            </w:tcBorders>
          </w:tcPr>
          <w:p w14:paraId="635F602A" w14:textId="77777777" w:rsidR="00C63971" w:rsidRPr="00E66334" w:rsidRDefault="005A3D7D" w:rsidP="006878A4">
            <w:pPr>
              <w:keepNext/>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r>
      <w:tr w:rsidR="00476058" w14:paraId="5E06F57A"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5AB245D1" w14:textId="77777777" w:rsidR="00C63971" w:rsidRPr="00E66334" w:rsidRDefault="005A3D7D" w:rsidP="000A093B">
            <w:pPr>
              <w:keepNext/>
              <w:tabs>
                <w:tab w:val="clear" w:pos="567"/>
              </w:tabs>
              <w:spacing w:line="240" w:lineRule="auto"/>
            </w:pPr>
            <w:r w:rsidRPr="00E66334">
              <w:t>BMI</w:t>
            </w:r>
            <w:r w:rsidRPr="00E66334">
              <w:noBreakHyphen/>
              <w:t>for</w:t>
            </w:r>
            <w:r w:rsidRPr="00E66334">
              <w:noBreakHyphen/>
              <w:t>age z</w:t>
            </w:r>
            <w:r w:rsidRPr="00E66334">
              <w:noBreakHyphen/>
              <w:t xml:space="preserve">score at </w:t>
            </w:r>
            <w:r w:rsidR="004A77BC">
              <w:t>w</w:t>
            </w:r>
            <w:r w:rsidRPr="00E66334">
              <w:t>eek 48</w:t>
            </w:r>
            <w:r w:rsidRPr="00E66334">
              <w:rPr>
                <w:vertAlign w:val="superscript"/>
              </w:rPr>
              <w:t>e</w:t>
            </w:r>
          </w:p>
        </w:tc>
        <w:tc>
          <w:tcPr>
            <w:tcW w:w="1009" w:type="pct"/>
            <w:tcBorders>
              <w:top w:val="single" w:sz="4" w:space="0" w:color="auto"/>
              <w:left w:val="single" w:sz="4" w:space="0" w:color="auto"/>
              <w:bottom w:val="single" w:sz="4" w:space="0" w:color="auto"/>
              <w:right w:val="single" w:sz="4" w:space="0" w:color="auto"/>
            </w:tcBorders>
          </w:tcPr>
          <w:p w14:paraId="042D5AE4" w14:textId="77777777" w:rsidR="00C63971" w:rsidRPr="00E66334" w:rsidRDefault="005A3D7D" w:rsidP="000A093B">
            <w:pPr>
              <w:keepNext/>
              <w:tabs>
                <w:tab w:val="clear" w:pos="567"/>
              </w:tabs>
              <w:spacing w:line="240" w:lineRule="auto"/>
              <w:jc w:val="center"/>
            </w:pPr>
            <w:r w:rsidRPr="00E66334">
              <w:t>0.33</w:t>
            </w:r>
          </w:p>
          <w:p w14:paraId="5B0488E2" w14:textId="77777777" w:rsidR="00C63971" w:rsidRPr="00E66334" w:rsidRDefault="005A3D7D" w:rsidP="000A093B">
            <w:pPr>
              <w:keepNext/>
              <w:tabs>
                <w:tab w:val="clear" w:pos="567"/>
              </w:tabs>
              <w:spacing w:line="240" w:lineRule="auto"/>
              <w:jc w:val="center"/>
            </w:pPr>
            <w:r w:rsidRPr="00E66334">
              <w:t>(0.002, 0.65)</w:t>
            </w:r>
          </w:p>
        </w:tc>
        <w:tc>
          <w:tcPr>
            <w:tcW w:w="732" w:type="pct"/>
            <w:tcBorders>
              <w:top w:val="single" w:sz="4" w:space="0" w:color="auto"/>
              <w:left w:val="single" w:sz="4" w:space="0" w:color="auto"/>
              <w:bottom w:val="single" w:sz="4" w:space="0" w:color="auto"/>
              <w:right w:val="single" w:sz="4" w:space="0" w:color="auto"/>
            </w:tcBorders>
          </w:tcPr>
          <w:p w14:paraId="58043ECF" w14:textId="77777777" w:rsidR="00C63971" w:rsidRPr="00E66334" w:rsidRDefault="005A3D7D" w:rsidP="000A093B">
            <w:pPr>
              <w:keepNext/>
              <w:tabs>
                <w:tab w:val="clear" w:pos="567"/>
              </w:tabs>
              <w:spacing w:line="240" w:lineRule="auto"/>
              <w:jc w:val="center"/>
              <w:rPr>
                <w:lang w:eastAsia="en-GB"/>
              </w:rPr>
            </w:pPr>
            <w:r w:rsidRPr="00E66334">
              <w:rPr>
                <w:lang w:eastAsia="en-GB"/>
              </w:rPr>
              <w:t>0.0490</w:t>
            </w:r>
          </w:p>
        </w:tc>
        <w:tc>
          <w:tcPr>
            <w:tcW w:w="1009" w:type="pct"/>
            <w:tcBorders>
              <w:top w:val="single" w:sz="4" w:space="0" w:color="auto"/>
              <w:left w:val="single" w:sz="4" w:space="0" w:color="auto"/>
              <w:bottom w:val="single" w:sz="4" w:space="0" w:color="auto"/>
              <w:right w:val="single" w:sz="4" w:space="0" w:color="auto"/>
            </w:tcBorders>
          </w:tcPr>
          <w:p w14:paraId="35EA7CF1" w14:textId="77777777" w:rsidR="00C63971" w:rsidRPr="00E66334" w:rsidRDefault="005A3D7D" w:rsidP="000A093B">
            <w:pPr>
              <w:keepNext/>
              <w:tabs>
                <w:tab w:val="clear" w:pos="567"/>
              </w:tabs>
              <w:spacing w:line="240" w:lineRule="auto"/>
              <w:jc w:val="center"/>
              <w:rPr>
                <w:lang w:eastAsia="en-GB"/>
              </w:rPr>
            </w:pPr>
            <w:r w:rsidRPr="00E66334">
              <w:rPr>
                <w:lang w:eastAsia="en-GB"/>
              </w:rPr>
              <w:t>0.45</w:t>
            </w:r>
          </w:p>
          <w:p w14:paraId="7FC7F90C" w14:textId="77777777" w:rsidR="00C63971" w:rsidRPr="00E66334" w:rsidRDefault="005A3D7D" w:rsidP="000A093B">
            <w:pPr>
              <w:keepNext/>
              <w:tabs>
                <w:tab w:val="clear" w:pos="567"/>
              </w:tabs>
              <w:spacing w:line="240" w:lineRule="auto"/>
              <w:jc w:val="center"/>
              <w:rPr>
                <w:lang w:eastAsia="en-GB"/>
              </w:rPr>
            </w:pPr>
            <w:r w:rsidRPr="00E66334">
              <w:rPr>
                <w:lang w:eastAsia="en-GB"/>
              </w:rPr>
              <w:t>(0.26, 0.65)</w:t>
            </w:r>
          </w:p>
        </w:tc>
        <w:tc>
          <w:tcPr>
            <w:tcW w:w="894" w:type="pct"/>
            <w:tcBorders>
              <w:top w:val="single" w:sz="4" w:space="0" w:color="auto"/>
              <w:left w:val="single" w:sz="4" w:space="0" w:color="auto"/>
              <w:bottom w:val="single" w:sz="4" w:space="0" w:color="auto"/>
              <w:right w:val="single" w:sz="4" w:space="0" w:color="auto"/>
            </w:tcBorders>
          </w:tcPr>
          <w:p w14:paraId="35AA36D9" w14:textId="77777777" w:rsidR="00C63971" w:rsidRPr="00E66334" w:rsidRDefault="005A3D7D" w:rsidP="00A0798C">
            <w:pPr>
              <w:keepNext/>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r>
    </w:tbl>
    <w:p w14:paraId="4C043092" w14:textId="77777777" w:rsidR="00401223" w:rsidRPr="00573B9A" w:rsidRDefault="005A3D7D" w:rsidP="000A093B">
      <w:pPr>
        <w:pStyle w:val="tablefootnote"/>
        <w:keepNext/>
        <w:spacing w:before="120"/>
        <w:rPr>
          <w:sz w:val="18"/>
          <w:szCs w:val="18"/>
          <w:lang w:val="en-GB"/>
        </w:rPr>
      </w:pPr>
      <w:r w:rsidRPr="00573B9A">
        <w:rPr>
          <w:sz w:val="18"/>
          <w:szCs w:val="18"/>
          <w:lang w:val="en-GB"/>
        </w:rPr>
        <w:t>CI: confidence interval; NA: not analysed due to low incidence of events</w:t>
      </w:r>
    </w:p>
    <w:p w14:paraId="57C8366A" w14:textId="77777777" w:rsidR="00401223" w:rsidRPr="00573B9A" w:rsidRDefault="005A3D7D" w:rsidP="000A093B">
      <w:pPr>
        <w:pStyle w:val="tablefootnote"/>
        <w:keepNext/>
        <w:ind w:left="288" w:hanging="288"/>
        <w:rPr>
          <w:sz w:val="18"/>
          <w:szCs w:val="18"/>
          <w:lang w:val="en-GB"/>
        </w:rPr>
      </w:pPr>
      <w:r w:rsidRPr="00573B9A">
        <w:rPr>
          <w:sz w:val="18"/>
          <w:szCs w:val="18"/>
          <w:vertAlign w:val="superscript"/>
          <w:lang w:val="en-GB"/>
        </w:rPr>
        <w:t>a</w:t>
      </w:r>
      <w:r w:rsidRPr="00A025B3">
        <w:rPr>
          <w:sz w:val="18"/>
          <w:szCs w:val="18"/>
          <w:lang w:val="en-GB"/>
        </w:rPr>
        <w:tab/>
      </w:r>
      <w:r w:rsidRPr="00573B9A">
        <w:rPr>
          <w:sz w:val="18"/>
          <w:szCs w:val="18"/>
          <w:lang w:val="en-GB"/>
        </w:rPr>
        <w:t>Treatment difference = effect of ivacaftor – effect of placebo</w:t>
      </w:r>
    </w:p>
    <w:p w14:paraId="36DC777F" w14:textId="77777777" w:rsidR="00401223" w:rsidRPr="00573B9A" w:rsidRDefault="005A3D7D" w:rsidP="000A093B">
      <w:pPr>
        <w:keepNext/>
        <w:spacing w:line="240" w:lineRule="auto"/>
        <w:ind w:left="288" w:hanging="288"/>
        <w:rPr>
          <w:sz w:val="18"/>
          <w:szCs w:val="18"/>
          <w:lang w:eastAsia="ja-JP"/>
        </w:rPr>
      </w:pPr>
      <w:r w:rsidRPr="00573B9A">
        <w:rPr>
          <w:sz w:val="18"/>
          <w:szCs w:val="18"/>
          <w:vertAlign w:val="superscript"/>
          <w:lang w:eastAsia="ja-JP"/>
        </w:rPr>
        <w:t>b</w:t>
      </w:r>
      <w:r w:rsidRPr="00573B9A">
        <w:rPr>
          <w:sz w:val="18"/>
          <w:szCs w:val="18"/>
          <w:lang w:eastAsia="ja-JP"/>
        </w:rPr>
        <w:tab/>
        <w:t>CFQ</w:t>
      </w:r>
      <w:r w:rsidRPr="00573B9A">
        <w:rPr>
          <w:sz w:val="18"/>
          <w:szCs w:val="18"/>
          <w:lang w:eastAsia="ja-JP"/>
        </w:rPr>
        <w:noBreakHyphen/>
        <w:t xml:space="preserve">R: </w:t>
      </w:r>
      <w:r w:rsidRPr="00573B9A">
        <w:rPr>
          <w:sz w:val="18"/>
          <w:szCs w:val="18"/>
          <w:lang w:eastAsia="ja-JP"/>
        </w:rPr>
        <w:t>Cystic Fibrosis Questionnaire</w:t>
      </w:r>
      <w:r w:rsidRPr="00573B9A">
        <w:rPr>
          <w:sz w:val="18"/>
          <w:szCs w:val="18"/>
          <w:lang w:eastAsia="ja-JP"/>
        </w:rPr>
        <w:noBreakHyphen/>
        <w:t>Revised is a disease</w:t>
      </w:r>
      <w:r w:rsidRPr="00573B9A">
        <w:rPr>
          <w:sz w:val="18"/>
          <w:szCs w:val="18"/>
          <w:lang w:eastAsia="ja-JP"/>
        </w:rPr>
        <w:noBreakHyphen/>
        <w:t>specific, health</w:t>
      </w:r>
      <w:r w:rsidRPr="00573B9A">
        <w:rPr>
          <w:sz w:val="18"/>
          <w:szCs w:val="18"/>
          <w:lang w:eastAsia="ja-JP"/>
        </w:rPr>
        <w:noBreakHyphen/>
        <w:t>related quality</w:t>
      </w:r>
      <w:r w:rsidRPr="00573B9A">
        <w:rPr>
          <w:sz w:val="18"/>
          <w:szCs w:val="18"/>
          <w:lang w:eastAsia="ja-JP"/>
        </w:rPr>
        <w:noBreakHyphen/>
        <w:t>of</w:t>
      </w:r>
      <w:r w:rsidRPr="00573B9A">
        <w:rPr>
          <w:sz w:val="18"/>
          <w:szCs w:val="18"/>
          <w:lang w:eastAsia="ja-JP"/>
        </w:rPr>
        <w:noBreakHyphen/>
        <w:t>life measure for CF.</w:t>
      </w:r>
    </w:p>
    <w:p w14:paraId="42E107B2" w14:textId="127B9CFA" w:rsidR="00401223" w:rsidRPr="00A025B3" w:rsidRDefault="005A3D7D" w:rsidP="000A093B">
      <w:pPr>
        <w:keepNext/>
        <w:spacing w:line="240" w:lineRule="auto"/>
        <w:ind w:left="288" w:hanging="288"/>
        <w:rPr>
          <w:sz w:val="18"/>
          <w:szCs w:val="18"/>
          <w:lang w:eastAsia="ja-JP"/>
        </w:rPr>
      </w:pPr>
      <w:r w:rsidRPr="00A025B3">
        <w:rPr>
          <w:sz w:val="18"/>
          <w:szCs w:val="18"/>
          <w:vertAlign w:val="superscript"/>
          <w:lang w:eastAsia="ja-JP"/>
        </w:rPr>
        <w:t>c</w:t>
      </w:r>
      <w:r w:rsidRPr="00573B9A">
        <w:rPr>
          <w:sz w:val="18"/>
          <w:szCs w:val="18"/>
          <w:lang w:eastAsia="ja-JP"/>
        </w:rPr>
        <w:tab/>
      </w:r>
      <w:r w:rsidR="0032138D">
        <w:rPr>
          <w:sz w:val="18"/>
          <w:szCs w:val="18"/>
          <w:lang w:eastAsia="ja-JP"/>
        </w:rPr>
        <w:t>Study </w:t>
      </w:r>
      <w:r w:rsidRPr="00573B9A">
        <w:rPr>
          <w:sz w:val="18"/>
          <w:szCs w:val="18"/>
          <w:lang w:eastAsia="ja-JP"/>
        </w:rPr>
        <w:t>1 data were pooled from CFQ</w:t>
      </w:r>
      <w:r w:rsidRPr="00573B9A">
        <w:rPr>
          <w:sz w:val="18"/>
          <w:szCs w:val="18"/>
          <w:lang w:eastAsia="ja-JP"/>
        </w:rPr>
        <w:noBreakHyphen/>
        <w:t>R for adults/adolescents and CFQ</w:t>
      </w:r>
      <w:r w:rsidRPr="00573B9A">
        <w:rPr>
          <w:sz w:val="18"/>
          <w:szCs w:val="18"/>
          <w:lang w:eastAsia="ja-JP"/>
        </w:rPr>
        <w:noBreakHyphen/>
        <w:t xml:space="preserve">R for children 12 to 13 years of age; </w:t>
      </w:r>
      <w:r w:rsidR="0032138D">
        <w:rPr>
          <w:sz w:val="18"/>
          <w:szCs w:val="18"/>
          <w:lang w:eastAsia="ja-JP"/>
        </w:rPr>
        <w:t>Study </w:t>
      </w:r>
      <w:r w:rsidRPr="00573B9A">
        <w:rPr>
          <w:sz w:val="18"/>
          <w:szCs w:val="18"/>
          <w:lang w:eastAsia="ja-JP"/>
        </w:rPr>
        <w:t>2 data were obtained from CFQ</w:t>
      </w:r>
      <w:r w:rsidRPr="00573B9A">
        <w:rPr>
          <w:sz w:val="18"/>
          <w:szCs w:val="18"/>
          <w:lang w:eastAsia="ja-JP"/>
        </w:rPr>
        <w:noBreakHyphen/>
        <w:t xml:space="preserve">R </w:t>
      </w:r>
      <w:r w:rsidRPr="00573B9A">
        <w:rPr>
          <w:sz w:val="18"/>
          <w:szCs w:val="18"/>
          <w:lang w:eastAsia="ja-JP"/>
        </w:rPr>
        <w:t>for children 6 to 11</w:t>
      </w:r>
      <w:r w:rsidR="003C40BF" w:rsidRPr="00A025B3">
        <w:rPr>
          <w:sz w:val="18"/>
          <w:szCs w:val="18"/>
          <w:lang w:eastAsia="ja-JP"/>
        </w:rPr>
        <w:t> </w:t>
      </w:r>
      <w:r w:rsidRPr="00A025B3">
        <w:rPr>
          <w:sz w:val="18"/>
          <w:szCs w:val="18"/>
          <w:lang w:eastAsia="ja-JP"/>
        </w:rPr>
        <w:t>years of age.</w:t>
      </w:r>
    </w:p>
    <w:p w14:paraId="4DF11938" w14:textId="77777777" w:rsidR="00401223" w:rsidRPr="00573B9A" w:rsidRDefault="005A3D7D" w:rsidP="000A093B">
      <w:pPr>
        <w:pStyle w:val="tabletextcenterjustified"/>
        <w:keepNext/>
        <w:spacing w:before="0" w:after="0"/>
        <w:ind w:left="288" w:hanging="288"/>
        <w:jc w:val="left"/>
        <w:rPr>
          <w:sz w:val="18"/>
          <w:szCs w:val="18"/>
          <w:lang w:val="en-GB"/>
        </w:rPr>
      </w:pPr>
      <w:r w:rsidRPr="00A025B3">
        <w:rPr>
          <w:sz w:val="18"/>
          <w:szCs w:val="18"/>
          <w:vertAlign w:val="superscript"/>
          <w:lang w:val="en-GB"/>
        </w:rPr>
        <w:t>d</w:t>
      </w:r>
      <w:r w:rsidRPr="00573B9A">
        <w:rPr>
          <w:sz w:val="18"/>
          <w:szCs w:val="18"/>
          <w:lang w:val="en-GB"/>
        </w:rPr>
        <w:tab/>
        <w:t>Hazard ratio for time to first pulmonary exacerbation</w:t>
      </w:r>
    </w:p>
    <w:p w14:paraId="35616637" w14:textId="77777777" w:rsidR="00401223" w:rsidRPr="00573B9A" w:rsidRDefault="005A3D7D" w:rsidP="000A093B">
      <w:pPr>
        <w:keepNext/>
        <w:tabs>
          <w:tab w:val="clear" w:pos="567"/>
        </w:tabs>
        <w:spacing w:line="240" w:lineRule="auto"/>
        <w:ind w:left="288" w:hanging="288"/>
        <w:rPr>
          <w:sz w:val="18"/>
          <w:szCs w:val="18"/>
          <w:u w:val="single"/>
        </w:rPr>
      </w:pPr>
      <w:r w:rsidRPr="00573B9A">
        <w:rPr>
          <w:sz w:val="18"/>
          <w:szCs w:val="18"/>
          <w:vertAlign w:val="superscript"/>
        </w:rPr>
        <w:t>e</w:t>
      </w:r>
      <w:r w:rsidRPr="00573B9A">
        <w:rPr>
          <w:sz w:val="18"/>
          <w:szCs w:val="18"/>
        </w:rPr>
        <w:tab/>
        <w:t>In subjects under 20 years of age (CDC growth charts)</w:t>
      </w:r>
    </w:p>
    <w:p w14:paraId="749B22E5" w14:textId="77777777" w:rsidR="00F976E8" w:rsidRPr="00A808AC" w:rsidRDefault="00F976E8" w:rsidP="000D02CF">
      <w:pPr>
        <w:spacing w:line="240" w:lineRule="auto"/>
        <w:rPr>
          <w:u w:val="single"/>
        </w:rPr>
      </w:pPr>
    </w:p>
    <w:p w14:paraId="7E96A000" w14:textId="2B41D15A" w:rsidR="00223101" w:rsidRDefault="005A3D7D" w:rsidP="000A093B">
      <w:pPr>
        <w:keepNext/>
        <w:spacing w:line="240" w:lineRule="auto"/>
        <w:rPr>
          <w:i/>
          <w:u w:val="single"/>
        </w:rPr>
      </w:pPr>
      <w:r>
        <w:rPr>
          <w:i/>
          <w:u w:val="single"/>
        </w:rPr>
        <w:t>Study </w:t>
      </w:r>
      <w:r w:rsidR="009B1867" w:rsidRPr="007B0741">
        <w:rPr>
          <w:i/>
          <w:u w:val="single"/>
        </w:rPr>
        <w:t>5: study in patients with CF with non</w:t>
      </w:r>
      <w:r w:rsidR="009B1867" w:rsidRPr="007B0741">
        <w:rPr>
          <w:i/>
          <w:u w:val="single"/>
        </w:rPr>
        <w:noBreakHyphen/>
        <w:t>G551D gating mutations</w:t>
      </w:r>
    </w:p>
    <w:p w14:paraId="73852718" w14:textId="77777777" w:rsidR="00A4646D" w:rsidRPr="007B0741" w:rsidRDefault="00A4646D" w:rsidP="000A093B">
      <w:pPr>
        <w:keepNext/>
        <w:spacing w:line="240" w:lineRule="auto"/>
        <w:rPr>
          <w:i/>
          <w:u w:val="single"/>
        </w:rPr>
      </w:pPr>
    </w:p>
    <w:p w14:paraId="5639B0BD" w14:textId="1F50BB07" w:rsidR="00F976E8" w:rsidRPr="00A808AC" w:rsidRDefault="005A3D7D" w:rsidP="000A093B">
      <w:pPr>
        <w:keepNext/>
        <w:spacing w:line="240" w:lineRule="auto"/>
        <w:rPr>
          <w:strike/>
        </w:rPr>
      </w:pPr>
      <w:r>
        <w:t>Study </w:t>
      </w:r>
      <w:r w:rsidR="009B1867" w:rsidRPr="00A808AC">
        <w:t xml:space="preserve">5 was a </w:t>
      </w:r>
      <w:r w:rsidR="00BA40DB">
        <w:t>p</w:t>
      </w:r>
      <w:r w:rsidR="009B1867" w:rsidRPr="00A808AC">
        <w:t>hase 3, two</w:t>
      </w:r>
      <w:r w:rsidR="009B1867" w:rsidRPr="00A808AC">
        <w:noBreakHyphen/>
        <w:t>part, randomised, double</w:t>
      </w:r>
      <w:r w:rsidR="009B1867" w:rsidRPr="00A808AC">
        <w:noBreakHyphen/>
        <w:t>blind, placebo</w:t>
      </w:r>
      <w:r w:rsidR="00973583" w:rsidRPr="00A808AC">
        <w:noBreakHyphen/>
      </w:r>
      <w:r w:rsidR="009B1867" w:rsidRPr="00A808AC">
        <w:t>controlled, crossover study (part 1) followed by a 16</w:t>
      </w:r>
      <w:r w:rsidR="009B1867" w:rsidRPr="00A808AC">
        <w:noBreakHyphen/>
        <w:t>week open</w:t>
      </w:r>
      <w:r w:rsidR="009B1867" w:rsidRPr="00A808AC">
        <w:noBreakHyphen/>
        <w:t>label extension period (part 2) to evaluate the efficacy and safety of ivacaftor in patients with CF aged 6</w:t>
      </w:r>
      <w:r w:rsidR="007A552B" w:rsidRPr="00A808AC">
        <w:t> </w:t>
      </w:r>
      <w:r w:rsidR="009B1867" w:rsidRPr="00A808AC">
        <w:t xml:space="preserve">years and older who have a </w:t>
      </w:r>
      <w:r w:rsidR="004C57CC" w:rsidRPr="004C57CC">
        <w:rPr>
          <w:i/>
        </w:rPr>
        <w:t>G970R</w:t>
      </w:r>
      <w:r w:rsidR="004C57CC">
        <w:t xml:space="preserve"> or </w:t>
      </w:r>
      <w:r w:rsidR="009B1867" w:rsidRPr="00A808AC">
        <w:t>non</w:t>
      </w:r>
      <w:r w:rsidR="009B1867" w:rsidRPr="00A808AC">
        <w:noBreakHyphen/>
      </w:r>
      <w:r w:rsidR="009B1867" w:rsidRPr="00A808AC">
        <w:rPr>
          <w:i/>
        </w:rPr>
        <w:t>G551D</w:t>
      </w:r>
      <w:r w:rsidR="009B1867" w:rsidRPr="00A808AC">
        <w:t xml:space="preserve"> gating mutation in the </w:t>
      </w:r>
      <w:r w:rsidR="009B1867" w:rsidRPr="00A808AC">
        <w:rPr>
          <w:i/>
        </w:rPr>
        <w:t>CFTR</w:t>
      </w:r>
      <w:r w:rsidR="009B1867" w:rsidRPr="00A808AC">
        <w:t xml:space="preserve"> gene </w:t>
      </w:r>
      <w:r w:rsidR="009B1867" w:rsidRPr="00A808AC">
        <w:rPr>
          <w:bCs/>
        </w:rPr>
        <w:t>(</w:t>
      </w:r>
      <w:r w:rsidR="009B1867" w:rsidRPr="00A808AC">
        <w:rPr>
          <w:bCs/>
          <w:i/>
        </w:rPr>
        <w:t>G178R</w:t>
      </w:r>
      <w:r w:rsidR="009B1867" w:rsidRPr="00A808AC">
        <w:rPr>
          <w:bCs/>
        </w:rPr>
        <w:t xml:space="preserve">, </w:t>
      </w:r>
      <w:r w:rsidR="009B1867" w:rsidRPr="00A808AC">
        <w:rPr>
          <w:bCs/>
          <w:i/>
        </w:rPr>
        <w:t>S549N</w:t>
      </w:r>
      <w:r w:rsidR="009B1867" w:rsidRPr="00A808AC">
        <w:rPr>
          <w:bCs/>
        </w:rPr>
        <w:t xml:space="preserve">, </w:t>
      </w:r>
      <w:r w:rsidR="009B1867" w:rsidRPr="00A808AC">
        <w:rPr>
          <w:bCs/>
          <w:i/>
        </w:rPr>
        <w:t>S549R</w:t>
      </w:r>
      <w:r w:rsidR="009B1867" w:rsidRPr="00A808AC">
        <w:rPr>
          <w:bCs/>
        </w:rPr>
        <w:t xml:space="preserve">, </w:t>
      </w:r>
      <w:r w:rsidR="009B1867" w:rsidRPr="00A808AC">
        <w:rPr>
          <w:bCs/>
          <w:i/>
        </w:rPr>
        <w:t>G551S</w:t>
      </w:r>
      <w:r w:rsidR="009B1867" w:rsidRPr="00A808AC">
        <w:rPr>
          <w:bCs/>
        </w:rPr>
        <w:t xml:space="preserve">, </w:t>
      </w:r>
      <w:r w:rsidR="009B1867" w:rsidRPr="00A808AC">
        <w:rPr>
          <w:bCs/>
          <w:i/>
        </w:rPr>
        <w:t>G1244E</w:t>
      </w:r>
      <w:r w:rsidR="009B1867" w:rsidRPr="00A808AC">
        <w:rPr>
          <w:bCs/>
        </w:rPr>
        <w:t xml:space="preserve">, </w:t>
      </w:r>
      <w:r w:rsidR="009B1867" w:rsidRPr="00A808AC">
        <w:rPr>
          <w:bCs/>
          <w:i/>
        </w:rPr>
        <w:t>S1251N</w:t>
      </w:r>
      <w:r w:rsidR="009B1867" w:rsidRPr="00A808AC">
        <w:rPr>
          <w:bCs/>
        </w:rPr>
        <w:t xml:space="preserve">, </w:t>
      </w:r>
      <w:r w:rsidR="009B1867" w:rsidRPr="00A808AC">
        <w:rPr>
          <w:bCs/>
          <w:i/>
        </w:rPr>
        <w:t>S1255P</w:t>
      </w:r>
      <w:r w:rsidR="009B1867" w:rsidRPr="00A808AC">
        <w:rPr>
          <w:bCs/>
        </w:rPr>
        <w:t xml:space="preserve"> or </w:t>
      </w:r>
      <w:r w:rsidR="009B1867" w:rsidRPr="00A808AC">
        <w:rPr>
          <w:bCs/>
          <w:i/>
        </w:rPr>
        <w:t>G1349D</w:t>
      </w:r>
      <w:r w:rsidR="009B1867" w:rsidRPr="00A808AC">
        <w:rPr>
          <w:bCs/>
        </w:rPr>
        <w:t>)</w:t>
      </w:r>
      <w:r w:rsidR="009B1867" w:rsidRPr="00A808AC">
        <w:t>.</w:t>
      </w:r>
    </w:p>
    <w:p w14:paraId="7E3E2796" w14:textId="77777777" w:rsidR="00F976E8" w:rsidRPr="00A808AC" w:rsidRDefault="00F976E8" w:rsidP="000D02CF">
      <w:pPr>
        <w:pStyle w:val="labeltext"/>
        <w:rPr>
          <w:sz w:val="22"/>
          <w:szCs w:val="22"/>
          <w:lang w:val="en-GB"/>
        </w:rPr>
      </w:pPr>
    </w:p>
    <w:p w14:paraId="31819908" w14:textId="77777777" w:rsidR="00F976E8" w:rsidRPr="00A808AC" w:rsidRDefault="005A3D7D" w:rsidP="000D02CF">
      <w:pPr>
        <w:pStyle w:val="labeltext"/>
        <w:keepNext/>
        <w:rPr>
          <w:sz w:val="22"/>
          <w:szCs w:val="22"/>
          <w:lang w:val="en-GB"/>
        </w:rPr>
      </w:pPr>
      <w:r w:rsidRPr="00A808AC">
        <w:rPr>
          <w:sz w:val="22"/>
          <w:szCs w:val="22"/>
          <w:lang w:val="en-GB"/>
        </w:rPr>
        <w:t>In part 1, patients were randomised 1:1 to receive either 150 mg of ivacaftor or placebo every 12 hours with fat</w:t>
      </w:r>
      <w:r w:rsidRPr="00A808AC">
        <w:rPr>
          <w:sz w:val="22"/>
          <w:szCs w:val="22"/>
          <w:lang w:val="en-GB"/>
        </w:rPr>
        <w:noBreakHyphen/>
        <w:t>containing food for 8</w:t>
      </w:r>
      <w:r w:rsidR="007A552B" w:rsidRPr="00A808AC">
        <w:rPr>
          <w:sz w:val="22"/>
          <w:szCs w:val="22"/>
          <w:lang w:val="en-GB"/>
        </w:rPr>
        <w:t> </w:t>
      </w:r>
      <w:r w:rsidRPr="00A808AC">
        <w:rPr>
          <w:sz w:val="22"/>
          <w:szCs w:val="22"/>
          <w:lang w:val="en-GB"/>
        </w:rPr>
        <w:t>weeks in addition to t</w:t>
      </w:r>
      <w:r w:rsidRPr="00A808AC">
        <w:rPr>
          <w:sz w:val="22"/>
          <w:szCs w:val="22"/>
          <w:lang w:val="en-GB"/>
        </w:rPr>
        <w:t>heir prescribed CF therapies and crossed over to the other treatment for the second 8</w:t>
      </w:r>
      <w:r w:rsidR="007A552B" w:rsidRPr="00A808AC">
        <w:rPr>
          <w:sz w:val="22"/>
          <w:szCs w:val="22"/>
          <w:lang w:val="en-GB"/>
        </w:rPr>
        <w:t> </w:t>
      </w:r>
      <w:r w:rsidRPr="00A808AC">
        <w:rPr>
          <w:sz w:val="22"/>
          <w:szCs w:val="22"/>
          <w:lang w:val="en-GB"/>
        </w:rPr>
        <w:t>weeks after a 4</w:t>
      </w:r>
      <w:r w:rsidR="00BD3959">
        <w:rPr>
          <w:sz w:val="22"/>
          <w:szCs w:val="22"/>
          <w:lang w:val="en-GB"/>
        </w:rPr>
        <w:noBreakHyphen/>
      </w:r>
      <w:r w:rsidRPr="00A808AC">
        <w:rPr>
          <w:sz w:val="22"/>
          <w:szCs w:val="22"/>
          <w:lang w:val="en-GB"/>
        </w:rPr>
        <w:t xml:space="preserve"> to 8</w:t>
      </w:r>
      <w:r w:rsidRPr="00A808AC">
        <w:rPr>
          <w:sz w:val="22"/>
          <w:szCs w:val="22"/>
          <w:lang w:val="en-GB"/>
        </w:rPr>
        <w:noBreakHyphen/>
        <w:t>week washout period. The use of inhaled hypertonic saline was not permitted. In part 2, all patients received ivacaftor as indicated in part 1 for 1</w:t>
      </w:r>
      <w:r w:rsidRPr="00A808AC">
        <w:rPr>
          <w:sz w:val="22"/>
          <w:szCs w:val="22"/>
          <w:lang w:val="en-GB"/>
        </w:rPr>
        <w:t>6 additional weeks. The duration of continuous ivacaftor treatment was 24</w:t>
      </w:r>
      <w:r w:rsidR="007A552B" w:rsidRPr="00A808AC">
        <w:rPr>
          <w:sz w:val="22"/>
          <w:szCs w:val="22"/>
          <w:lang w:val="en-GB"/>
        </w:rPr>
        <w:t> </w:t>
      </w:r>
      <w:r w:rsidRPr="00A808AC">
        <w:rPr>
          <w:sz w:val="22"/>
          <w:szCs w:val="22"/>
          <w:lang w:val="en-GB"/>
        </w:rPr>
        <w:t>weeks for patients randomised to part 1 placebo/ivacaftor treatment sequence and 16</w:t>
      </w:r>
      <w:r w:rsidR="007A552B" w:rsidRPr="00A808AC">
        <w:rPr>
          <w:sz w:val="22"/>
          <w:szCs w:val="22"/>
          <w:lang w:val="en-GB"/>
        </w:rPr>
        <w:t> </w:t>
      </w:r>
      <w:r w:rsidRPr="00A808AC">
        <w:rPr>
          <w:sz w:val="22"/>
          <w:szCs w:val="22"/>
          <w:lang w:val="en-GB"/>
        </w:rPr>
        <w:t>weeks for patients randomised to</w:t>
      </w:r>
      <w:r w:rsidR="00E1017C" w:rsidRPr="00A808AC">
        <w:rPr>
          <w:sz w:val="22"/>
          <w:szCs w:val="22"/>
          <w:lang w:val="en-GB"/>
        </w:rPr>
        <w:t xml:space="preserve"> </w:t>
      </w:r>
      <w:r w:rsidRPr="00A808AC">
        <w:rPr>
          <w:sz w:val="22"/>
          <w:szCs w:val="22"/>
          <w:lang w:val="en-GB"/>
        </w:rPr>
        <w:t>part 1 ivacaftor/placebo treatment sequence.</w:t>
      </w:r>
    </w:p>
    <w:p w14:paraId="53D8A557" w14:textId="77777777" w:rsidR="00F976E8" w:rsidRPr="00A808AC" w:rsidRDefault="00F976E8" w:rsidP="000D02CF">
      <w:pPr>
        <w:pStyle w:val="labeltext"/>
        <w:rPr>
          <w:sz w:val="22"/>
          <w:szCs w:val="22"/>
          <w:lang w:val="en-GB"/>
        </w:rPr>
      </w:pPr>
    </w:p>
    <w:p w14:paraId="394BE7DA" w14:textId="77777777" w:rsidR="00F976E8" w:rsidRPr="00A808AC" w:rsidRDefault="005A3D7D" w:rsidP="000D02CF">
      <w:pPr>
        <w:pStyle w:val="labeltext"/>
        <w:rPr>
          <w:bCs/>
          <w:sz w:val="22"/>
          <w:szCs w:val="22"/>
        </w:rPr>
      </w:pPr>
      <w:r w:rsidRPr="00A808AC">
        <w:rPr>
          <w:bCs/>
          <w:sz w:val="22"/>
          <w:szCs w:val="22"/>
          <w:lang w:val="en-GB"/>
        </w:rPr>
        <w:t>Thirty</w:t>
      </w:r>
      <w:r w:rsidRPr="00A808AC">
        <w:rPr>
          <w:bCs/>
          <w:sz w:val="22"/>
          <w:szCs w:val="22"/>
          <w:lang w:val="en-GB"/>
        </w:rPr>
        <w:noBreakHyphen/>
        <w:t>nine patient</w:t>
      </w:r>
      <w:r w:rsidRPr="00A808AC">
        <w:rPr>
          <w:bCs/>
          <w:sz w:val="22"/>
          <w:szCs w:val="22"/>
          <w:lang w:val="en-GB"/>
        </w:rPr>
        <w:t>s (mean age 23</w:t>
      </w:r>
      <w:r w:rsidR="007A552B" w:rsidRPr="00A808AC">
        <w:rPr>
          <w:bCs/>
          <w:sz w:val="22"/>
          <w:szCs w:val="22"/>
          <w:lang w:val="en-GB"/>
        </w:rPr>
        <w:t> </w:t>
      </w:r>
      <w:r w:rsidRPr="00A808AC">
        <w:rPr>
          <w:bCs/>
          <w:sz w:val="22"/>
          <w:szCs w:val="22"/>
          <w:lang w:val="en-GB"/>
        </w:rPr>
        <w:t>years) with baseline FEV</w:t>
      </w:r>
      <w:r w:rsidRPr="00A808AC">
        <w:rPr>
          <w:bCs/>
          <w:sz w:val="22"/>
          <w:szCs w:val="22"/>
          <w:vertAlign w:val="subscript"/>
          <w:lang w:val="en-GB"/>
        </w:rPr>
        <w:t>1</w:t>
      </w:r>
      <w:r w:rsidRPr="006C4477">
        <w:rPr>
          <w:sz w:val="22"/>
          <w:lang w:val="en-GB"/>
        </w:rPr>
        <w:t xml:space="preserve"> </w:t>
      </w:r>
      <w:r w:rsidRPr="00A808AC">
        <w:rPr>
          <w:bCs/>
          <w:sz w:val="22"/>
          <w:szCs w:val="22"/>
          <w:lang w:val="en-GB"/>
        </w:rPr>
        <w:t>≥</w:t>
      </w:r>
      <w:r w:rsidR="006D6288">
        <w:rPr>
          <w:bCs/>
          <w:sz w:val="22"/>
          <w:szCs w:val="22"/>
          <w:lang w:val="en-GB"/>
        </w:rPr>
        <w:t> </w:t>
      </w:r>
      <w:r w:rsidRPr="00A808AC">
        <w:rPr>
          <w:bCs/>
          <w:sz w:val="22"/>
          <w:szCs w:val="22"/>
          <w:lang w:val="en-GB"/>
        </w:rPr>
        <w:t>40% predicted (mean FEV</w:t>
      </w:r>
      <w:r w:rsidRPr="00A808AC">
        <w:rPr>
          <w:bCs/>
          <w:sz w:val="22"/>
          <w:szCs w:val="22"/>
          <w:vertAlign w:val="subscript"/>
          <w:lang w:val="en-GB"/>
        </w:rPr>
        <w:t>1</w:t>
      </w:r>
      <w:r w:rsidRPr="00A808AC">
        <w:rPr>
          <w:bCs/>
          <w:sz w:val="22"/>
          <w:szCs w:val="22"/>
          <w:lang w:val="en-GB"/>
        </w:rPr>
        <w:t xml:space="preserve"> 78% predicted [range: 43% to 119%]) were enrolled. Sixty</w:t>
      </w:r>
      <w:r w:rsidRPr="00A808AC">
        <w:rPr>
          <w:bCs/>
          <w:sz w:val="22"/>
          <w:szCs w:val="22"/>
          <w:lang w:val="en-GB"/>
        </w:rPr>
        <w:noBreakHyphen/>
        <w:t xml:space="preserve">two percent (24/39) of them carried the </w:t>
      </w:r>
      <w:r w:rsidRPr="00A808AC">
        <w:rPr>
          <w:bCs/>
          <w:i/>
          <w:sz w:val="22"/>
          <w:szCs w:val="22"/>
          <w:lang w:val="en-GB"/>
        </w:rPr>
        <w:t>F508del</w:t>
      </w:r>
      <w:r w:rsidRPr="00A808AC">
        <w:rPr>
          <w:bCs/>
          <w:sz w:val="22"/>
          <w:szCs w:val="22"/>
          <w:lang w:val="en-GB"/>
        </w:rPr>
        <w:noBreakHyphen/>
      </w:r>
      <w:r w:rsidRPr="00A808AC">
        <w:rPr>
          <w:bCs/>
          <w:i/>
          <w:sz w:val="22"/>
          <w:szCs w:val="22"/>
          <w:lang w:val="en-GB"/>
        </w:rPr>
        <w:t>CFTR</w:t>
      </w:r>
      <w:r w:rsidRPr="00A808AC">
        <w:rPr>
          <w:bCs/>
          <w:sz w:val="22"/>
          <w:szCs w:val="22"/>
          <w:lang w:val="en-GB"/>
        </w:rPr>
        <w:t xml:space="preserve"> mutation in the second allele. </w:t>
      </w:r>
      <w:r w:rsidRPr="00A808AC">
        <w:rPr>
          <w:bCs/>
          <w:sz w:val="22"/>
          <w:szCs w:val="22"/>
        </w:rPr>
        <w:t>A total of 36</w:t>
      </w:r>
      <w:r w:rsidR="007A552B" w:rsidRPr="00A808AC">
        <w:rPr>
          <w:bCs/>
          <w:sz w:val="22"/>
          <w:szCs w:val="22"/>
        </w:rPr>
        <w:t> </w:t>
      </w:r>
      <w:r w:rsidRPr="00A808AC">
        <w:rPr>
          <w:bCs/>
          <w:sz w:val="22"/>
          <w:szCs w:val="22"/>
        </w:rPr>
        <w:t xml:space="preserve">patients continued into part 2 </w:t>
      </w:r>
      <w:r w:rsidRPr="00A808AC">
        <w:rPr>
          <w:bCs/>
          <w:sz w:val="22"/>
          <w:szCs w:val="22"/>
        </w:rPr>
        <w:t>(18 per treatment sequence).</w:t>
      </w:r>
    </w:p>
    <w:p w14:paraId="300A6998" w14:textId="77777777" w:rsidR="00F976E8" w:rsidRPr="00A808AC" w:rsidRDefault="00F976E8" w:rsidP="000D02CF">
      <w:pPr>
        <w:pStyle w:val="labeltext"/>
        <w:rPr>
          <w:sz w:val="22"/>
          <w:szCs w:val="22"/>
          <w:lang w:val="en-GB"/>
        </w:rPr>
      </w:pPr>
    </w:p>
    <w:p w14:paraId="1A81A611" w14:textId="58489DC3" w:rsidR="00F976E8" w:rsidRPr="00A808AC" w:rsidRDefault="005A3D7D" w:rsidP="000D02CF">
      <w:pPr>
        <w:spacing w:line="240" w:lineRule="auto"/>
      </w:pPr>
      <w:r w:rsidRPr="00A808AC">
        <w:rPr>
          <w:bCs/>
        </w:rPr>
        <w:t xml:space="preserve">In part 1 of </w:t>
      </w:r>
      <w:r w:rsidR="0032138D">
        <w:rPr>
          <w:bCs/>
        </w:rPr>
        <w:t>study </w:t>
      </w:r>
      <w:r w:rsidRPr="00A808AC">
        <w:rPr>
          <w:bCs/>
        </w:rPr>
        <w:t>5, the mean FEV</w:t>
      </w:r>
      <w:r w:rsidRPr="00A808AC">
        <w:rPr>
          <w:bCs/>
          <w:vertAlign w:val="subscript"/>
        </w:rPr>
        <w:t>1</w:t>
      </w:r>
      <w:r w:rsidRPr="00A808AC">
        <w:rPr>
          <w:bCs/>
        </w:rPr>
        <w:t xml:space="preserve"> percent predicted at baseline in placebo</w:t>
      </w:r>
      <w:r w:rsidRPr="00A808AC">
        <w:rPr>
          <w:bCs/>
        </w:rPr>
        <w:noBreakHyphen/>
        <w:t>treated patients was 79.3% while in ivacaftor</w:t>
      </w:r>
      <w:r w:rsidRPr="00A808AC">
        <w:rPr>
          <w:bCs/>
        </w:rPr>
        <w:noBreakHyphen/>
        <w:t>treated patients this value was 76.4%. The mean overall post</w:t>
      </w:r>
      <w:r w:rsidRPr="00A808AC">
        <w:rPr>
          <w:bCs/>
        </w:rPr>
        <w:noBreakHyphen/>
        <w:t>baseline value was 76.0% and 83.7%, respec</w:t>
      </w:r>
      <w:r w:rsidRPr="00A808AC">
        <w:rPr>
          <w:bCs/>
        </w:rPr>
        <w:t xml:space="preserve">tively. </w:t>
      </w:r>
      <w:r w:rsidRPr="00A808AC">
        <w:rPr>
          <w:bCs/>
          <w:iCs/>
        </w:rPr>
        <w:t xml:space="preserve">The mean absolute change from baseline through </w:t>
      </w:r>
      <w:r w:rsidR="00C72FA0">
        <w:rPr>
          <w:bCs/>
          <w:iCs/>
        </w:rPr>
        <w:t>w</w:t>
      </w:r>
      <w:r w:rsidR="007262E5" w:rsidRPr="00A808AC">
        <w:rPr>
          <w:bCs/>
          <w:iCs/>
        </w:rPr>
        <w:t>eek</w:t>
      </w:r>
      <w:r w:rsidR="009329EC" w:rsidRPr="00A808AC">
        <w:t> </w:t>
      </w:r>
      <w:r w:rsidRPr="00A808AC">
        <w:rPr>
          <w:bCs/>
          <w:iCs/>
        </w:rPr>
        <w:t>8 in percent predicted FEV</w:t>
      </w:r>
      <w:r w:rsidRPr="00A808AC">
        <w:rPr>
          <w:bCs/>
          <w:iCs/>
          <w:vertAlign w:val="subscript"/>
        </w:rPr>
        <w:t>1</w:t>
      </w:r>
      <w:r w:rsidRPr="00A808AC">
        <w:rPr>
          <w:bCs/>
          <w:iCs/>
        </w:rPr>
        <w:t xml:space="preserve"> (primary efficacy endpoint) was 7.5% in the ivacaftor period and </w:t>
      </w:r>
      <w:r w:rsidRPr="00A808AC">
        <w:rPr>
          <w:bCs/>
          <w:iCs/>
        </w:rPr>
        <w:noBreakHyphen/>
        <w:t>3.2% in the placebo period. The observed treatment difference (95% CI) between ivacaftor and placebo w</w:t>
      </w:r>
      <w:r w:rsidRPr="00A808AC">
        <w:rPr>
          <w:bCs/>
          <w:iCs/>
        </w:rPr>
        <w:t xml:space="preserve">as 10.7% (7.3, 14.1) </w:t>
      </w:r>
      <w:r w:rsidRPr="00A808AC">
        <w:t>(</w:t>
      </w:r>
      <w:r w:rsidRPr="007B0741">
        <w:t>P</w:t>
      </w:r>
      <w:r w:rsidR="003B10D7">
        <w:t> </w:t>
      </w:r>
      <w:r w:rsidR="00B171E6">
        <w:t>&lt;</w:t>
      </w:r>
      <w:r w:rsidR="003B10D7">
        <w:t> </w:t>
      </w:r>
      <w:r w:rsidRPr="00A808AC">
        <w:t>0.0001).</w:t>
      </w:r>
    </w:p>
    <w:p w14:paraId="7ACC9657" w14:textId="77777777" w:rsidR="00F976E8" w:rsidRPr="00A808AC" w:rsidRDefault="00F976E8" w:rsidP="000D02CF">
      <w:pPr>
        <w:spacing w:line="240" w:lineRule="auto"/>
      </w:pPr>
    </w:p>
    <w:p w14:paraId="15B08257" w14:textId="48555064" w:rsidR="00F976E8" w:rsidRPr="00A808AC" w:rsidRDefault="005A3D7D" w:rsidP="000D02CF">
      <w:pPr>
        <w:spacing w:line="240" w:lineRule="auto"/>
      </w:pPr>
      <w:r w:rsidRPr="00A808AC">
        <w:t xml:space="preserve">The effect of ivacaftor in the overall population of </w:t>
      </w:r>
      <w:r w:rsidR="0032138D">
        <w:t>study </w:t>
      </w:r>
      <w:r w:rsidRPr="00A808AC">
        <w:t>5 (including the secondary endpoints absolute change in BMI</w:t>
      </w:r>
      <w:r w:rsidRPr="00A808AC">
        <w:rPr>
          <w:iCs/>
        </w:rPr>
        <w:t xml:space="preserve"> at 8</w:t>
      </w:r>
      <w:r w:rsidR="007A552B" w:rsidRPr="00A808AC">
        <w:rPr>
          <w:iCs/>
        </w:rPr>
        <w:t> </w:t>
      </w:r>
      <w:r w:rsidRPr="00A808AC">
        <w:rPr>
          <w:iCs/>
        </w:rPr>
        <w:t xml:space="preserve">weeks of treatment and absolute change in the respiratory domain </w:t>
      </w:r>
      <w:r w:rsidR="00E1017C" w:rsidRPr="00A808AC">
        <w:rPr>
          <w:iCs/>
        </w:rPr>
        <w:t xml:space="preserve">score </w:t>
      </w:r>
      <w:r w:rsidRPr="00A808AC">
        <w:rPr>
          <w:iCs/>
        </w:rPr>
        <w:t>of the CFQ</w:t>
      </w:r>
      <w:r w:rsidRPr="00A808AC">
        <w:rPr>
          <w:iCs/>
        </w:rPr>
        <w:noBreakHyphen/>
        <w:t>R through 8</w:t>
      </w:r>
      <w:r w:rsidR="007A552B" w:rsidRPr="00A808AC">
        <w:rPr>
          <w:iCs/>
        </w:rPr>
        <w:t> </w:t>
      </w:r>
      <w:r w:rsidRPr="00A808AC">
        <w:rPr>
          <w:iCs/>
        </w:rPr>
        <w:t>weeks of treatment)</w:t>
      </w:r>
      <w:r w:rsidRPr="00A808AC">
        <w:t xml:space="preserve"> and by individual mutation (absolute change in sweat chloride and in percent predicted FEV</w:t>
      </w:r>
      <w:r w:rsidRPr="00A808AC">
        <w:rPr>
          <w:vertAlign w:val="subscript"/>
        </w:rPr>
        <w:t>1</w:t>
      </w:r>
      <w:r w:rsidRPr="00A808AC">
        <w:t xml:space="preserve"> at </w:t>
      </w:r>
      <w:r w:rsidR="00C72FA0">
        <w:t>w</w:t>
      </w:r>
      <w:r w:rsidR="007262E5" w:rsidRPr="00A808AC">
        <w:t>eek</w:t>
      </w:r>
      <w:r w:rsidR="009329EC" w:rsidRPr="00A808AC">
        <w:t> </w:t>
      </w:r>
      <w:r w:rsidRPr="00A808AC">
        <w:t>8) is shown in Table</w:t>
      </w:r>
      <w:r w:rsidR="004F6F1C">
        <w:t> </w:t>
      </w:r>
      <w:r w:rsidR="002F0872">
        <w:t>7</w:t>
      </w:r>
      <w:r w:rsidRPr="00A808AC">
        <w:t>.</w:t>
      </w:r>
      <w:r w:rsidRPr="00A808AC">
        <w:rPr>
          <w:iCs/>
        </w:rPr>
        <w:t xml:space="preserve"> </w:t>
      </w:r>
      <w:r w:rsidRPr="00A808AC">
        <w:t xml:space="preserve">Based on clinical </w:t>
      </w:r>
      <w:r w:rsidRPr="00A808AC">
        <w:t>(percent predicted FEV</w:t>
      </w:r>
      <w:r w:rsidRPr="00A808AC">
        <w:rPr>
          <w:vertAlign w:val="subscript"/>
        </w:rPr>
        <w:t>1</w:t>
      </w:r>
      <w:r w:rsidRPr="00A808AC">
        <w:t xml:space="preserve">) and pharmacodynamic (sweat chloride) responses to ivacaftor, efficacy in patients with the </w:t>
      </w:r>
      <w:r w:rsidRPr="00A808AC">
        <w:rPr>
          <w:i/>
        </w:rPr>
        <w:t>G970R</w:t>
      </w:r>
      <w:r w:rsidRPr="00A808AC">
        <w:t xml:space="preserve"> mutation could not be established.</w:t>
      </w:r>
    </w:p>
    <w:p w14:paraId="2F850B77" w14:textId="77777777" w:rsidR="00F976E8" w:rsidRPr="00A808AC" w:rsidRDefault="00F976E8" w:rsidP="000D02CF">
      <w:pPr>
        <w:spacing w:line="240" w:lineRule="auto"/>
      </w:pPr>
    </w:p>
    <w:p w14:paraId="1E158F20" w14:textId="0BF9E99E" w:rsidR="000740B7" w:rsidRDefault="005A3D7D" w:rsidP="003B10D7">
      <w:pPr>
        <w:keepNext/>
        <w:keepLines/>
        <w:tabs>
          <w:tab w:val="clear" w:pos="567"/>
        </w:tabs>
        <w:spacing w:after="120" w:line="240" w:lineRule="auto"/>
        <w:ind w:left="810" w:hanging="810"/>
        <w:rPr>
          <w:b/>
          <w:szCs w:val="16"/>
        </w:rPr>
      </w:pPr>
      <w:r w:rsidRPr="00A808AC">
        <w:rPr>
          <w:b/>
          <w:szCs w:val="16"/>
        </w:rPr>
        <w:t>Table</w:t>
      </w:r>
      <w:r w:rsidR="006E250C">
        <w:rPr>
          <w:b/>
          <w:szCs w:val="16"/>
        </w:rPr>
        <w:t> </w:t>
      </w:r>
      <w:r w:rsidR="002F0872">
        <w:rPr>
          <w:b/>
          <w:szCs w:val="16"/>
        </w:rPr>
        <w:t>7</w:t>
      </w:r>
      <w:r>
        <w:rPr>
          <w:b/>
          <w:szCs w:val="16"/>
        </w:rPr>
        <w:t>:</w:t>
      </w:r>
      <w:r w:rsidRPr="00A808AC">
        <w:rPr>
          <w:b/>
          <w:szCs w:val="16"/>
        </w:rPr>
        <w:t xml:space="preserve"> Effect of ivacaftor for efficacy variables in the overall population and for specific </w:t>
      </w:r>
      <w:r w:rsidRPr="00A808AC">
        <w:rPr>
          <w:b/>
          <w:i/>
          <w:szCs w:val="16"/>
        </w:rPr>
        <w:t>CFTR</w:t>
      </w:r>
      <w:r w:rsidRPr="00A808AC">
        <w:rPr>
          <w:b/>
          <w:szCs w:val="16"/>
        </w:rPr>
        <w:t xml:space="preserve"> mutations</w:t>
      </w:r>
    </w:p>
    <w:tbl>
      <w:tblPr>
        <w:tblW w:w="4942" w:type="pct"/>
        <w:tblInd w:w="10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41"/>
        <w:gridCol w:w="1487"/>
        <w:gridCol w:w="2275"/>
        <w:gridCol w:w="746"/>
        <w:gridCol w:w="3021"/>
      </w:tblGrid>
      <w:tr w:rsidR="00476058" w14:paraId="3885634F" w14:textId="77777777" w:rsidTr="006878A4">
        <w:tc>
          <w:tcPr>
            <w:tcW w:w="1630" w:type="pct"/>
            <w:gridSpan w:val="2"/>
            <w:tcBorders>
              <w:top w:val="single" w:sz="4" w:space="0" w:color="auto"/>
              <w:left w:val="single" w:sz="4" w:space="0" w:color="auto"/>
              <w:bottom w:val="single" w:sz="4" w:space="0" w:color="auto"/>
              <w:right w:val="single" w:sz="4" w:space="0" w:color="auto"/>
            </w:tcBorders>
            <w:shd w:val="clear" w:color="auto" w:fill="auto"/>
          </w:tcPr>
          <w:p w14:paraId="3C208F9F" w14:textId="77777777" w:rsidR="000B35BA" w:rsidRPr="00A808AC" w:rsidRDefault="005A3D7D" w:rsidP="006878A4">
            <w:pPr>
              <w:keepNext/>
              <w:keepLines/>
              <w:spacing w:line="240" w:lineRule="auto"/>
              <w:jc w:val="center"/>
            </w:pPr>
            <w:r w:rsidRPr="00A808AC">
              <w:rPr>
                <w:b/>
                <w:szCs w:val="16"/>
              </w:rPr>
              <w:t>Absolute change in percent predicted FEV</w:t>
            </w:r>
            <w:r w:rsidRPr="00A808AC">
              <w:rPr>
                <w:b/>
                <w:szCs w:val="16"/>
                <w:vertAlign w:val="subscript"/>
              </w:rPr>
              <w:t>1</w:t>
            </w:r>
          </w:p>
        </w:tc>
        <w:tc>
          <w:tcPr>
            <w:tcW w:w="1683" w:type="pct"/>
            <w:gridSpan w:val="2"/>
            <w:tcBorders>
              <w:top w:val="single" w:sz="4" w:space="0" w:color="auto"/>
              <w:left w:val="single" w:sz="4" w:space="0" w:color="auto"/>
              <w:bottom w:val="single" w:sz="4" w:space="0" w:color="auto"/>
              <w:right w:val="single" w:sz="4" w:space="0" w:color="auto"/>
            </w:tcBorders>
            <w:shd w:val="clear" w:color="auto" w:fill="auto"/>
          </w:tcPr>
          <w:p w14:paraId="4832AE2A" w14:textId="77777777" w:rsidR="000B35BA" w:rsidRPr="00A808AC" w:rsidRDefault="005A3D7D" w:rsidP="006878A4">
            <w:pPr>
              <w:keepNext/>
              <w:keepLines/>
              <w:autoSpaceDE w:val="0"/>
              <w:autoSpaceDN w:val="0"/>
              <w:adjustRightInd w:val="0"/>
              <w:spacing w:line="240" w:lineRule="auto"/>
              <w:jc w:val="center"/>
              <w:rPr>
                <w:b/>
                <w:szCs w:val="16"/>
              </w:rPr>
            </w:pPr>
            <w:r w:rsidRPr="00A808AC">
              <w:rPr>
                <w:b/>
                <w:szCs w:val="16"/>
              </w:rPr>
              <w:t>BMI</w:t>
            </w:r>
          </w:p>
          <w:p w14:paraId="5B504E35" w14:textId="77777777" w:rsidR="000B35BA" w:rsidRPr="00A808AC" w:rsidRDefault="005A3D7D" w:rsidP="006878A4">
            <w:pPr>
              <w:keepNext/>
              <w:keepLines/>
              <w:autoSpaceDE w:val="0"/>
              <w:autoSpaceDN w:val="0"/>
              <w:adjustRightInd w:val="0"/>
              <w:spacing w:line="240" w:lineRule="auto"/>
              <w:jc w:val="center"/>
              <w:rPr>
                <w:b/>
                <w:szCs w:val="16"/>
              </w:rPr>
            </w:pPr>
            <w:r w:rsidRPr="00A808AC">
              <w:rPr>
                <w:b/>
                <w:szCs w:val="16"/>
              </w:rPr>
              <w:t>(kg/m</w:t>
            </w:r>
            <w:r w:rsidRPr="00A808AC">
              <w:rPr>
                <w:b/>
                <w:szCs w:val="16"/>
                <w:vertAlign w:val="superscript"/>
              </w:rPr>
              <w:t>2</w:t>
            </w:r>
            <w:r w:rsidRPr="00A808AC">
              <w:rPr>
                <w:b/>
                <w:szCs w:val="16"/>
              </w:rPr>
              <w:t>)</w:t>
            </w:r>
          </w:p>
        </w:tc>
        <w:tc>
          <w:tcPr>
            <w:tcW w:w="1683" w:type="pct"/>
            <w:tcBorders>
              <w:top w:val="single" w:sz="4" w:space="0" w:color="auto"/>
              <w:left w:val="single" w:sz="4" w:space="0" w:color="auto"/>
              <w:bottom w:val="single" w:sz="4" w:space="0" w:color="auto"/>
              <w:right w:val="single" w:sz="4" w:space="0" w:color="auto"/>
            </w:tcBorders>
            <w:shd w:val="clear" w:color="auto" w:fill="auto"/>
          </w:tcPr>
          <w:p w14:paraId="32D53600" w14:textId="77777777" w:rsidR="000B35BA" w:rsidRPr="00A808AC" w:rsidRDefault="005A3D7D" w:rsidP="006878A4">
            <w:pPr>
              <w:keepNext/>
              <w:keepLines/>
              <w:spacing w:line="240" w:lineRule="auto"/>
              <w:jc w:val="center"/>
            </w:pPr>
            <w:r w:rsidRPr="00A808AC">
              <w:rPr>
                <w:b/>
                <w:szCs w:val="16"/>
              </w:rPr>
              <w:t>CFQ-R respiratory domain score (points)</w:t>
            </w:r>
          </w:p>
        </w:tc>
      </w:tr>
      <w:tr w:rsidR="00476058" w14:paraId="6EBF02FD" w14:textId="77777777" w:rsidTr="006878A4">
        <w:tc>
          <w:tcPr>
            <w:tcW w:w="1630" w:type="pct"/>
            <w:gridSpan w:val="2"/>
            <w:tcBorders>
              <w:top w:val="single" w:sz="4" w:space="0" w:color="auto"/>
              <w:left w:val="single" w:sz="4" w:space="0" w:color="auto"/>
              <w:bottom w:val="single" w:sz="4" w:space="0" w:color="auto"/>
              <w:right w:val="single" w:sz="4" w:space="0" w:color="auto"/>
            </w:tcBorders>
            <w:shd w:val="clear" w:color="auto" w:fill="auto"/>
          </w:tcPr>
          <w:p w14:paraId="703FA836" w14:textId="77777777" w:rsidR="000B35BA" w:rsidRPr="00A808AC" w:rsidRDefault="005A3D7D" w:rsidP="000B35BA">
            <w:pPr>
              <w:keepNext/>
              <w:spacing w:line="240" w:lineRule="auto"/>
              <w:jc w:val="center"/>
            </w:pPr>
            <w:r w:rsidRPr="00A808AC">
              <w:rPr>
                <w:b/>
                <w:szCs w:val="16"/>
              </w:rPr>
              <w:t xml:space="preserve">Through </w:t>
            </w:r>
            <w:r>
              <w:rPr>
                <w:b/>
                <w:szCs w:val="16"/>
              </w:rPr>
              <w:t>w</w:t>
            </w:r>
            <w:r w:rsidRPr="00A808AC">
              <w:rPr>
                <w:b/>
                <w:szCs w:val="16"/>
              </w:rPr>
              <w:t>eek</w:t>
            </w:r>
            <w:r w:rsidRPr="00A808AC">
              <w:t> </w:t>
            </w:r>
            <w:r w:rsidRPr="00A808AC">
              <w:rPr>
                <w:b/>
                <w:szCs w:val="16"/>
              </w:rPr>
              <w:t>8</w:t>
            </w:r>
          </w:p>
        </w:tc>
        <w:tc>
          <w:tcPr>
            <w:tcW w:w="1683" w:type="pct"/>
            <w:gridSpan w:val="2"/>
            <w:tcBorders>
              <w:top w:val="single" w:sz="4" w:space="0" w:color="auto"/>
              <w:left w:val="single" w:sz="4" w:space="0" w:color="auto"/>
              <w:bottom w:val="single" w:sz="4" w:space="0" w:color="auto"/>
              <w:right w:val="single" w:sz="4" w:space="0" w:color="auto"/>
            </w:tcBorders>
            <w:shd w:val="clear" w:color="auto" w:fill="auto"/>
          </w:tcPr>
          <w:p w14:paraId="552509A4" w14:textId="77777777" w:rsidR="000B35BA" w:rsidRPr="00A808AC" w:rsidRDefault="005A3D7D" w:rsidP="000B35BA">
            <w:pPr>
              <w:keepNext/>
              <w:spacing w:line="240" w:lineRule="auto"/>
              <w:jc w:val="center"/>
            </w:pPr>
            <w:r w:rsidRPr="00A808AC">
              <w:rPr>
                <w:b/>
                <w:szCs w:val="16"/>
              </w:rPr>
              <w:t xml:space="preserve">At </w:t>
            </w:r>
            <w:r>
              <w:rPr>
                <w:b/>
                <w:szCs w:val="16"/>
              </w:rPr>
              <w:t>w</w:t>
            </w:r>
            <w:r w:rsidRPr="00A808AC">
              <w:rPr>
                <w:b/>
                <w:szCs w:val="16"/>
              </w:rPr>
              <w:t>eek</w:t>
            </w:r>
            <w:r w:rsidRPr="00A808AC">
              <w:t> </w:t>
            </w:r>
            <w:r w:rsidRPr="00A808AC">
              <w:rPr>
                <w:b/>
                <w:szCs w:val="16"/>
              </w:rPr>
              <w:t>8</w:t>
            </w:r>
          </w:p>
        </w:tc>
        <w:tc>
          <w:tcPr>
            <w:tcW w:w="1683" w:type="pct"/>
            <w:tcBorders>
              <w:top w:val="single" w:sz="4" w:space="0" w:color="auto"/>
              <w:left w:val="single" w:sz="4" w:space="0" w:color="auto"/>
              <w:bottom w:val="single" w:sz="4" w:space="0" w:color="auto"/>
              <w:right w:val="single" w:sz="4" w:space="0" w:color="auto"/>
            </w:tcBorders>
            <w:shd w:val="clear" w:color="auto" w:fill="auto"/>
          </w:tcPr>
          <w:p w14:paraId="08EFB352" w14:textId="77777777" w:rsidR="000B35BA" w:rsidRPr="00A808AC" w:rsidRDefault="005A3D7D" w:rsidP="000B35BA">
            <w:pPr>
              <w:keepNext/>
              <w:spacing w:line="240" w:lineRule="auto"/>
              <w:jc w:val="center"/>
            </w:pPr>
            <w:r w:rsidRPr="00A808AC">
              <w:rPr>
                <w:b/>
                <w:szCs w:val="16"/>
              </w:rPr>
              <w:t xml:space="preserve">Through </w:t>
            </w:r>
            <w:r>
              <w:rPr>
                <w:b/>
                <w:szCs w:val="16"/>
              </w:rPr>
              <w:t>w</w:t>
            </w:r>
            <w:r w:rsidRPr="00A808AC">
              <w:rPr>
                <w:b/>
                <w:szCs w:val="16"/>
              </w:rPr>
              <w:t>eek</w:t>
            </w:r>
            <w:r w:rsidRPr="00A808AC">
              <w:t> </w:t>
            </w:r>
            <w:r w:rsidRPr="00A808AC">
              <w:rPr>
                <w:b/>
                <w:szCs w:val="16"/>
              </w:rPr>
              <w:t>8</w:t>
            </w:r>
          </w:p>
        </w:tc>
      </w:tr>
      <w:tr w:rsidR="00476058" w14:paraId="373AFD5A" w14:textId="77777777" w:rsidTr="006878A4">
        <w:tc>
          <w:tcPr>
            <w:tcW w:w="4996" w:type="pct"/>
            <w:gridSpan w:val="5"/>
            <w:tcBorders>
              <w:top w:val="single" w:sz="4" w:space="0" w:color="auto"/>
              <w:left w:val="single" w:sz="4" w:space="0" w:color="auto"/>
              <w:bottom w:val="single" w:sz="4" w:space="0" w:color="auto"/>
              <w:right w:val="single" w:sz="4" w:space="0" w:color="auto"/>
            </w:tcBorders>
            <w:shd w:val="clear" w:color="auto" w:fill="auto"/>
          </w:tcPr>
          <w:p w14:paraId="30E29893" w14:textId="77777777" w:rsidR="000B35BA" w:rsidRPr="00A808AC" w:rsidRDefault="005A3D7D" w:rsidP="006878A4">
            <w:pPr>
              <w:keepNext/>
              <w:autoSpaceDE w:val="0"/>
              <w:autoSpaceDN w:val="0"/>
              <w:adjustRightInd w:val="0"/>
              <w:spacing w:line="240" w:lineRule="auto"/>
              <w:rPr>
                <w:szCs w:val="16"/>
              </w:rPr>
            </w:pPr>
            <w:r w:rsidRPr="00A808AC">
              <w:rPr>
                <w:szCs w:val="16"/>
              </w:rPr>
              <w:t xml:space="preserve">All </w:t>
            </w:r>
            <w:r w:rsidRPr="00A808AC">
              <w:rPr>
                <w:szCs w:val="16"/>
              </w:rPr>
              <w:t>patients (N</w:t>
            </w:r>
            <w:r>
              <w:rPr>
                <w:szCs w:val="16"/>
              </w:rPr>
              <w:t> = </w:t>
            </w:r>
            <w:r w:rsidRPr="00A808AC">
              <w:rPr>
                <w:szCs w:val="16"/>
              </w:rPr>
              <w:t>39)</w:t>
            </w:r>
          </w:p>
          <w:p w14:paraId="00041234" w14:textId="77777777" w:rsidR="000B35BA" w:rsidRPr="00A808AC" w:rsidRDefault="005A3D7D" w:rsidP="006878A4">
            <w:pPr>
              <w:keepNext/>
              <w:autoSpaceDE w:val="0"/>
              <w:autoSpaceDN w:val="0"/>
              <w:adjustRightInd w:val="0"/>
              <w:spacing w:line="240" w:lineRule="auto"/>
              <w:rPr>
                <w:szCs w:val="16"/>
              </w:rPr>
            </w:pPr>
            <w:r w:rsidRPr="00A808AC">
              <w:rPr>
                <w:szCs w:val="16"/>
              </w:rPr>
              <w:t>Results shown as mean (95% CI) change from baseline ivacaftor vs placebo</w:t>
            </w:r>
            <w:r w:rsidRPr="00A808AC">
              <w:rPr>
                <w:szCs w:val="16"/>
              </w:rPr>
              <w:noBreakHyphen/>
              <w:t>treated patients:</w:t>
            </w:r>
          </w:p>
        </w:tc>
      </w:tr>
      <w:tr w:rsidR="00476058" w14:paraId="652DAFD7" w14:textId="77777777" w:rsidTr="006878A4">
        <w:tc>
          <w:tcPr>
            <w:tcW w:w="1630" w:type="pct"/>
            <w:gridSpan w:val="2"/>
            <w:tcBorders>
              <w:top w:val="single" w:sz="4" w:space="0" w:color="auto"/>
              <w:left w:val="single" w:sz="4" w:space="0" w:color="auto"/>
              <w:bottom w:val="single" w:sz="4" w:space="0" w:color="auto"/>
              <w:right w:val="single" w:sz="4" w:space="0" w:color="auto"/>
            </w:tcBorders>
            <w:shd w:val="clear" w:color="auto" w:fill="auto"/>
          </w:tcPr>
          <w:p w14:paraId="6D1642D5" w14:textId="77777777" w:rsidR="000B35BA" w:rsidRPr="00A808AC" w:rsidRDefault="005A3D7D" w:rsidP="006878A4">
            <w:pPr>
              <w:keepNext/>
              <w:spacing w:line="240" w:lineRule="auto"/>
              <w:jc w:val="center"/>
            </w:pPr>
            <w:r w:rsidRPr="00A808AC">
              <w:rPr>
                <w:bCs/>
                <w:iCs/>
                <w:szCs w:val="16"/>
              </w:rPr>
              <w:t>10.7 (7.3, 14.1)</w:t>
            </w:r>
          </w:p>
        </w:tc>
        <w:tc>
          <w:tcPr>
            <w:tcW w:w="1683" w:type="pct"/>
            <w:gridSpan w:val="2"/>
            <w:tcBorders>
              <w:top w:val="single" w:sz="4" w:space="0" w:color="auto"/>
              <w:left w:val="single" w:sz="4" w:space="0" w:color="auto"/>
              <w:bottom w:val="single" w:sz="4" w:space="0" w:color="auto"/>
              <w:right w:val="single" w:sz="4" w:space="0" w:color="auto"/>
            </w:tcBorders>
            <w:shd w:val="clear" w:color="auto" w:fill="auto"/>
          </w:tcPr>
          <w:p w14:paraId="0A0EC49E" w14:textId="77777777" w:rsidR="000B35BA" w:rsidRPr="00A808AC" w:rsidRDefault="005A3D7D" w:rsidP="006878A4">
            <w:pPr>
              <w:keepNext/>
              <w:spacing w:line="240" w:lineRule="auto"/>
              <w:jc w:val="center"/>
            </w:pPr>
            <w:r w:rsidRPr="00A808AC">
              <w:rPr>
                <w:szCs w:val="16"/>
              </w:rPr>
              <w:t>0.66 (0.34, 0.99)</w:t>
            </w:r>
          </w:p>
        </w:tc>
        <w:tc>
          <w:tcPr>
            <w:tcW w:w="1683" w:type="pct"/>
            <w:tcBorders>
              <w:top w:val="single" w:sz="4" w:space="0" w:color="auto"/>
              <w:left w:val="single" w:sz="4" w:space="0" w:color="auto"/>
              <w:bottom w:val="single" w:sz="4" w:space="0" w:color="auto"/>
              <w:right w:val="single" w:sz="4" w:space="0" w:color="auto"/>
            </w:tcBorders>
            <w:shd w:val="clear" w:color="auto" w:fill="auto"/>
          </w:tcPr>
          <w:p w14:paraId="73998FC7" w14:textId="77777777" w:rsidR="000B35BA" w:rsidRPr="00A808AC" w:rsidRDefault="005A3D7D" w:rsidP="006878A4">
            <w:pPr>
              <w:keepNext/>
              <w:spacing w:line="240" w:lineRule="auto"/>
              <w:jc w:val="center"/>
            </w:pPr>
            <w:r w:rsidRPr="00A808AC">
              <w:rPr>
                <w:szCs w:val="16"/>
              </w:rPr>
              <w:t>9.6 (4.5, 14.7)</w:t>
            </w:r>
          </w:p>
        </w:tc>
      </w:tr>
      <w:tr w:rsidR="00476058" w14:paraId="71709842" w14:textId="77777777" w:rsidTr="006878A4">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4996" w:type="pct"/>
            <w:gridSpan w:val="5"/>
            <w:tcBorders>
              <w:top w:val="single" w:sz="4" w:space="0" w:color="auto"/>
              <w:left w:val="single" w:sz="4" w:space="0" w:color="auto"/>
              <w:bottom w:val="single" w:sz="4" w:space="0" w:color="auto"/>
              <w:right w:val="single" w:sz="4" w:space="0" w:color="auto"/>
            </w:tcBorders>
          </w:tcPr>
          <w:p w14:paraId="24BFB056" w14:textId="77777777" w:rsidR="000B35BA" w:rsidRPr="00A808AC" w:rsidRDefault="005A3D7D" w:rsidP="006878A4">
            <w:pPr>
              <w:keepNext/>
              <w:autoSpaceDE w:val="0"/>
              <w:autoSpaceDN w:val="0"/>
              <w:adjustRightInd w:val="0"/>
              <w:spacing w:line="240" w:lineRule="auto"/>
              <w:rPr>
                <w:b/>
                <w:bCs/>
              </w:rPr>
            </w:pPr>
            <w:r w:rsidRPr="00A808AC">
              <w:rPr>
                <w:b/>
                <w:bCs/>
              </w:rPr>
              <w:t>Patients grouped under mutation types (n)</w:t>
            </w:r>
          </w:p>
          <w:p w14:paraId="68DC95ED" w14:textId="77777777" w:rsidR="000B35BA" w:rsidRPr="00A808AC" w:rsidRDefault="005A3D7D" w:rsidP="000B35BA">
            <w:pPr>
              <w:autoSpaceDE w:val="0"/>
              <w:autoSpaceDN w:val="0"/>
              <w:adjustRightInd w:val="0"/>
              <w:spacing w:line="240" w:lineRule="auto"/>
            </w:pPr>
            <w:r w:rsidRPr="00A808AC">
              <w:t xml:space="preserve">Results shown as mean (minimum, maximum) </w:t>
            </w:r>
            <w:r w:rsidRPr="00A808AC">
              <w:t>change from baseline for ivacaftor</w:t>
            </w:r>
            <w:r w:rsidRPr="00A808AC">
              <w:noBreakHyphen/>
              <w:t xml:space="preserve">treated patients at </w:t>
            </w:r>
            <w:r>
              <w:t>w</w:t>
            </w:r>
            <w:r w:rsidRPr="00A808AC">
              <w:t>eek 8</w:t>
            </w:r>
            <w:r w:rsidRPr="007B0741">
              <w:rPr>
                <w:vertAlign w:val="superscript"/>
              </w:rPr>
              <w:t>*</w:t>
            </w:r>
            <w:r w:rsidRPr="00A808AC">
              <w:t>:</w:t>
            </w:r>
          </w:p>
        </w:tc>
      </w:tr>
      <w:tr w:rsidR="00476058" w14:paraId="4DE3CF4F" w14:textId="77777777" w:rsidTr="006878A4">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802" w:type="pct"/>
            <w:vMerge w:val="restart"/>
            <w:tcBorders>
              <w:top w:val="single" w:sz="4" w:space="0" w:color="auto"/>
              <w:left w:val="single" w:sz="4" w:space="0" w:color="auto"/>
              <w:bottom w:val="single" w:sz="4" w:space="0" w:color="auto"/>
            </w:tcBorders>
            <w:shd w:val="clear" w:color="auto" w:fill="auto"/>
          </w:tcPr>
          <w:p w14:paraId="078E2327" w14:textId="77777777" w:rsidR="000B35BA" w:rsidRPr="00A808AC" w:rsidRDefault="005A3D7D" w:rsidP="006878A4">
            <w:pPr>
              <w:keepNext/>
              <w:autoSpaceDE w:val="0"/>
              <w:autoSpaceDN w:val="0"/>
              <w:adjustRightInd w:val="0"/>
              <w:spacing w:line="240" w:lineRule="auto"/>
              <w:jc w:val="center"/>
              <w:rPr>
                <w:b/>
                <w:bCs/>
              </w:rPr>
            </w:pPr>
            <w:r w:rsidRPr="00A808AC">
              <w:rPr>
                <w:b/>
                <w:bCs/>
              </w:rPr>
              <w:t>Mutation (n)</w:t>
            </w:r>
          </w:p>
          <w:p w14:paraId="72E7365A" w14:textId="77777777" w:rsidR="000B35BA" w:rsidRPr="00A808AC" w:rsidRDefault="000B35BA" w:rsidP="006878A4">
            <w:pPr>
              <w:keepNext/>
              <w:autoSpaceDE w:val="0"/>
              <w:autoSpaceDN w:val="0"/>
              <w:adjustRightInd w:val="0"/>
              <w:spacing w:line="240" w:lineRule="auto"/>
              <w:rPr>
                <w:b/>
                <w:bCs/>
              </w:rPr>
            </w:pPr>
          </w:p>
        </w:tc>
        <w:tc>
          <w:tcPr>
            <w:tcW w:w="2095" w:type="pct"/>
            <w:gridSpan w:val="2"/>
            <w:tcBorders>
              <w:top w:val="single" w:sz="4" w:space="0" w:color="auto"/>
              <w:bottom w:val="single" w:sz="4" w:space="0" w:color="auto"/>
            </w:tcBorders>
            <w:shd w:val="clear" w:color="auto" w:fill="auto"/>
          </w:tcPr>
          <w:p w14:paraId="2B1D1AD3" w14:textId="77777777" w:rsidR="000B35BA" w:rsidRPr="00A808AC" w:rsidRDefault="005A3D7D" w:rsidP="006878A4">
            <w:pPr>
              <w:keepNext/>
              <w:autoSpaceDE w:val="0"/>
              <w:autoSpaceDN w:val="0"/>
              <w:adjustRightInd w:val="0"/>
              <w:spacing w:line="240" w:lineRule="auto"/>
              <w:jc w:val="center"/>
              <w:rPr>
                <w:b/>
              </w:rPr>
            </w:pPr>
            <w:r w:rsidRPr="00A808AC">
              <w:rPr>
                <w:b/>
              </w:rPr>
              <w:t>Absolute change in sweat chloride (mmol/L)</w:t>
            </w:r>
          </w:p>
        </w:tc>
        <w:tc>
          <w:tcPr>
            <w:tcW w:w="2099" w:type="pct"/>
            <w:gridSpan w:val="2"/>
            <w:tcBorders>
              <w:top w:val="single" w:sz="4" w:space="0" w:color="auto"/>
              <w:bottom w:val="single" w:sz="4" w:space="0" w:color="auto"/>
              <w:right w:val="single" w:sz="4" w:space="0" w:color="auto"/>
            </w:tcBorders>
            <w:shd w:val="clear" w:color="auto" w:fill="auto"/>
          </w:tcPr>
          <w:p w14:paraId="169ADB82" w14:textId="77777777" w:rsidR="000B35BA" w:rsidRPr="00A808AC" w:rsidRDefault="005A3D7D" w:rsidP="006878A4">
            <w:pPr>
              <w:keepNext/>
              <w:autoSpaceDE w:val="0"/>
              <w:autoSpaceDN w:val="0"/>
              <w:adjustRightInd w:val="0"/>
              <w:spacing w:line="240" w:lineRule="auto"/>
              <w:jc w:val="center"/>
              <w:rPr>
                <w:b/>
                <w:bCs/>
              </w:rPr>
            </w:pPr>
            <w:r w:rsidRPr="00A808AC">
              <w:rPr>
                <w:b/>
              </w:rPr>
              <w:t>Absolute change in percent predicted FEV</w:t>
            </w:r>
            <w:r w:rsidRPr="00A808AC">
              <w:rPr>
                <w:b/>
                <w:vertAlign w:val="subscript"/>
              </w:rPr>
              <w:t xml:space="preserve">1 </w:t>
            </w:r>
            <w:r w:rsidRPr="00A808AC">
              <w:rPr>
                <w:b/>
              </w:rPr>
              <w:t>(percentage points)</w:t>
            </w:r>
          </w:p>
        </w:tc>
      </w:tr>
      <w:tr w:rsidR="00476058" w14:paraId="5EBB4E5D" w14:textId="77777777" w:rsidTr="006878A4">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68"/>
        </w:trPr>
        <w:tc>
          <w:tcPr>
            <w:tcW w:w="802" w:type="pct"/>
            <w:vMerge/>
            <w:tcBorders>
              <w:top w:val="single" w:sz="4" w:space="0" w:color="auto"/>
              <w:left w:val="single" w:sz="4" w:space="0" w:color="auto"/>
              <w:bottom w:val="single" w:sz="4" w:space="0" w:color="auto"/>
            </w:tcBorders>
            <w:shd w:val="clear" w:color="auto" w:fill="auto"/>
          </w:tcPr>
          <w:p w14:paraId="3794F5AC" w14:textId="77777777" w:rsidR="000B35BA" w:rsidRPr="00A808AC" w:rsidRDefault="000B35BA" w:rsidP="006878A4">
            <w:pPr>
              <w:keepNext/>
              <w:autoSpaceDE w:val="0"/>
              <w:autoSpaceDN w:val="0"/>
              <w:adjustRightInd w:val="0"/>
              <w:spacing w:line="240" w:lineRule="auto"/>
              <w:rPr>
                <w:b/>
                <w:bCs/>
              </w:rPr>
            </w:pPr>
          </w:p>
        </w:tc>
        <w:tc>
          <w:tcPr>
            <w:tcW w:w="2095" w:type="pct"/>
            <w:gridSpan w:val="2"/>
            <w:tcBorders>
              <w:top w:val="single" w:sz="4" w:space="0" w:color="auto"/>
              <w:bottom w:val="single" w:sz="4" w:space="0" w:color="auto"/>
            </w:tcBorders>
            <w:shd w:val="clear" w:color="auto" w:fill="auto"/>
          </w:tcPr>
          <w:p w14:paraId="68A19781" w14:textId="77777777" w:rsidR="000B35BA" w:rsidRPr="00A808AC" w:rsidRDefault="005A3D7D" w:rsidP="000B35BA">
            <w:pPr>
              <w:keepNext/>
              <w:autoSpaceDE w:val="0"/>
              <w:autoSpaceDN w:val="0"/>
              <w:adjustRightInd w:val="0"/>
              <w:spacing w:line="240" w:lineRule="auto"/>
              <w:jc w:val="center"/>
              <w:rPr>
                <w:b/>
              </w:rPr>
            </w:pPr>
            <w:r w:rsidRPr="00A808AC">
              <w:rPr>
                <w:b/>
              </w:rPr>
              <w:t xml:space="preserve">At </w:t>
            </w:r>
            <w:r>
              <w:rPr>
                <w:b/>
              </w:rPr>
              <w:t>w</w:t>
            </w:r>
            <w:r w:rsidRPr="00A808AC">
              <w:rPr>
                <w:b/>
              </w:rPr>
              <w:t>eek</w:t>
            </w:r>
            <w:r w:rsidRPr="00A808AC">
              <w:t> </w:t>
            </w:r>
            <w:r w:rsidRPr="00A808AC">
              <w:rPr>
                <w:b/>
              </w:rPr>
              <w:t>8</w:t>
            </w:r>
          </w:p>
        </w:tc>
        <w:tc>
          <w:tcPr>
            <w:tcW w:w="2099" w:type="pct"/>
            <w:gridSpan w:val="2"/>
            <w:tcBorders>
              <w:top w:val="single" w:sz="4" w:space="0" w:color="auto"/>
              <w:bottom w:val="single" w:sz="4" w:space="0" w:color="auto"/>
              <w:right w:val="single" w:sz="4" w:space="0" w:color="auto"/>
            </w:tcBorders>
            <w:shd w:val="clear" w:color="auto" w:fill="auto"/>
          </w:tcPr>
          <w:p w14:paraId="1A3E2FC5" w14:textId="77777777" w:rsidR="000B35BA" w:rsidRPr="00A808AC" w:rsidRDefault="005A3D7D" w:rsidP="000B35BA">
            <w:pPr>
              <w:keepNext/>
              <w:autoSpaceDE w:val="0"/>
              <w:autoSpaceDN w:val="0"/>
              <w:adjustRightInd w:val="0"/>
              <w:spacing w:line="240" w:lineRule="auto"/>
              <w:jc w:val="center"/>
              <w:rPr>
                <w:b/>
                <w:bCs/>
              </w:rPr>
            </w:pPr>
            <w:r w:rsidRPr="00A808AC">
              <w:rPr>
                <w:b/>
              </w:rPr>
              <w:t xml:space="preserve">At </w:t>
            </w:r>
            <w:r>
              <w:rPr>
                <w:b/>
              </w:rPr>
              <w:t>w</w:t>
            </w:r>
            <w:r w:rsidRPr="00A808AC">
              <w:rPr>
                <w:b/>
              </w:rPr>
              <w:t>eek</w:t>
            </w:r>
            <w:r w:rsidRPr="00A808AC">
              <w:t> </w:t>
            </w:r>
            <w:r w:rsidRPr="00A808AC">
              <w:rPr>
                <w:b/>
              </w:rPr>
              <w:t>8</w:t>
            </w:r>
          </w:p>
        </w:tc>
      </w:tr>
      <w:tr w:rsidR="00476058" w14:paraId="32E6E9B1" w14:textId="77777777" w:rsidTr="006878A4">
        <w:tblPrEx>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368"/>
        </w:trPr>
        <w:tc>
          <w:tcPr>
            <w:tcW w:w="802" w:type="pct"/>
            <w:tcBorders>
              <w:top w:val="single" w:sz="4" w:space="0" w:color="auto"/>
              <w:left w:val="single" w:sz="4" w:space="0" w:color="auto"/>
              <w:bottom w:val="single" w:sz="4" w:space="0" w:color="auto"/>
              <w:right w:val="single" w:sz="4" w:space="0" w:color="auto"/>
            </w:tcBorders>
            <w:shd w:val="clear" w:color="auto" w:fill="auto"/>
          </w:tcPr>
          <w:p w14:paraId="52BA2FA8" w14:textId="77777777" w:rsidR="000B35BA" w:rsidRPr="000A093B" w:rsidRDefault="005A3D7D" w:rsidP="000A093B">
            <w:pPr>
              <w:keepNext/>
              <w:autoSpaceDE w:val="0"/>
              <w:autoSpaceDN w:val="0"/>
              <w:adjustRightInd w:val="0"/>
              <w:spacing w:line="240" w:lineRule="auto"/>
              <w:jc w:val="center"/>
              <w:rPr>
                <w:lang w:val="pt-PT"/>
              </w:rPr>
            </w:pPr>
            <w:r w:rsidRPr="000A093B">
              <w:rPr>
                <w:i/>
                <w:lang w:val="pt-PT"/>
              </w:rPr>
              <w:t>G1244E</w:t>
            </w:r>
            <w:r w:rsidRPr="000A093B">
              <w:rPr>
                <w:lang w:val="pt-PT"/>
              </w:rPr>
              <w:t xml:space="preserve"> (5)</w:t>
            </w:r>
          </w:p>
          <w:p w14:paraId="4BC3331F" w14:textId="77777777" w:rsidR="000B35BA" w:rsidRPr="000A093B" w:rsidRDefault="005A3D7D" w:rsidP="000A093B">
            <w:pPr>
              <w:keepNext/>
              <w:spacing w:line="240" w:lineRule="auto"/>
              <w:jc w:val="center"/>
              <w:rPr>
                <w:lang w:val="pt-PT"/>
              </w:rPr>
            </w:pPr>
            <w:r w:rsidRPr="000A093B">
              <w:rPr>
                <w:i/>
                <w:lang w:val="pt-PT"/>
              </w:rPr>
              <w:t>G1349D</w:t>
            </w:r>
            <w:r w:rsidRPr="000A093B">
              <w:rPr>
                <w:lang w:val="pt-PT"/>
              </w:rPr>
              <w:t xml:space="preserve"> (2)</w:t>
            </w:r>
          </w:p>
          <w:p w14:paraId="1A8D061A" w14:textId="77777777" w:rsidR="000B35BA" w:rsidRPr="000A093B" w:rsidRDefault="005A3D7D" w:rsidP="000A093B">
            <w:pPr>
              <w:keepNext/>
              <w:spacing w:line="240" w:lineRule="auto"/>
              <w:jc w:val="center"/>
              <w:rPr>
                <w:lang w:val="pt-PT"/>
              </w:rPr>
            </w:pPr>
            <w:r w:rsidRPr="000A093B">
              <w:rPr>
                <w:i/>
                <w:lang w:val="pt-PT"/>
              </w:rPr>
              <w:t>G178R</w:t>
            </w:r>
            <w:r w:rsidRPr="000A093B">
              <w:rPr>
                <w:lang w:val="pt-PT"/>
              </w:rPr>
              <w:t xml:space="preserve"> (5)</w:t>
            </w:r>
          </w:p>
          <w:p w14:paraId="2F2FE51E" w14:textId="77777777" w:rsidR="000B35BA" w:rsidRPr="000A093B" w:rsidRDefault="005A3D7D" w:rsidP="000A093B">
            <w:pPr>
              <w:keepNext/>
              <w:spacing w:line="240" w:lineRule="auto"/>
              <w:jc w:val="center"/>
              <w:rPr>
                <w:lang w:val="pt-PT"/>
              </w:rPr>
            </w:pPr>
            <w:r w:rsidRPr="000A093B">
              <w:rPr>
                <w:i/>
                <w:lang w:val="pt-PT"/>
              </w:rPr>
              <w:t>G551S</w:t>
            </w:r>
            <w:r w:rsidRPr="000A093B">
              <w:rPr>
                <w:lang w:val="pt-PT"/>
              </w:rPr>
              <w:t xml:space="preserve"> (2)</w:t>
            </w:r>
          </w:p>
          <w:p w14:paraId="5B758949" w14:textId="77777777" w:rsidR="000B35BA" w:rsidRPr="000A093B" w:rsidRDefault="005A3D7D" w:rsidP="000A093B">
            <w:pPr>
              <w:keepNext/>
              <w:spacing w:line="240" w:lineRule="auto"/>
              <w:jc w:val="center"/>
              <w:rPr>
                <w:lang w:val="pt-PT"/>
              </w:rPr>
            </w:pPr>
            <w:r w:rsidRPr="000A093B">
              <w:rPr>
                <w:i/>
                <w:lang w:val="pt-PT"/>
              </w:rPr>
              <w:t>G970R</w:t>
            </w:r>
            <w:r w:rsidRPr="000A093B">
              <w:rPr>
                <w:i/>
                <w:vertAlign w:val="superscript"/>
                <w:lang w:val="pt-PT"/>
              </w:rPr>
              <w:t>#</w:t>
            </w:r>
            <w:r w:rsidRPr="000A093B">
              <w:rPr>
                <w:vertAlign w:val="superscript"/>
                <w:lang w:val="pt-PT"/>
              </w:rPr>
              <w:t xml:space="preserve"> </w:t>
            </w:r>
            <w:r w:rsidRPr="000A093B">
              <w:rPr>
                <w:lang w:val="pt-PT"/>
              </w:rPr>
              <w:t>(4)</w:t>
            </w:r>
          </w:p>
          <w:p w14:paraId="4720AA1C" w14:textId="77777777" w:rsidR="000B35BA" w:rsidRPr="00A808AC" w:rsidRDefault="005A3D7D" w:rsidP="000A093B">
            <w:pPr>
              <w:keepNext/>
              <w:spacing w:line="240" w:lineRule="auto"/>
              <w:jc w:val="center"/>
            </w:pPr>
            <w:r w:rsidRPr="00A808AC">
              <w:rPr>
                <w:i/>
                <w:iCs/>
              </w:rPr>
              <w:t xml:space="preserve">S1251N </w:t>
            </w:r>
            <w:r w:rsidRPr="00A808AC">
              <w:t>(8)</w:t>
            </w:r>
          </w:p>
          <w:p w14:paraId="4B2ABFED" w14:textId="77777777" w:rsidR="000B35BA" w:rsidRPr="00A808AC" w:rsidRDefault="005A3D7D" w:rsidP="000A093B">
            <w:pPr>
              <w:keepNext/>
              <w:spacing w:line="240" w:lineRule="auto"/>
              <w:jc w:val="center"/>
            </w:pPr>
            <w:r w:rsidRPr="00A808AC">
              <w:rPr>
                <w:i/>
                <w:iCs/>
              </w:rPr>
              <w:t>S1255P</w:t>
            </w:r>
            <w:r w:rsidRPr="00A808AC">
              <w:t xml:space="preserve"> (2)</w:t>
            </w:r>
          </w:p>
          <w:p w14:paraId="4211B313" w14:textId="77777777" w:rsidR="000B35BA" w:rsidRPr="00A808AC" w:rsidRDefault="005A3D7D" w:rsidP="000A093B">
            <w:pPr>
              <w:keepNext/>
              <w:spacing w:line="240" w:lineRule="auto"/>
              <w:jc w:val="center"/>
            </w:pPr>
            <w:r w:rsidRPr="00A808AC">
              <w:rPr>
                <w:i/>
                <w:iCs/>
              </w:rPr>
              <w:t>S549N</w:t>
            </w:r>
            <w:r w:rsidRPr="00A808AC">
              <w:t xml:space="preserve"> (6)</w:t>
            </w:r>
          </w:p>
          <w:p w14:paraId="3C0FC0C9" w14:textId="77777777" w:rsidR="000B35BA" w:rsidRPr="00A808AC" w:rsidRDefault="005A3D7D" w:rsidP="000A093B">
            <w:pPr>
              <w:keepNext/>
              <w:autoSpaceDE w:val="0"/>
              <w:autoSpaceDN w:val="0"/>
              <w:adjustRightInd w:val="0"/>
              <w:spacing w:line="240" w:lineRule="auto"/>
              <w:jc w:val="center"/>
              <w:rPr>
                <w:b/>
                <w:bCs/>
              </w:rPr>
            </w:pPr>
            <w:r w:rsidRPr="00A808AC">
              <w:rPr>
                <w:i/>
                <w:iCs/>
              </w:rPr>
              <w:t>S549R</w:t>
            </w:r>
            <w:r w:rsidRPr="00A808AC">
              <w:t xml:space="preserve"> (4)</w:t>
            </w:r>
          </w:p>
        </w:tc>
        <w:tc>
          <w:tcPr>
            <w:tcW w:w="2095" w:type="pct"/>
            <w:gridSpan w:val="2"/>
            <w:tcBorders>
              <w:top w:val="single" w:sz="4" w:space="0" w:color="auto"/>
              <w:left w:val="single" w:sz="4" w:space="0" w:color="auto"/>
              <w:bottom w:val="single" w:sz="4" w:space="0" w:color="auto"/>
            </w:tcBorders>
            <w:shd w:val="clear" w:color="auto" w:fill="auto"/>
          </w:tcPr>
          <w:p w14:paraId="4363B38A" w14:textId="77777777" w:rsidR="000B35BA" w:rsidRPr="00A808AC" w:rsidRDefault="005A3D7D" w:rsidP="000A093B">
            <w:pPr>
              <w:keepNext/>
              <w:spacing w:line="240" w:lineRule="auto"/>
              <w:jc w:val="center"/>
            </w:pPr>
            <w:r>
              <w:rPr>
                <w:rFonts w:ascii="MS Mincho" w:eastAsia="MS Mincho" w:hAnsi="MS Mincho" w:cs="MS Mincho" w:hint="eastAsia"/>
              </w:rPr>
              <w:t>‑</w:t>
            </w:r>
            <w:r w:rsidRPr="00A808AC">
              <w:t>55 (-75, -34)</w:t>
            </w:r>
          </w:p>
          <w:p w14:paraId="62EB8AC6" w14:textId="77777777" w:rsidR="000B35BA" w:rsidRPr="00A808AC" w:rsidRDefault="005A3D7D" w:rsidP="000A093B">
            <w:pPr>
              <w:keepNext/>
              <w:spacing w:line="240" w:lineRule="auto"/>
              <w:jc w:val="center"/>
            </w:pPr>
            <w:r w:rsidRPr="00A808AC">
              <w:t>-80 (-82, -79)</w:t>
            </w:r>
          </w:p>
          <w:p w14:paraId="0137BF60" w14:textId="77777777" w:rsidR="000B35BA" w:rsidRPr="00A808AC" w:rsidRDefault="005A3D7D" w:rsidP="000A093B">
            <w:pPr>
              <w:keepNext/>
              <w:spacing w:line="240" w:lineRule="auto"/>
              <w:jc w:val="center"/>
            </w:pPr>
            <w:r w:rsidRPr="00A808AC">
              <w:t>-53 (-65, -35)</w:t>
            </w:r>
          </w:p>
          <w:p w14:paraId="52B57980" w14:textId="77777777" w:rsidR="000B35BA" w:rsidRPr="00A808AC" w:rsidRDefault="005A3D7D" w:rsidP="000A093B">
            <w:pPr>
              <w:keepNext/>
              <w:spacing w:line="240" w:lineRule="auto"/>
              <w:jc w:val="center"/>
            </w:pPr>
            <w:r w:rsidRPr="00A808AC">
              <w:t>-68</w:t>
            </w:r>
            <w:r w:rsidRPr="00E909E9">
              <w:rPr>
                <w:position w:val="6"/>
                <w:vertAlign w:val="superscript"/>
              </w:rPr>
              <w:t>†</w:t>
            </w:r>
          </w:p>
          <w:p w14:paraId="1703031D" w14:textId="77777777" w:rsidR="000B35BA" w:rsidRPr="00A808AC" w:rsidRDefault="005A3D7D" w:rsidP="000A093B">
            <w:pPr>
              <w:keepNext/>
              <w:spacing w:line="240" w:lineRule="auto"/>
              <w:jc w:val="center"/>
            </w:pPr>
            <w:r w:rsidRPr="00A808AC">
              <w:t>-6 (-16, -2)</w:t>
            </w:r>
          </w:p>
          <w:p w14:paraId="699B25C8" w14:textId="77777777" w:rsidR="000B35BA" w:rsidRPr="00A808AC" w:rsidRDefault="005A3D7D" w:rsidP="000A093B">
            <w:pPr>
              <w:keepNext/>
              <w:spacing w:line="240" w:lineRule="auto"/>
              <w:jc w:val="center"/>
            </w:pPr>
            <w:r w:rsidRPr="00A808AC">
              <w:t>-54 (-84, -7)</w:t>
            </w:r>
          </w:p>
          <w:p w14:paraId="000556FB" w14:textId="77777777" w:rsidR="000B35BA" w:rsidRPr="00A808AC" w:rsidRDefault="005A3D7D" w:rsidP="000A093B">
            <w:pPr>
              <w:keepNext/>
              <w:spacing w:line="240" w:lineRule="auto"/>
              <w:jc w:val="center"/>
            </w:pPr>
            <w:r w:rsidRPr="00A808AC">
              <w:t>-78 (-82, -74)</w:t>
            </w:r>
          </w:p>
          <w:p w14:paraId="67E68F2F" w14:textId="77777777" w:rsidR="000B35BA" w:rsidRPr="00A808AC" w:rsidRDefault="005A3D7D" w:rsidP="000A093B">
            <w:pPr>
              <w:keepNext/>
              <w:spacing w:line="240" w:lineRule="auto"/>
              <w:jc w:val="center"/>
            </w:pPr>
            <w:r w:rsidRPr="00A808AC">
              <w:t>-74 (-93, -53)</w:t>
            </w:r>
          </w:p>
          <w:p w14:paraId="130FDA2A" w14:textId="77777777" w:rsidR="000B35BA" w:rsidRPr="00A808AC" w:rsidRDefault="005A3D7D" w:rsidP="000A093B">
            <w:pPr>
              <w:keepNext/>
              <w:spacing w:line="240" w:lineRule="auto"/>
              <w:jc w:val="center"/>
            </w:pPr>
            <w:r w:rsidRPr="00A808AC">
              <w:t>-61</w:t>
            </w:r>
            <w:r w:rsidRPr="00E909E9">
              <w:rPr>
                <w:position w:val="6"/>
                <w:vertAlign w:val="superscript"/>
              </w:rPr>
              <w:t>††</w:t>
            </w:r>
            <w:r w:rsidRPr="00A808AC">
              <w:t xml:space="preserve"> (-71, -54)</w:t>
            </w:r>
          </w:p>
        </w:tc>
        <w:tc>
          <w:tcPr>
            <w:tcW w:w="2099" w:type="pct"/>
            <w:gridSpan w:val="2"/>
            <w:tcBorders>
              <w:top w:val="single" w:sz="4" w:space="0" w:color="auto"/>
              <w:bottom w:val="single" w:sz="4" w:space="0" w:color="auto"/>
              <w:right w:val="single" w:sz="4" w:space="0" w:color="auto"/>
            </w:tcBorders>
            <w:shd w:val="clear" w:color="auto" w:fill="auto"/>
          </w:tcPr>
          <w:p w14:paraId="623147A9" w14:textId="77777777" w:rsidR="000B35BA" w:rsidRPr="00A808AC" w:rsidRDefault="005A3D7D" w:rsidP="000A093B">
            <w:pPr>
              <w:keepNext/>
              <w:spacing w:line="240" w:lineRule="auto"/>
              <w:jc w:val="center"/>
            </w:pPr>
            <w:r w:rsidRPr="00A808AC">
              <w:t>8 (-1, 18)</w:t>
            </w:r>
          </w:p>
          <w:p w14:paraId="17970666" w14:textId="77777777" w:rsidR="000B35BA" w:rsidRPr="00A808AC" w:rsidRDefault="005A3D7D" w:rsidP="000A093B">
            <w:pPr>
              <w:keepNext/>
              <w:spacing w:line="240" w:lineRule="auto"/>
              <w:jc w:val="center"/>
            </w:pPr>
            <w:r w:rsidRPr="00A808AC">
              <w:t>20 (3, 36)</w:t>
            </w:r>
          </w:p>
          <w:p w14:paraId="17DD2F07" w14:textId="77777777" w:rsidR="000B35BA" w:rsidRPr="00A808AC" w:rsidRDefault="005A3D7D" w:rsidP="000A093B">
            <w:pPr>
              <w:keepNext/>
              <w:spacing w:line="240" w:lineRule="auto"/>
              <w:jc w:val="center"/>
            </w:pPr>
            <w:r w:rsidRPr="00A808AC">
              <w:t>8 (-1, 18)</w:t>
            </w:r>
          </w:p>
          <w:p w14:paraId="1B61ED52" w14:textId="77777777" w:rsidR="000B35BA" w:rsidRPr="00A808AC" w:rsidRDefault="005A3D7D" w:rsidP="000A093B">
            <w:pPr>
              <w:keepNext/>
              <w:spacing w:line="240" w:lineRule="auto"/>
              <w:jc w:val="center"/>
            </w:pPr>
            <w:r w:rsidRPr="00A808AC">
              <w:t>3</w:t>
            </w:r>
            <w:r w:rsidRPr="00E909E9">
              <w:rPr>
                <w:position w:val="6"/>
                <w:vertAlign w:val="superscript"/>
              </w:rPr>
              <w:t>†</w:t>
            </w:r>
          </w:p>
          <w:p w14:paraId="16DA2B19" w14:textId="77777777" w:rsidR="000B35BA" w:rsidRPr="00A808AC" w:rsidRDefault="005A3D7D" w:rsidP="000A093B">
            <w:pPr>
              <w:keepNext/>
              <w:spacing w:line="240" w:lineRule="auto"/>
              <w:jc w:val="center"/>
            </w:pPr>
            <w:r w:rsidRPr="00A808AC">
              <w:t>3 (-1, 5)</w:t>
            </w:r>
          </w:p>
          <w:p w14:paraId="4AB41C6C" w14:textId="77777777" w:rsidR="000B35BA" w:rsidRPr="00A808AC" w:rsidRDefault="005A3D7D" w:rsidP="000A093B">
            <w:pPr>
              <w:keepNext/>
              <w:spacing w:line="240" w:lineRule="auto"/>
              <w:jc w:val="center"/>
            </w:pPr>
            <w:r w:rsidRPr="00A808AC">
              <w:t>9 (-20, 21)</w:t>
            </w:r>
          </w:p>
          <w:p w14:paraId="7AB339DE" w14:textId="77777777" w:rsidR="000B35BA" w:rsidRPr="00A808AC" w:rsidRDefault="005A3D7D" w:rsidP="000A093B">
            <w:pPr>
              <w:keepNext/>
              <w:spacing w:line="240" w:lineRule="auto"/>
              <w:jc w:val="center"/>
            </w:pPr>
            <w:r w:rsidRPr="00A808AC">
              <w:t>3 (-1, 8)</w:t>
            </w:r>
          </w:p>
          <w:p w14:paraId="48BFE34C" w14:textId="77777777" w:rsidR="000B35BA" w:rsidRPr="00A808AC" w:rsidRDefault="005A3D7D" w:rsidP="000A093B">
            <w:pPr>
              <w:keepNext/>
              <w:spacing w:line="240" w:lineRule="auto"/>
              <w:jc w:val="center"/>
            </w:pPr>
            <w:r w:rsidRPr="00A808AC">
              <w:t xml:space="preserve">11 (-2, </w:t>
            </w:r>
            <w:r w:rsidRPr="00A808AC">
              <w:t>20)</w:t>
            </w:r>
          </w:p>
          <w:p w14:paraId="047FB8F3" w14:textId="77777777" w:rsidR="000B35BA" w:rsidRPr="00A808AC" w:rsidRDefault="005A3D7D" w:rsidP="000A093B">
            <w:pPr>
              <w:keepNext/>
              <w:spacing w:line="240" w:lineRule="auto"/>
              <w:jc w:val="center"/>
              <w:rPr>
                <w:b/>
              </w:rPr>
            </w:pPr>
            <w:r w:rsidRPr="00A808AC">
              <w:t>5 (-3, 13)</w:t>
            </w:r>
          </w:p>
        </w:tc>
      </w:tr>
    </w:tbl>
    <w:p w14:paraId="5F9FF39B" w14:textId="77777777" w:rsidR="00F44FB8" w:rsidRPr="009073D6" w:rsidRDefault="005A3D7D" w:rsidP="000A093B">
      <w:pPr>
        <w:keepNext/>
        <w:tabs>
          <w:tab w:val="clear" w:pos="567"/>
        </w:tabs>
        <w:spacing w:before="120" w:line="240" w:lineRule="auto"/>
        <w:ind w:left="288" w:hanging="288"/>
        <w:rPr>
          <w:bCs/>
          <w:sz w:val="18"/>
          <w:szCs w:val="18"/>
        </w:rPr>
      </w:pPr>
      <w:r w:rsidRPr="009073D6">
        <w:rPr>
          <w:bCs/>
          <w:sz w:val="18"/>
          <w:szCs w:val="18"/>
          <w:vertAlign w:val="superscript"/>
        </w:rPr>
        <w:t>*</w:t>
      </w:r>
      <w:r w:rsidRPr="00491009">
        <w:rPr>
          <w:bCs/>
          <w:sz w:val="18"/>
          <w:szCs w:val="18"/>
        </w:rPr>
        <w:tab/>
      </w:r>
      <w:r w:rsidRPr="009073D6">
        <w:rPr>
          <w:bCs/>
          <w:sz w:val="18"/>
          <w:szCs w:val="18"/>
        </w:rPr>
        <w:t>Statistical testing was not performed due to small numbers for individual mutations.</w:t>
      </w:r>
    </w:p>
    <w:p w14:paraId="16516604" w14:textId="77777777" w:rsidR="00F44FB8" w:rsidRPr="009073D6" w:rsidRDefault="005A3D7D" w:rsidP="000A093B">
      <w:pPr>
        <w:keepNext/>
        <w:tabs>
          <w:tab w:val="clear" w:pos="567"/>
        </w:tabs>
        <w:spacing w:line="240" w:lineRule="auto"/>
        <w:ind w:left="288" w:hanging="288"/>
        <w:rPr>
          <w:rFonts w:eastAsia="MS Mincho"/>
          <w:sz w:val="18"/>
          <w:szCs w:val="18"/>
          <w:lang w:eastAsia="ja-JP"/>
        </w:rPr>
      </w:pPr>
      <w:r w:rsidRPr="009073D6">
        <w:rPr>
          <w:rFonts w:eastAsia="MS Mincho"/>
          <w:sz w:val="18"/>
          <w:szCs w:val="18"/>
          <w:vertAlign w:val="superscript"/>
          <w:lang w:eastAsia="ja-JP"/>
        </w:rPr>
        <w:t>†</w:t>
      </w:r>
      <w:r w:rsidRPr="00491009">
        <w:rPr>
          <w:rFonts w:eastAsia="MS Mincho"/>
          <w:sz w:val="18"/>
          <w:szCs w:val="18"/>
          <w:lang w:eastAsia="ja-JP"/>
        </w:rPr>
        <w:tab/>
      </w:r>
      <w:r w:rsidRPr="009073D6">
        <w:rPr>
          <w:rFonts w:eastAsia="MS Mincho"/>
          <w:sz w:val="18"/>
          <w:szCs w:val="18"/>
          <w:lang w:eastAsia="ja-JP"/>
        </w:rPr>
        <w:t xml:space="preserve">Reflects results from the one patient with the </w:t>
      </w:r>
      <w:r w:rsidRPr="009073D6">
        <w:rPr>
          <w:rFonts w:eastAsia="MS Mincho"/>
          <w:i/>
          <w:iCs/>
          <w:sz w:val="18"/>
          <w:szCs w:val="18"/>
          <w:lang w:eastAsia="ja-JP"/>
        </w:rPr>
        <w:t>G551S</w:t>
      </w:r>
      <w:r w:rsidRPr="009073D6">
        <w:rPr>
          <w:rFonts w:eastAsia="MS Mincho"/>
          <w:sz w:val="18"/>
          <w:szCs w:val="18"/>
          <w:lang w:eastAsia="ja-JP"/>
        </w:rPr>
        <w:t xml:space="preserve"> mutation with data at the 8</w:t>
      </w:r>
      <w:r w:rsidRPr="009073D6">
        <w:rPr>
          <w:rFonts w:eastAsia="MS Mincho"/>
          <w:sz w:val="18"/>
          <w:szCs w:val="18"/>
          <w:lang w:eastAsia="ja-JP"/>
        </w:rPr>
        <w:noBreakHyphen/>
        <w:t>week time point.</w:t>
      </w:r>
    </w:p>
    <w:p w14:paraId="4BC35FB9" w14:textId="77777777" w:rsidR="00F44FB8" w:rsidRDefault="005A3D7D" w:rsidP="000A093B">
      <w:pPr>
        <w:keepNext/>
        <w:tabs>
          <w:tab w:val="clear" w:pos="567"/>
        </w:tabs>
        <w:spacing w:line="240" w:lineRule="auto"/>
        <w:ind w:left="288" w:hanging="288"/>
        <w:rPr>
          <w:rFonts w:eastAsia="MS Mincho"/>
          <w:sz w:val="18"/>
          <w:szCs w:val="18"/>
          <w:lang w:eastAsia="ja-JP"/>
        </w:rPr>
      </w:pPr>
      <w:r w:rsidRPr="009073D6">
        <w:rPr>
          <w:rFonts w:eastAsia="MS Mincho"/>
          <w:sz w:val="18"/>
          <w:szCs w:val="18"/>
          <w:vertAlign w:val="superscript"/>
          <w:lang w:eastAsia="ja-JP"/>
        </w:rPr>
        <w:t>††</w:t>
      </w:r>
      <w:r w:rsidRPr="009073D6">
        <w:rPr>
          <w:rFonts w:eastAsia="MS Mincho"/>
          <w:sz w:val="18"/>
          <w:szCs w:val="18"/>
          <w:lang w:eastAsia="ja-JP"/>
        </w:rPr>
        <w:tab/>
        <w:t xml:space="preserve">n = 3 for the analysis of absolute change in </w:t>
      </w:r>
      <w:r w:rsidRPr="009073D6">
        <w:rPr>
          <w:rFonts w:eastAsia="MS Mincho"/>
          <w:sz w:val="18"/>
          <w:szCs w:val="18"/>
          <w:lang w:eastAsia="ja-JP"/>
        </w:rPr>
        <w:t>sweat chloride.</w:t>
      </w:r>
    </w:p>
    <w:p w14:paraId="213C25DC" w14:textId="77777777" w:rsidR="004C57CC" w:rsidRPr="009073D6" w:rsidRDefault="005A3D7D" w:rsidP="000A093B">
      <w:pPr>
        <w:keepNext/>
        <w:tabs>
          <w:tab w:val="clear" w:pos="567"/>
        </w:tabs>
        <w:spacing w:line="240" w:lineRule="auto"/>
        <w:ind w:left="288" w:hanging="288"/>
        <w:rPr>
          <w:sz w:val="18"/>
          <w:szCs w:val="18"/>
        </w:rPr>
      </w:pPr>
      <w:r>
        <w:rPr>
          <w:sz w:val="18"/>
          <w:szCs w:val="18"/>
          <w:vertAlign w:val="superscript"/>
        </w:rPr>
        <w:t>#</w:t>
      </w:r>
      <w:r w:rsidRPr="00491009">
        <w:rPr>
          <w:sz w:val="18"/>
          <w:szCs w:val="18"/>
        </w:rPr>
        <w:tab/>
      </w:r>
      <w:r>
        <w:rPr>
          <w:sz w:val="18"/>
          <w:szCs w:val="18"/>
        </w:rPr>
        <w:t>Causes a splicing defect resulting in little-to-no CFTR protein at the cell surface</w:t>
      </w:r>
    </w:p>
    <w:p w14:paraId="1B8520BF" w14:textId="77777777" w:rsidR="0001048E" w:rsidRPr="00A808AC" w:rsidRDefault="0001048E" w:rsidP="000D02CF">
      <w:pPr>
        <w:spacing w:line="240" w:lineRule="auto"/>
      </w:pPr>
    </w:p>
    <w:p w14:paraId="5D45FF39" w14:textId="0D840B59" w:rsidR="00F976E8" w:rsidRPr="00A808AC" w:rsidRDefault="005A3D7D" w:rsidP="000D02CF">
      <w:pPr>
        <w:spacing w:line="240" w:lineRule="auto"/>
      </w:pPr>
      <w:r w:rsidRPr="00A808AC">
        <w:t xml:space="preserve">In part 2 of </w:t>
      </w:r>
      <w:r w:rsidR="0032138D">
        <w:t>study </w:t>
      </w:r>
      <w:r w:rsidRPr="00A808AC">
        <w:t>5, the mean (SD) absolute change in percent predicted FEV</w:t>
      </w:r>
      <w:r w:rsidRPr="00A808AC">
        <w:rPr>
          <w:vertAlign w:val="subscript"/>
        </w:rPr>
        <w:t>1</w:t>
      </w:r>
      <w:r w:rsidRPr="00A808AC">
        <w:t xml:space="preserve"> following 16</w:t>
      </w:r>
      <w:r w:rsidR="007A552B" w:rsidRPr="00A808AC">
        <w:t> </w:t>
      </w:r>
      <w:r w:rsidRPr="00A808AC">
        <w:t>weeks (patients randomised to</w:t>
      </w:r>
      <w:r w:rsidR="00E1017C" w:rsidRPr="00A808AC">
        <w:t xml:space="preserve"> the</w:t>
      </w:r>
      <w:r w:rsidRPr="00A808AC">
        <w:t xml:space="preserve"> ivacaftor/placebo treatment </w:t>
      </w:r>
      <w:r w:rsidRPr="00A808AC">
        <w:t>sequence in part 1) of continuous ivacaftor treatment was 10.4% (13.2%). At the follow</w:t>
      </w:r>
      <w:r w:rsidRPr="00A808AC">
        <w:noBreakHyphen/>
        <w:t>up visit, 4</w:t>
      </w:r>
      <w:r w:rsidR="007A552B" w:rsidRPr="00A808AC">
        <w:t> </w:t>
      </w:r>
      <w:r w:rsidRPr="00A808AC">
        <w:t>weeks after ivacaftor dosing had ended, the mean (SD) absolute change in percent predicted FEV</w:t>
      </w:r>
      <w:r w:rsidRPr="00A808AC">
        <w:rPr>
          <w:vertAlign w:val="subscript"/>
        </w:rPr>
        <w:t xml:space="preserve">1 </w:t>
      </w:r>
      <w:r w:rsidRPr="00A808AC">
        <w:t>from</w:t>
      </w:r>
      <w:r w:rsidRPr="00A808AC">
        <w:rPr>
          <w:vertAlign w:val="subscript"/>
        </w:rPr>
        <w:t xml:space="preserve"> </w:t>
      </w:r>
      <w:r w:rsidRPr="00A808AC">
        <w:t xml:space="preserve">part 2 </w:t>
      </w:r>
      <w:r w:rsidR="00E97780">
        <w:t>w</w:t>
      </w:r>
      <w:r w:rsidR="00D91A30" w:rsidRPr="00A808AC">
        <w:t xml:space="preserve">eek </w:t>
      </w:r>
      <w:r w:rsidRPr="00A808AC">
        <w:t xml:space="preserve">16 was </w:t>
      </w:r>
      <w:r w:rsidRPr="00A808AC">
        <w:noBreakHyphen/>
        <w:t>5.9% (9.4%). For patients randomised</w:t>
      </w:r>
      <w:r w:rsidRPr="00A808AC">
        <w:t xml:space="preserve"> to </w:t>
      </w:r>
      <w:r w:rsidR="00E1017C" w:rsidRPr="00A808AC">
        <w:t xml:space="preserve">the </w:t>
      </w:r>
      <w:r w:rsidRPr="00A808AC">
        <w:t>placebo/ivacaftor treatment sequence in part 1 there was a further mean (SD) change of 3.3% (9.3%) in percent predicted FEV</w:t>
      </w:r>
      <w:r w:rsidRPr="00A808AC">
        <w:rPr>
          <w:vertAlign w:val="subscript"/>
        </w:rPr>
        <w:t>1</w:t>
      </w:r>
      <w:r w:rsidRPr="00A808AC">
        <w:t xml:space="preserve"> after the additional 16</w:t>
      </w:r>
      <w:r w:rsidR="007A552B" w:rsidRPr="00A808AC">
        <w:t> </w:t>
      </w:r>
      <w:r w:rsidRPr="00A808AC">
        <w:t>weeks of treatment with ivacaftor. At the follow up visit, 4</w:t>
      </w:r>
      <w:r w:rsidR="007A552B" w:rsidRPr="00A808AC">
        <w:t> </w:t>
      </w:r>
      <w:r w:rsidRPr="00A808AC">
        <w:t>weeks after ivacaftor dosing had ended</w:t>
      </w:r>
      <w:r w:rsidRPr="00A808AC">
        <w:t>, the mean (SD) absolute change in percent predicted FEV</w:t>
      </w:r>
      <w:r w:rsidRPr="00A808AC">
        <w:rPr>
          <w:vertAlign w:val="subscript"/>
        </w:rPr>
        <w:t>1</w:t>
      </w:r>
      <w:r w:rsidRPr="00A808AC">
        <w:t xml:space="preserve"> from part 2 </w:t>
      </w:r>
      <w:r w:rsidR="00C72FA0">
        <w:t>w</w:t>
      </w:r>
      <w:r w:rsidR="00D91A30" w:rsidRPr="00A808AC">
        <w:t xml:space="preserve">eek </w:t>
      </w:r>
      <w:r w:rsidRPr="00A808AC">
        <w:t>16 was</w:t>
      </w:r>
      <w:r w:rsidR="00964D65" w:rsidRPr="00A808AC">
        <w:t xml:space="preserve"> </w:t>
      </w:r>
      <w:r w:rsidR="007178AD" w:rsidRPr="00A808AC">
        <w:noBreakHyphen/>
      </w:r>
      <w:r w:rsidRPr="00A808AC">
        <w:t>7.4% (5.5%).</w:t>
      </w:r>
    </w:p>
    <w:p w14:paraId="615D249E" w14:textId="77777777" w:rsidR="00F976E8" w:rsidRPr="007B0741" w:rsidRDefault="00F976E8" w:rsidP="000D02CF">
      <w:pPr>
        <w:spacing w:line="240" w:lineRule="auto"/>
        <w:rPr>
          <w:u w:val="single"/>
        </w:rPr>
      </w:pPr>
    </w:p>
    <w:p w14:paraId="4D52A55A" w14:textId="1DB40A9C" w:rsidR="00223101" w:rsidRDefault="005A3D7D" w:rsidP="00095957">
      <w:pPr>
        <w:pStyle w:val="labeltext"/>
        <w:keepNext/>
        <w:rPr>
          <w:i/>
          <w:sz w:val="22"/>
          <w:u w:val="single"/>
          <w:lang w:val="en-GB"/>
        </w:rPr>
      </w:pPr>
      <w:r>
        <w:rPr>
          <w:i/>
          <w:sz w:val="22"/>
          <w:u w:val="single"/>
          <w:lang w:val="en-GB"/>
        </w:rPr>
        <w:t>Study </w:t>
      </w:r>
      <w:r w:rsidR="009B1867" w:rsidRPr="007B0741">
        <w:rPr>
          <w:i/>
          <w:sz w:val="22"/>
          <w:u w:val="single"/>
          <w:lang w:val="en-GB"/>
        </w:rPr>
        <w:t>3: study in patients with CF with the F508del mutation in the CFTR gene</w:t>
      </w:r>
    </w:p>
    <w:p w14:paraId="769E535F" w14:textId="77777777" w:rsidR="00987822" w:rsidRPr="007B0741" w:rsidRDefault="00987822" w:rsidP="00095957">
      <w:pPr>
        <w:pStyle w:val="labeltext"/>
        <w:keepNext/>
        <w:rPr>
          <w:i/>
          <w:sz w:val="22"/>
          <w:u w:val="single"/>
          <w:lang w:val="en-GB"/>
        </w:rPr>
      </w:pPr>
    </w:p>
    <w:p w14:paraId="32F15002" w14:textId="7723C32C" w:rsidR="00F976E8" w:rsidRPr="00A808AC" w:rsidRDefault="005A3D7D" w:rsidP="000A093B">
      <w:pPr>
        <w:keepNext/>
        <w:spacing w:line="240" w:lineRule="auto"/>
      </w:pPr>
      <w:r>
        <w:t>Study </w:t>
      </w:r>
      <w:r w:rsidR="009B1867" w:rsidRPr="00A808AC">
        <w:t>3 (</w:t>
      </w:r>
      <w:r w:rsidR="00134C35" w:rsidRPr="00A808AC">
        <w:t xml:space="preserve">part </w:t>
      </w:r>
      <w:r w:rsidR="009B1867" w:rsidRPr="00A808AC">
        <w:t>A) was a 16</w:t>
      </w:r>
      <w:r w:rsidR="009B1867" w:rsidRPr="00A808AC">
        <w:noBreakHyphen/>
        <w:t>week, 4:1 randomised, double</w:t>
      </w:r>
      <w:r w:rsidR="009B1867" w:rsidRPr="00A808AC">
        <w:noBreakHyphen/>
        <w:t>blind, placebo</w:t>
      </w:r>
      <w:r w:rsidR="009B1867" w:rsidRPr="00A808AC">
        <w:noBreakHyphen/>
        <w:t>controlled, parallel</w:t>
      </w:r>
      <w:r w:rsidR="009B1867" w:rsidRPr="00A808AC">
        <w:noBreakHyphen/>
        <w:t xml:space="preserve">group </w:t>
      </w:r>
      <w:r w:rsidR="00BA40DB">
        <w:t>p</w:t>
      </w:r>
      <w:r w:rsidR="009B1867" w:rsidRPr="00A808AC">
        <w:t>hase 2 study of ivacaftor (150 mg every 12</w:t>
      </w:r>
      <w:r w:rsidR="007A552B" w:rsidRPr="00A808AC">
        <w:t> </w:t>
      </w:r>
      <w:r w:rsidR="009B1867" w:rsidRPr="00A808AC">
        <w:t>hours) in 140</w:t>
      </w:r>
      <w:r w:rsidR="007A552B" w:rsidRPr="00A808AC">
        <w:t> </w:t>
      </w:r>
      <w:r w:rsidR="009B1867" w:rsidRPr="00A808AC">
        <w:t xml:space="preserve">patients with CF age 12 years and older who were homozygous for the </w:t>
      </w:r>
      <w:r w:rsidR="009B1867" w:rsidRPr="00A808AC">
        <w:rPr>
          <w:i/>
          <w:iCs/>
        </w:rPr>
        <w:t>F508del</w:t>
      </w:r>
      <w:r w:rsidR="009B1867" w:rsidRPr="00A808AC">
        <w:t xml:space="preserve"> mutation in the </w:t>
      </w:r>
      <w:r w:rsidR="009B1867" w:rsidRPr="00A808AC">
        <w:rPr>
          <w:i/>
          <w:iCs/>
        </w:rPr>
        <w:t>CFTR</w:t>
      </w:r>
      <w:r w:rsidR="009B1867" w:rsidRPr="00A808AC">
        <w:t xml:space="preserve"> gene and who had FEV</w:t>
      </w:r>
      <w:r w:rsidR="009B1867" w:rsidRPr="00A808AC">
        <w:rPr>
          <w:vertAlign w:val="subscript"/>
        </w:rPr>
        <w:t>1</w:t>
      </w:r>
      <w:r w:rsidR="009073D6">
        <w:t> </w:t>
      </w:r>
      <w:r w:rsidR="006D6288">
        <w:t>≥ </w:t>
      </w:r>
      <w:r w:rsidR="009B1867" w:rsidRPr="00A808AC">
        <w:t>40% predicted.</w:t>
      </w:r>
    </w:p>
    <w:p w14:paraId="6E97372A" w14:textId="77777777" w:rsidR="00F976E8" w:rsidRPr="00A808AC" w:rsidRDefault="00F976E8" w:rsidP="000D02CF">
      <w:pPr>
        <w:spacing w:line="240" w:lineRule="auto"/>
      </w:pPr>
    </w:p>
    <w:p w14:paraId="3A2C2950" w14:textId="77777777" w:rsidR="00F976E8" w:rsidRPr="00A808AC" w:rsidRDefault="005A3D7D" w:rsidP="000D02CF">
      <w:pPr>
        <w:spacing w:line="240" w:lineRule="auto"/>
      </w:pPr>
      <w:r w:rsidRPr="00A808AC">
        <w:t>The mean absolute change from base</w:t>
      </w:r>
      <w:r w:rsidRPr="00A808AC">
        <w:t xml:space="preserve">line through </w:t>
      </w:r>
      <w:r w:rsidR="00C72FA0">
        <w:t>w</w:t>
      </w:r>
      <w:r w:rsidR="007262E5" w:rsidRPr="00A808AC">
        <w:t>eek</w:t>
      </w:r>
      <w:r w:rsidR="009329EC" w:rsidRPr="00A808AC">
        <w:t> </w:t>
      </w:r>
      <w:r w:rsidRPr="00A808AC">
        <w:t>16 in percent predicted FEV</w:t>
      </w:r>
      <w:r w:rsidRPr="00A808AC">
        <w:rPr>
          <w:vertAlign w:val="subscript"/>
        </w:rPr>
        <w:t>1</w:t>
      </w:r>
      <w:r w:rsidRPr="00A808AC">
        <w:t xml:space="preserve"> (primary efficacy endpoint) was 1.5</w:t>
      </w:r>
      <w:r w:rsidR="007A552B" w:rsidRPr="00A808AC">
        <w:t> </w:t>
      </w:r>
      <w:r w:rsidRPr="00A808AC">
        <w:t xml:space="preserve">percentage points in the ivacaftor group and </w:t>
      </w:r>
      <w:r w:rsidRPr="00A808AC">
        <w:noBreakHyphen/>
        <w:t>0.2 percentage points in the placebo group. The estimated treatment difference for ivacaftor versus placebo was 1.7</w:t>
      </w:r>
      <w:r w:rsidR="007A552B" w:rsidRPr="00A808AC">
        <w:t> </w:t>
      </w:r>
      <w:r w:rsidRPr="00A808AC">
        <w:t xml:space="preserve">percentage </w:t>
      </w:r>
      <w:r w:rsidRPr="00A808AC">
        <w:t>points (95% CI </w:t>
      </w:r>
      <w:r w:rsidRPr="00A808AC">
        <w:noBreakHyphen/>
        <w:t>0.6, 4.1); this difference was not statistically significant (</w:t>
      </w:r>
      <w:r w:rsidRPr="007B0741">
        <w:t>P</w:t>
      </w:r>
      <w:r w:rsidR="006D6288">
        <w:rPr>
          <w:iCs/>
        </w:rPr>
        <w:t> </w:t>
      </w:r>
      <w:r w:rsidRPr="00A808AC">
        <w:t>=</w:t>
      </w:r>
      <w:r w:rsidR="006D6288">
        <w:t> </w:t>
      </w:r>
      <w:r w:rsidRPr="00A808AC">
        <w:t>0.15).</w:t>
      </w:r>
    </w:p>
    <w:p w14:paraId="4B39C0FF" w14:textId="77777777" w:rsidR="00F976E8" w:rsidRPr="00A808AC" w:rsidRDefault="00F976E8" w:rsidP="000D02CF">
      <w:pPr>
        <w:spacing w:line="240" w:lineRule="auto"/>
        <w:rPr>
          <w:rFonts w:eastAsia="MS Mincho"/>
        </w:rPr>
      </w:pPr>
    </w:p>
    <w:p w14:paraId="01ADD5CD" w14:textId="06BB37C8" w:rsidR="00223101" w:rsidRDefault="005A3D7D" w:rsidP="000A093B">
      <w:pPr>
        <w:keepNext/>
        <w:spacing w:line="240" w:lineRule="auto"/>
        <w:rPr>
          <w:i/>
          <w:u w:val="single"/>
        </w:rPr>
      </w:pPr>
      <w:r>
        <w:rPr>
          <w:i/>
          <w:u w:val="single"/>
        </w:rPr>
        <w:t>Study </w:t>
      </w:r>
      <w:r w:rsidR="009B1867" w:rsidRPr="007B0741">
        <w:rPr>
          <w:i/>
          <w:u w:val="single"/>
        </w:rPr>
        <w:t>4: open</w:t>
      </w:r>
      <w:r w:rsidR="009B1867" w:rsidRPr="007B0741">
        <w:rPr>
          <w:i/>
          <w:u w:val="single"/>
        </w:rPr>
        <w:noBreakHyphen/>
        <w:t>label extension study</w:t>
      </w:r>
    </w:p>
    <w:p w14:paraId="04EFC0D0" w14:textId="77777777" w:rsidR="00987822" w:rsidRPr="007B0741" w:rsidRDefault="00987822" w:rsidP="000A093B">
      <w:pPr>
        <w:keepNext/>
        <w:spacing w:line="240" w:lineRule="auto"/>
        <w:rPr>
          <w:i/>
          <w:u w:val="single"/>
        </w:rPr>
      </w:pPr>
    </w:p>
    <w:p w14:paraId="7CC4ACE6" w14:textId="5757A482" w:rsidR="00F976E8" w:rsidRPr="00A808AC" w:rsidRDefault="005A3D7D" w:rsidP="000A093B">
      <w:pPr>
        <w:keepNext/>
        <w:spacing w:line="240" w:lineRule="auto"/>
        <w:rPr>
          <w:lang w:eastAsia="ja-JP"/>
        </w:rPr>
      </w:pPr>
      <w:r w:rsidRPr="00A808AC">
        <w:rPr>
          <w:lang w:eastAsia="ja-JP"/>
        </w:rPr>
        <w:t xml:space="preserve">In </w:t>
      </w:r>
      <w:r w:rsidR="0032138D">
        <w:rPr>
          <w:lang w:eastAsia="ja-JP"/>
        </w:rPr>
        <w:t>study </w:t>
      </w:r>
      <w:r w:rsidRPr="00A808AC">
        <w:rPr>
          <w:lang w:eastAsia="ja-JP"/>
        </w:rPr>
        <w:t>4</w:t>
      </w:r>
      <w:r w:rsidR="00922DE1">
        <w:rPr>
          <w:lang w:eastAsia="ja-JP"/>
        </w:rPr>
        <w:t xml:space="preserve"> </w:t>
      </w:r>
      <w:r w:rsidRPr="00A808AC">
        <w:rPr>
          <w:lang w:eastAsia="ja-JP"/>
        </w:rPr>
        <w:t xml:space="preserve">patients who completed treatment in studies 1 and 2 with placebo were switched to ivacaftor while patients on </w:t>
      </w:r>
      <w:r w:rsidRPr="00A808AC">
        <w:rPr>
          <w:lang w:eastAsia="ja-JP"/>
        </w:rPr>
        <w:t>ivacaftor continued to receive it for a minimum of 96</w:t>
      </w:r>
      <w:r w:rsidR="007A552B" w:rsidRPr="00A808AC">
        <w:rPr>
          <w:lang w:eastAsia="ja-JP"/>
        </w:rPr>
        <w:t> </w:t>
      </w:r>
      <w:r w:rsidRPr="00A808AC">
        <w:rPr>
          <w:lang w:eastAsia="ja-JP"/>
        </w:rPr>
        <w:t>weeks, i.e., the length of treatment with ivacaftor was at least 96 weeks for patients in the placebo/ivacaftor group and at least 144</w:t>
      </w:r>
      <w:r w:rsidR="007A552B" w:rsidRPr="00A808AC">
        <w:rPr>
          <w:lang w:eastAsia="ja-JP"/>
        </w:rPr>
        <w:t> </w:t>
      </w:r>
      <w:r w:rsidRPr="00A808AC">
        <w:rPr>
          <w:lang w:eastAsia="ja-JP"/>
        </w:rPr>
        <w:t>weeks for patients in the ivacaftor/ivacaftor group.</w:t>
      </w:r>
    </w:p>
    <w:p w14:paraId="2029F360" w14:textId="77777777" w:rsidR="00F976E8" w:rsidRPr="00A808AC" w:rsidRDefault="00F976E8" w:rsidP="000D02CF">
      <w:pPr>
        <w:spacing w:line="240" w:lineRule="auto"/>
        <w:rPr>
          <w:rFonts w:eastAsia="MS Mincho"/>
          <w:lang w:eastAsia="ja-JP"/>
        </w:rPr>
      </w:pPr>
    </w:p>
    <w:p w14:paraId="046A6FF0" w14:textId="68C86665" w:rsidR="00F976E8" w:rsidRPr="00A808AC" w:rsidRDefault="005A3D7D" w:rsidP="000D02CF">
      <w:pPr>
        <w:spacing w:line="240" w:lineRule="auto"/>
        <w:rPr>
          <w:rFonts w:eastAsia="MS Mincho"/>
          <w:lang w:eastAsia="ja-JP"/>
        </w:rPr>
      </w:pPr>
      <w:r w:rsidRPr="00A808AC">
        <w:rPr>
          <w:rFonts w:eastAsia="MS Mincho"/>
          <w:lang w:eastAsia="ja-JP"/>
        </w:rPr>
        <w:t>One hundred a</w:t>
      </w:r>
      <w:r w:rsidRPr="00A808AC">
        <w:rPr>
          <w:rFonts w:eastAsia="MS Mincho"/>
          <w:lang w:eastAsia="ja-JP"/>
        </w:rPr>
        <w:t>nd forty</w:t>
      </w:r>
      <w:r w:rsidRPr="00A808AC">
        <w:rPr>
          <w:rFonts w:eastAsia="MS Mincho"/>
          <w:lang w:eastAsia="ja-JP"/>
        </w:rPr>
        <w:noBreakHyphen/>
        <w:t xml:space="preserve">four (144) patients from </w:t>
      </w:r>
      <w:r w:rsidR="0032138D">
        <w:rPr>
          <w:rFonts w:eastAsia="MS Mincho"/>
          <w:lang w:eastAsia="ja-JP"/>
        </w:rPr>
        <w:t>study </w:t>
      </w:r>
      <w:r w:rsidRPr="00A808AC">
        <w:rPr>
          <w:rFonts w:eastAsia="MS Mincho"/>
          <w:lang w:eastAsia="ja-JP"/>
        </w:rPr>
        <w:t xml:space="preserve">1 were rolled over in </w:t>
      </w:r>
      <w:r w:rsidR="0032138D">
        <w:rPr>
          <w:rFonts w:eastAsia="MS Mincho"/>
          <w:lang w:eastAsia="ja-JP"/>
        </w:rPr>
        <w:t>study </w:t>
      </w:r>
      <w:r w:rsidRPr="00A808AC">
        <w:rPr>
          <w:rFonts w:eastAsia="MS Mincho"/>
          <w:lang w:eastAsia="ja-JP"/>
        </w:rPr>
        <w:t>4, 67 in the placebo/ivacaftor group and 77 in the ivacaftor/ivacaftor group. Forty</w:t>
      </w:r>
      <w:r w:rsidRPr="00A808AC">
        <w:rPr>
          <w:rFonts w:eastAsia="MS Mincho"/>
          <w:lang w:eastAsia="ja-JP"/>
        </w:rPr>
        <w:noBreakHyphen/>
        <w:t xml:space="preserve">eight (48) patients from </w:t>
      </w:r>
      <w:r w:rsidR="0032138D">
        <w:rPr>
          <w:rFonts w:eastAsia="MS Mincho"/>
          <w:lang w:eastAsia="ja-JP"/>
        </w:rPr>
        <w:t>study </w:t>
      </w:r>
      <w:r w:rsidRPr="00A808AC">
        <w:rPr>
          <w:rFonts w:eastAsia="MS Mincho"/>
          <w:lang w:eastAsia="ja-JP"/>
        </w:rPr>
        <w:t xml:space="preserve">2 were rolled over in </w:t>
      </w:r>
      <w:r w:rsidR="0032138D">
        <w:rPr>
          <w:rFonts w:eastAsia="MS Mincho"/>
          <w:lang w:eastAsia="ja-JP"/>
        </w:rPr>
        <w:t>study </w:t>
      </w:r>
      <w:r w:rsidRPr="00A808AC">
        <w:rPr>
          <w:rFonts w:eastAsia="MS Mincho"/>
          <w:lang w:eastAsia="ja-JP"/>
        </w:rPr>
        <w:t>4, 22 in the placebo/ivacaftor group and 26 i</w:t>
      </w:r>
      <w:r w:rsidRPr="00A808AC">
        <w:rPr>
          <w:rFonts w:eastAsia="MS Mincho"/>
          <w:lang w:eastAsia="ja-JP"/>
        </w:rPr>
        <w:t>n the ivacaftor/ivacaftor group.</w:t>
      </w:r>
    </w:p>
    <w:p w14:paraId="0254F74C" w14:textId="77777777" w:rsidR="00F976E8" w:rsidRPr="00A808AC" w:rsidRDefault="00F976E8" w:rsidP="000D02CF">
      <w:pPr>
        <w:spacing w:line="240" w:lineRule="auto"/>
        <w:rPr>
          <w:rFonts w:eastAsia="MS Mincho"/>
          <w:lang w:eastAsia="ja-JP"/>
        </w:rPr>
      </w:pPr>
    </w:p>
    <w:p w14:paraId="109FDF6D" w14:textId="6B0D182A" w:rsidR="00F976E8" w:rsidRPr="00A808AC" w:rsidRDefault="005A3D7D" w:rsidP="000D02CF">
      <w:pPr>
        <w:spacing w:line="240" w:lineRule="auto"/>
        <w:rPr>
          <w:rFonts w:eastAsia="MS Mincho"/>
          <w:lang w:eastAsia="ja-JP"/>
        </w:rPr>
      </w:pPr>
      <w:r w:rsidRPr="00A808AC">
        <w:t>Table</w:t>
      </w:r>
      <w:r w:rsidR="003630FC">
        <w:t> </w:t>
      </w:r>
      <w:r w:rsidR="002F0872">
        <w:t>8</w:t>
      </w:r>
      <w:r w:rsidR="00890D19" w:rsidRPr="00A808AC">
        <w:t xml:space="preserve"> </w:t>
      </w:r>
      <w:r w:rsidRPr="00A808AC">
        <w:t>shows the results of the mean (SD) absolute change in percent predicted FEV</w:t>
      </w:r>
      <w:r w:rsidRPr="00A808AC">
        <w:rPr>
          <w:vertAlign w:val="subscript"/>
        </w:rPr>
        <w:t>1</w:t>
      </w:r>
      <w:r w:rsidRPr="00A808AC">
        <w:t xml:space="preserve"> for both groups of patients. For patients in the placebo/ivacaftor group baseline percent predicted FEV</w:t>
      </w:r>
      <w:r w:rsidRPr="00A808AC">
        <w:rPr>
          <w:vertAlign w:val="subscript"/>
        </w:rPr>
        <w:t>1</w:t>
      </w:r>
      <w:r w:rsidRPr="00A808AC">
        <w:t xml:space="preserve"> is that of </w:t>
      </w:r>
      <w:r w:rsidR="0032138D">
        <w:t>study </w:t>
      </w:r>
      <w:r w:rsidRPr="00A808AC">
        <w:t>4 while for pat</w:t>
      </w:r>
      <w:r w:rsidRPr="00A808AC">
        <w:t>ients in the ivacaftor/ivacaftor group the baseline value is that of studies 1 and 2.</w:t>
      </w:r>
    </w:p>
    <w:p w14:paraId="604B10A5" w14:textId="77777777" w:rsidR="00F976E8" w:rsidRPr="00A808AC" w:rsidRDefault="00F976E8" w:rsidP="000D02CF">
      <w:pPr>
        <w:pStyle w:val="labeltext"/>
        <w:rPr>
          <w:rFonts w:eastAsia="MS Mincho"/>
          <w:sz w:val="22"/>
          <w:szCs w:val="22"/>
          <w:lang w:val="en-GB" w:eastAsia="ja-JP"/>
        </w:rPr>
      </w:pPr>
    </w:p>
    <w:p w14:paraId="3ACA75B0" w14:textId="7064FD8A" w:rsidR="006C332B" w:rsidRDefault="005A3D7D" w:rsidP="000A093B">
      <w:pPr>
        <w:pStyle w:val="labeltext"/>
        <w:keepNext/>
        <w:spacing w:after="120"/>
        <w:rPr>
          <w:b/>
          <w:sz w:val="22"/>
          <w:szCs w:val="22"/>
        </w:rPr>
      </w:pPr>
      <w:r w:rsidRPr="00C10EB2">
        <w:rPr>
          <w:b/>
          <w:sz w:val="22"/>
          <w:szCs w:val="22"/>
        </w:rPr>
        <w:t>Table</w:t>
      </w:r>
      <w:r w:rsidR="006E250C">
        <w:rPr>
          <w:b/>
          <w:sz w:val="22"/>
          <w:szCs w:val="22"/>
        </w:rPr>
        <w:t> </w:t>
      </w:r>
      <w:r w:rsidR="002F0872">
        <w:rPr>
          <w:b/>
          <w:sz w:val="22"/>
          <w:szCs w:val="22"/>
        </w:rPr>
        <w:t>8</w:t>
      </w:r>
      <w:r>
        <w:rPr>
          <w:b/>
          <w:sz w:val="22"/>
          <w:szCs w:val="22"/>
        </w:rPr>
        <w:t>:</w:t>
      </w:r>
      <w:r w:rsidRPr="00C10EB2">
        <w:rPr>
          <w:b/>
          <w:sz w:val="22"/>
          <w:szCs w:val="22"/>
        </w:rPr>
        <w:t xml:space="preserve"> Effect of ivacaftor on percent predicted FEV</w:t>
      </w:r>
      <w:r w:rsidRPr="00491009">
        <w:rPr>
          <w:vertAlign w:val="subscript"/>
        </w:rPr>
        <w:t>1</w:t>
      </w:r>
      <w:r w:rsidRPr="00C10EB2">
        <w:rPr>
          <w:b/>
          <w:sz w:val="22"/>
          <w:szCs w:val="22"/>
        </w:rPr>
        <w:t xml:space="preserve"> in </w:t>
      </w:r>
      <w:r w:rsidR="0032138D">
        <w:rPr>
          <w:b/>
          <w:sz w:val="22"/>
          <w:szCs w:val="22"/>
        </w:rPr>
        <w:t>study </w:t>
      </w:r>
      <w:r w:rsidRPr="00C10EB2">
        <w:rPr>
          <w:b/>
          <w:sz w:val="22"/>
          <w:szCs w:val="22"/>
        </w:rPr>
        <w:t>4</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847"/>
        <w:gridCol w:w="1336"/>
        <w:gridCol w:w="2845"/>
      </w:tblGrid>
      <w:tr w:rsidR="00476058" w14:paraId="5ADE4E2B" w14:textId="77777777" w:rsidTr="007B0741">
        <w:tc>
          <w:tcPr>
            <w:tcW w:w="1097" w:type="pct"/>
          </w:tcPr>
          <w:p w14:paraId="0411C26C" w14:textId="77777777" w:rsidR="00F976E8" w:rsidRPr="00A808AC" w:rsidRDefault="005A3D7D" w:rsidP="000A093B">
            <w:pPr>
              <w:keepNext/>
              <w:spacing w:line="240" w:lineRule="auto"/>
              <w:rPr>
                <w:rFonts w:eastAsia="MS Mincho"/>
                <w:lang w:eastAsia="ja-JP"/>
              </w:rPr>
            </w:pPr>
            <w:r w:rsidRPr="00A808AC">
              <w:rPr>
                <w:b/>
              </w:rPr>
              <w:t>Original study and treatment group</w:t>
            </w:r>
          </w:p>
        </w:tc>
        <w:tc>
          <w:tcPr>
            <w:tcW w:w="1581" w:type="pct"/>
          </w:tcPr>
          <w:p w14:paraId="385C68C6" w14:textId="77777777" w:rsidR="00F976E8" w:rsidRPr="00A808AC" w:rsidRDefault="005A3D7D" w:rsidP="000A093B">
            <w:pPr>
              <w:keepNext/>
              <w:spacing w:line="240" w:lineRule="auto"/>
              <w:jc w:val="center"/>
              <w:rPr>
                <w:rFonts w:eastAsia="MS Mincho"/>
                <w:lang w:eastAsia="ja-JP"/>
              </w:rPr>
            </w:pPr>
            <w:r w:rsidRPr="00A808AC">
              <w:rPr>
                <w:b/>
              </w:rPr>
              <w:t>Duration of ivacaftor treatment (</w:t>
            </w:r>
            <w:r w:rsidR="00C72FA0">
              <w:rPr>
                <w:b/>
              </w:rPr>
              <w:t>w</w:t>
            </w:r>
            <w:r w:rsidR="007262E5" w:rsidRPr="00A808AC">
              <w:rPr>
                <w:b/>
              </w:rPr>
              <w:t>eeks</w:t>
            </w:r>
            <w:r w:rsidRPr="00A808AC">
              <w:rPr>
                <w:b/>
              </w:rPr>
              <w:t>)</w:t>
            </w:r>
          </w:p>
        </w:tc>
        <w:tc>
          <w:tcPr>
            <w:tcW w:w="2322" w:type="pct"/>
            <w:gridSpan w:val="2"/>
          </w:tcPr>
          <w:p w14:paraId="4C2C4EF8" w14:textId="77777777" w:rsidR="00F976E8" w:rsidRPr="00A808AC" w:rsidRDefault="005A3D7D" w:rsidP="00095957">
            <w:pPr>
              <w:keepNext/>
              <w:spacing w:line="240" w:lineRule="auto"/>
              <w:jc w:val="center"/>
              <w:rPr>
                <w:rFonts w:eastAsia="MS Mincho"/>
                <w:lang w:eastAsia="ja-JP"/>
              </w:rPr>
            </w:pPr>
            <w:r w:rsidRPr="00A808AC">
              <w:rPr>
                <w:b/>
              </w:rPr>
              <w:t xml:space="preserve">Absolute change from </w:t>
            </w:r>
            <w:r w:rsidRPr="00A808AC">
              <w:rPr>
                <w:b/>
              </w:rPr>
              <w:t>baseline in percent predicted FEV</w:t>
            </w:r>
            <w:r w:rsidRPr="00A808AC">
              <w:rPr>
                <w:b/>
                <w:vertAlign w:val="subscript"/>
              </w:rPr>
              <w:t xml:space="preserve">1 </w:t>
            </w:r>
            <w:r w:rsidRPr="00A808AC">
              <w:rPr>
                <w:b/>
              </w:rPr>
              <w:t>(percentage points)</w:t>
            </w:r>
          </w:p>
        </w:tc>
      </w:tr>
      <w:tr w:rsidR="00476058" w14:paraId="2FFE92D4" w14:textId="77777777" w:rsidTr="007B0741">
        <w:tc>
          <w:tcPr>
            <w:tcW w:w="1097" w:type="pct"/>
          </w:tcPr>
          <w:p w14:paraId="1D69ABCD" w14:textId="77777777" w:rsidR="00F976E8" w:rsidRPr="00A808AC" w:rsidRDefault="00F976E8" w:rsidP="000D02CF">
            <w:pPr>
              <w:spacing w:line="240" w:lineRule="auto"/>
              <w:rPr>
                <w:b/>
              </w:rPr>
            </w:pPr>
          </w:p>
        </w:tc>
        <w:tc>
          <w:tcPr>
            <w:tcW w:w="1581" w:type="pct"/>
          </w:tcPr>
          <w:p w14:paraId="79F0ABB0" w14:textId="77777777" w:rsidR="00F976E8" w:rsidRPr="00A808AC" w:rsidRDefault="00F976E8" w:rsidP="000D02CF">
            <w:pPr>
              <w:spacing w:line="240" w:lineRule="auto"/>
              <w:jc w:val="center"/>
              <w:rPr>
                <w:b/>
              </w:rPr>
            </w:pPr>
          </w:p>
        </w:tc>
        <w:tc>
          <w:tcPr>
            <w:tcW w:w="742" w:type="pct"/>
          </w:tcPr>
          <w:p w14:paraId="20F78570" w14:textId="77777777" w:rsidR="00F976E8" w:rsidRPr="00A808AC" w:rsidRDefault="005A3D7D" w:rsidP="000D02CF">
            <w:pPr>
              <w:spacing w:line="240" w:lineRule="auto"/>
              <w:jc w:val="center"/>
              <w:rPr>
                <w:b/>
              </w:rPr>
            </w:pPr>
            <w:r w:rsidRPr="00A808AC">
              <w:rPr>
                <w:b/>
              </w:rPr>
              <w:t>N</w:t>
            </w:r>
          </w:p>
        </w:tc>
        <w:tc>
          <w:tcPr>
            <w:tcW w:w="1580" w:type="pct"/>
          </w:tcPr>
          <w:p w14:paraId="52C6CEF6" w14:textId="77777777" w:rsidR="00F976E8" w:rsidRPr="00A808AC" w:rsidRDefault="005A3D7D" w:rsidP="000D02CF">
            <w:pPr>
              <w:keepNext/>
              <w:tabs>
                <w:tab w:val="clear" w:pos="567"/>
              </w:tabs>
              <w:spacing w:line="240" w:lineRule="auto"/>
              <w:jc w:val="center"/>
              <w:rPr>
                <w:b/>
              </w:rPr>
            </w:pPr>
            <w:r w:rsidRPr="00A808AC">
              <w:rPr>
                <w:b/>
              </w:rPr>
              <w:t>Mean (SD)</w:t>
            </w:r>
          </w:p>
        </w:tc>
      </w:tr>
      <w:tr w:rsidR="00476058" w14:paraId="251D924A" w14:textId="77777777" w:rsidTr="007B0741">
        <w:tc>
          <w:tcPr>
            <w:tcW w:w="5000" w:type="pct"/>
            <w:gridSpan w:val="4"/>
          </w:tcPr>
          <w:p w14:paraId="5453923A" w14:textId="6D5F81C1" w:rsidR="00F976E8" w:rsidRPr="00A808AC" w:rsidRDefault="005A3D7D" w:rsidP="000D02CF">
            <w:pPr>
              <w:spacing w:line="240" w:lineRule="auto"/>
              <w:rPr>
                <w:b/>
              </w:rPr>
            </w:pPr>
            <w:r>
              <w:rPr>
                <w:b/>
              </w:rPr>
              <w:t>Study </w:t>
            </w:r>
            <w:r w:rsidR="009B1867" w:rsidRPr="00A808AC">
              <w:rPr>
                <w:b/>
              </w:rPr>
              <w:t>1</w:t>
            </w:r>
          </w:p>
        </w:tc>
      </w:tr>
      <w:tr w:rsidR="00476058" w14:paraId="49099AC4" w14:textId="77777777" w:rsidTr="007B0741">
        <w:tc>
          <w:tcPr>
            <w:tcW w:w="1097" w:type="pct"/>
          </w:tcPr>
          <w:p w14:paraId="7A81E4D7" w14:textId="77777777" w:rsidR="00F976E8" w:rsidRPr="00A808AC" w:rsidRDefault="005A3D7D" w:rsidP="000D02CF">
            <w:pPr>
              <w:spacing w:line="240" w:lineRule="auto"/>
              <w:ind w:left="567"/>
              <w:rPr>
                <w:b/>
              </w:rPr>
            </w:pPr>
            <w:r w:rsidRPr="00A808AC">
              <w:rPr>
                <w:b/>
              </w:rPr>
              <w:t>Ivacaftor</w:t>
            </w:r>
          </w:p>
        </w:tc>
        <w:tc>
          <w:tcPr>
            <w:tcW w:w="1581" w:type="pct"/>
          </w:tcPr>
          <w:p w14:paraId="643502A4" w14:textId="77777777" w:rsidR="00F976E8" w:rsidRPr="00A808AC" w:rsidRDefault="005A3D7D" w:rsidP="000D02CF">
            <w:pPr>
              <w:tabs>
                <w:tab w:val="clear" w:pos="567"/>
              </w:tabs>
              <w:spacing w:line="240" w:lineRule="auto"/>
              <w:jc w:val="center"/>
            </w:pPr>
            <w:r w:rsidRPr="00A808AC">
              <w:t>48</w:t>
            </w:r>
            <w:r w:rsidRPr="007B0741">
              <w:rPr>
                <w:vertAlign w:val="superscript"/>
              </w:rPr>
              <w:t>*</w:t>
            </w:r>
          </w:p>
        </w:tc>
        <w:tc>
          <w:tcPr>
            <w:tcW w:w="742" w:type="pct"/>
          </w:tcPr>
          <w:p w14:paraId="60B33534" w14:textId="77777777" w:rsidR="00F976E8" w:rsidRPr="00A808AC" w:rsidRDefault="005A3D7D" w:rsidP="000D02CF">
            <w:pPr>
              <w:spacing w:line="240" w:lineRule="auto"/>
              <w:jc w:val="center"/>
            </w:pPr>
            <w:r w:rsidRPr="00A808AC">
              <w:t>77</w:t>
            </w:r>
          </w:p>
        </w:tc>
        <w:tc>
          <w:tcPr>
            <w:tcW w:w="1580" w:type="pct"/>
          </w:tcPr>
          <w:p w14:paraId="560CEDBF" w14:textId="77777777" w:rsidR="00F976E8" w:rsidRPr="00A808AC" w:rsidRDefault="005A3D7D" w:rsidP="000D02CF">
            <w:pPr>
              <w:tabs>
                <w:tab w:val="clear" w:pos="567"/>
              </w:tabs>
              <w:spacing w:line="240" w:lineRule="auto"/>
              <w:jc w:val="center"/>
            </w:pPr>
            <w:r w:rsidRPr="00A808AC">
              <w:t>9.4 (8.3)</w:t>
            </w:r>
          </w:p>
        </w:tc>
      </w:tr>
      <w:tr w:rsidR="00476058" w14:paraId="5D90B81C" w14:textId="77777777" w:rsidTr="007B0741">
        <w:tc>
          <w:tcPr>
            <w:tcW w:w="1097" w:type="pct"/>
          </w:tcPr>
          <w:p w14:paraId="10833E01" w14:textId="77777777" w:rsidR="00F976E8" w:rsidRPr="00A808AC" w:rsidRDefault="00F976E8" w:rsidP="000D02CF">
            <w:pPr>
              <w:spacing w:line="240" w:lineRule="auto"/>
              <w:rPr>
                <w:b/>
              </w:rPr>
            </w:pPr>
          </w:p>
        </w:tc>
        <w:tc>
          <w:tcPr>
            <w:tcW w:w="1581" w:type="pct"/>
          </w:tcPr>
          <w:p w14:paraId="15EE55F4" w14:textId="77777777" w:rsidR="00F976E8" w:rsidRPr="00A808AC" w:rsidRDefault="005A3D7D" w:rsidP="000D02CF">
            <w:pPr>
              <w:spacing w:line="240" w:lineRule="auto"/>
              <w:jc w:val="center"/>
            </w:pPr>
            <w:r w:rsidRPr="00A808AC">
              <w:t>144</w:t>
            </w:r>
          </w:p>
        </w:tc>
        <w:tc>
          <w:tcPr>
            <w:tcW w:w="742" w:type="pct"/>
          </w:tcPr>
          <w:p w14:paraId="73641DD8" w14:textId="77777777" w:rsidR="00F976E8" w:rsidRPr="00A808AC" w:rsidRDefault="005A3D7D" w:rsidP="000D02CF">
            <w:pPr>
              <w:spacing w:line="240" w:lineRule="auto"/>
              <w:jc w:val="center"/>
            </w:pPr>
            <w:r w:rsidRPr="00A808AC">
              <w:t>72</w:t>
            </w:r>
          </w:p>
        </w:tc>
        <w:tc>
          <w:tcPr>
            <w:tcW w:w="1580" w:type="pct"/>
          </w:tcPr>
          <w:p w14:paraId="62D9EE1D" w14:textId="77777777" w:rsidR="00F976E8" w:rsidRPr="00A808AC" w:rsidRDefault="005A3D7D" w:rsidP="000D02CF">
            <w:pPr>
              <w:tabs>
                <w:tab w:val="clear" w:pos="567"/>
              </w:tabs>
              <w:spacing w:line="240" w:lineRule="auto"/>
              <w:jc w:val="center"/>
            </w:pPr>
            <w:r w:rsidRPr="00A808AC">
              <w:t>9.4 (10.8)</w:t>
            </w:r>
          </w:p>
        </w:tc>
      </w:tr>
      <w:tr w:rsidR="00476058" w14:paraId="6D11383B" w14:textId="77777777" w:rsidTr="007B0741">
        <w:tc>
          <w:tcPr>
            <w:tcW w:w="1097" w:type="pct"/>
          </w:tcPr>
          <w:p w14:paraId="13F3E164" w14:textId="77777777" w:rsidR="00F976E8" w:rsidRPr="00A808AC" w:rsidRDefault="005A3D7D" w:rsidP="000D02CF">
            <w:pPr>
              <w:spacing w:line="240" w:lineRule="auto"/>
              <w:ind w:left="567"/>
              <w:rPr>
                <w:b/>
              </w:rPr>
            </w:pPr>
            <w:r w:rsidRPr="00A808AC">
              <w:rPr>
                <w:b/>
              </w:rPr>
              <w:t>Placebo</w:t>
            </w:r>
          </w:p>
        </w:tc>
        <w:tc>
          <w:tcPr>
            <w:tcW w:w="1581" w:type="pct"/>
          </w:tcPr>
          <w:p w14:paraId="0E1A7D4B" w14:textId="77777777" w:rsidR="00F976E8" w:rsidRPr="00A808AC" w:rsidRDefault="005A3D7D" w:rsidP="000D02CF">
            <w:pPr>
              <w:spacing w:line="240" w:lineRule="auto"/>
              <w:jc w:val="center"/>
            </w:pPr>
            <w:r w:rsidRPr="00A808AC">
              <w:t>0</w:t>
            </w:r>
            <w:r w:rsidRPr="007B0741">
              <w:rPr>
                <w:vertAlign w:val="superscript"/>
              </w:rPr>
              <w:t>*</w:t>
            </w:r>
          </w:p>
        </w:tc>
        <w:tc>
          <w:tcPr>
            <w:tcW w:w="742" w:type="pct"/>
          </w:tcPr>
          <w:p w14:paraId="2945500F" w14:textId="77777777" w:rsidR="00F976E8" w:rsidRPr="00A808AC" w:rsidRDefault="005A3D7D" w:rsidP="000D02CF">
            <w:pPr>
              <w:spacing w:line="240" w:lineRule="auto"/>
              <w:jc w:val="center"/>
            </w:pPr>
            <w:r w:rsidRPr="00A808AC">
              <w:t>67</w:t>
            </w:r>
          </w:p>
        </w:tc>
        <w:tc>
          <w:tcPr>
            <w:tcW w:w="1580" w:type="pct"/>
          </w:tcPr>
          <w:p w14:paraId="631D108F" w14:textId="77777777" w:rsidR="00F976E8" w:rsidRPr="00A808AC" w:rsidRDefault="005A3D7D" w:rsidP="000D02CF">
            <w:pPr>
              <w:tabs>
                <w:tab w:val="clear" w:pos="567"/>
              </w:tabs>
              <w:spacing w:line="240" w:lineRule="auto"/>
              <w:jc w:val="center"/>
            </w:pPr>
            <w:r>
              <w:noBreakHyphen/>
            </w:r>
            <w:r w:rsidR="00EA039D" w:rsidRPr="00A808AC">
              <w:t>1.2 (7.8)</w:t>
            </w:r>
            <w:r w:rsidR="00EA039D" w:rsidRPr="007B0741">
              <w:rPr>
                <w:position w:val="6"/>
                <w:vertAlign w:val="superscript"/>
              </w:rPr>
              <w:t>†</w:t>
            </w:r>
          </w:p>
        </w:tc>
      </w:tr>
      <w:tr w:rsidR="00476058" w14:paraId="5136CDC7" w14:textId="77777777" w:rsidTr="007B0741">
        <w:tc>
          <w:tcPr>
            <w:tcW w:w="1097" w:type="pct"/>
          </w:tcPr>
          <w:p w14:paraId="48A71A0E" w14:textId="77777777" w:rsidR="00F976E8" w:rsidRPr="00A808AC" w:rsidRDefault="00F976E8" w:rsidP="000D02CF">
            <w:pPr>
              <w:spacing w:line="240" w:lineRule="auto"/>
              <w:rPr>
                <w:b/>
              </w:rPr>
            </w:pPr>
          </w:p>
        </w:tc>
        <w:tc>
          <w:tcPr>
            <w:tcW w:w="1581" w:type="pct"/>
          </w:tcPr>
          <w:p w14:paraId="4D9F7735" w14:textId="77777777" w:rsidR="00F976E8" w:rsidRPr="00A808AC" w:rsidRDefault="005A3D7D" w:rsidP="000D02CF">
            <w:pPr>
              <w:spacing w:line="240" w:lineRule="auto"/>
              <w:jc w:val="center"/>
            </w:pPr>
            <w:r w:rsidRPr="00A808AC">
              <w:t>96</w:t>
            </w:r>
          </w:p>
        </w:tc>
        <w:tc>
          <w:tcPr>
            <w:tcW w:w="742" w:type="pct"/>
          </w:tcPr>
          <w:p w14:paraId="79AD0A36" w14:textId="77777777" w:rsidR="00F976E8" w:rsidRPr="00A808AC" w:rsidRDefault="005A3D7D" w:rsidP="000D02CF">
            <w:pPr>
              <w:spacing w:line="240" w:lineRule="auto"/>
              <w:jc w:val="center"/>
            </w:pPr>
            <w:r w:rsidRPr="00A808AC">
              <w:t>55</w:t>
            </w:r>
          </w:p>
        </w:tc>
        <w:tc>
          <w:tcPr>
            <w:tcW w:w="1580" w:type="pct"/>
          </w:tcPr>
          <w:p w14:paraId="7E6DB146" w14:textId="77777777" w:rsidR="00F976E8" w:rsidRPr="00A808AC" w:rsidRDefault="005A3D7D" w:rsidP="000D02CF">
            <w:pPr>
              <w:tabs>
                <w:tab w:val="clear" w:pos="567"/>
              </w:tabs>
              <w:spacing w:line="240" w:lineRule="auto"/>
              <w:jc w:val="center"/>
            </w:pPr>
            <w:r w:rsidRPr="00A808AC">
              <w:t>9.5 (11.2)</w:t>
            </w:r>
          </w:p>
        </w:tc>
      </w:tr>
      <w:tr w:rsidR="00476058" w14:paraId="7DE17F58" w14:textId="77777777" w:rsidTr="007B0741">
        <w:tc>
          <w:tcPr>
            <w:tcW w:w="5000" w:type="pct"/>
            <w:gridSpan w:val="4"/>
          </w:tcPr>
          <w:p w14:paraId="3E81352B" w14:textId="0401B53D" w:rsidR="00F976E8" w:rsidRPr="00A808AC" w:rsidRDefault="005A3D7D" w:rsidP="000D02CF">
            <w:pPr>
              <w:spacing w:line="240" w:lineRule="auto"/>
              <w:rPr>
                <w:b/>
              </w:rPr>
            </w:pPr>
            <w:r>
              <w:rPr>
                <w:b/>
              </w:rPr>
              <w:t>Study </w:t>
            </w:r>
            <w:r w:rsidR="009B1867" w:rsidRPr="00A808AC">
              <w:rPr>
                <w:b/>
              </w:rPr>
              <w:t>2</w:t>
            </w:r>
          </w:p>
        </w:tc>
      </w:tr>
      <w:tr w:rsidR="00476058" w14:paraId="7DEA39D2" w14:textId="77777777" w:rsidTr="007B0741">
        <w:tc>
          <w:tcPr>
            <w:tcW w:w="1097" w:type="pct"/>
          </w:tcPr>
          <w:p w14:paraId="4EDF532C" w14:textId="77777777" w:rsidR="00F976E8" w:rsidRPr="00A808AC" w:rsidRDefault="005A3D7D" w:rsidP="000D02CF">
            <w:pPr>
              <w:spacing w:line="240" w:lineRule="auto"/>
              <w:ind w:left="567"/>
              <w:rPr>
                <w:b/>
              </w:rPr>
            </w:pPr>
            <w:r w:rsidRPr="00A808AC">
              <w:rPr>
                <w:b/>
              </w:rPr>
              <w:t>Ivacaftor</w:t>
            </w:r>
          </w:p>
        </w:tc>
        <w:tc>
          <w:tcPr>
            <w:tcW w:w="1581" w:type="pct"/>
          </w:tcPr>
          <w:p w14:paraId="688690BB" w14:textId="77777777" w:rsidR="00F976E8" w:rsidRPr="00A808AC" w:rsidRDefault="005A3D7D" w:rsidP="000D02CF">
            <w:pPr>
              <w:tabs>
                <w:tab w:val="clear" w:pos="567"/>
              </w:tabs>
              <w:spacing w:line="240" w:lineRule="auto"/>
              <w:jc w:val="center"/>
            </w:pPr>
            <w:r w:rsidRPr="00A808AC">
              <w:t>48</w:t>
            </w:r>
            <w:r w:rsidRPr="007B0741">
              <w:rPr>
                <w:vertAlign w:val="superscript"/>
              </w:rPr>
              <w:t>*</w:t>
            </w:r>
          </w:p>
        </w:tc>
        <w:tc>
          <w:tcPr>
            <w:tcW w:w="742" w:type="pct"/>
          </w:tcPr>
          <w:p w14:paraId="0D6B364B" w14:textId="77777777" w:rsidR="00F976E8" w:rsidRPr="00A808AC" w:rsidRDefault="005A3D7D" w:rsidP="000D02CF">
            <w:pPr>
              <w:spacing w:line="240" w:lineRule="auto"/>
              <w:jc w:val="center"/>
            </w:pPr>
            <w:r w:rsidRPr="00A808AC">
              <w:t>26</w:t>
            </w:r>
          </w:p>
        </w:tc>
        <w:tc>
          <w:tcPr>
            <w:tcW w:w="1580" w:type="pct"/>
          </w:tcPr>
          <w:p w14:paraId="650EA559" w14:textId="77777777" w:rsidR="00F976E8" w:rsidRPr="00A808AC" w:rsidRDefault="005A3D7D" w:rsidP="000D02CF">
            <w:pPr>
              <w:tabs>
                <w:tab w:val="clear" w:pos="567"/>
              </w:tabs>
              <w:spacing w:line="240" w:lineRule="auto"/>
              <w:jc w:val="center"/>
            </w:pPr>
            <w:r w:rsidRPr="00A808AC">
              <w:t>10.2 (15.7)</w:t>
            </w:r>
          </w:p>
        </w:tc>
      </w:tr>
      <w:tr w:rsidR="00476058" w14:paraId="2619472A" w14:textId="77777777" w:rsidTr="007B0741">
        <w:tc>
          <w:tcPr>
            <w:tcW w:w="1097" w:type="pct"/>
          </w:tcPr>
          <w:p w14:paraId="1DB91C1C" w14:textId="77777777" w:rsidR="00F976E8" w:rsidRPr="00A808AC" w:rsidRDefault="00F976E8" w:rsidP="000D02CF">
            <w:pPr>
              <w:spacing w:line="240" w:lineRule="auto"/>
              <w:rPr>
                <w:b/>
              </w:rPr>
            </w:pPr>
          </w:p>
        </w:tc>
        <w:tc>
          <w:tcPr>
            <w:tcW w:w="1581" w:type="pct"/>
          </w:tcPr>
          <w:p w14:paraId="61782A86" w14:textId="77777777" w:rsidR="00F976E8" w:rsidRPr="00A808AC" w:rsidRDefault="005A3D7D" w:rsidP="000D02CF">
            <w:pPr>
              <w:tabs>
                <w:tab w:val="clear" w:pos="567"/>
              </w:tabs>
              <w:spacing w:line="240" w:lineRule="auto"/>
              <w:jc w:val="center"/>
            </w:pPr>
            <w:r w:rsidRPr="00A808AC">
              <w:t>144</w:t>
            </w:r>
          </w:p>
        </w:tc>
        <w:tc>
          <w:tcPr>
            <w:tcW w:w="742" w:type="pct"/>
          </w:tcPr>
          <w:p w14:paraId="5A04340A" w14:textId="77777777" w:rsidR="00F976E8" w:rsidRPr="00A808AC" w:rsidRDefault="005A3D7D" w:rsidP="000D02CF">
            <w:pPr>
              <w:spacing w:line="240" w:lineRule="auto"/>
              <w:jc w:val="center"/>
            </w:pPr>
            <w:r w:rsidRPr="00A808AC">
              <w:t>25</w:t>
            </w:r>
          </w:p>
        </w:tc>
        <w:tc>
          <w:tcPr>
            <w:tcW w:w="1580" w:type="pct"/>
          </w:tcPr>
          <w:p w14:paraId="6E4D49E8" w14:textId="77777777" w:rsidR="00F976E8" w:rsidRPr="00A808AC" w:rsidRDefault="005A3D7D" w:rsidP="000D02CF">
            <w:pPr>
              <w:tabs>
                <w:tab w:val="clear" w:pos="567"/>
              </w:tabs>
              <w:spacing w:line="240" w:lineRule="auto"/>
              <w:jc w:val="center"/>
            </w:pPr>
            <w:r w:rsidRPr="00A808AC">
              <w:t>10.3 (12.4)</w:t>
            </w:r>
          </w:p>
        </w:tc>
      </w:tr>
      <w:tr w:rsidR="00476058" w14:paraId="5EA1F2B3" w14:textId="77777777" w:rsidTr="007B0741">
        <w:tc>
          <w:tcPr>
            <w:tcW w:w="1097" w:type="pct"/>
          </w:tcPr>
          <w:p w14:paraId="32CBCFBB" w14:textId="77777777" w:rsidR="00F976E8" w:rsidRPr="00A808AC" w:rsidRDefault="005A3D7D" w:rsidP="000D02CF">
            <w:pPr>
              <w:spacing w:line="240" w:lineRule="auto"/>
              <w:ind w:left="567"/>
              <w:rPr>
                <w:b/>
              </w:rPr>
            </w:pPr>
            <w:r w:rsidRPr="00A808AC">
              <w:rPr>
                <w:b/>
              </w:rPr>
              <w:t>Placebo</w:t>
            </w:r>
          </w:p>
        </w:tc>
        <w:tc>
          <w:tcPr>
            <w:tcW w:w="1581" w:type="pct"/>
          </w:tcPr>
          <w:p w14:paraId="4FECF89F" w14:textId="77777777" w:rsidR="00F976E8" w:rsidRPr="00A808AC" w:rsidRDefault="005A3D7D" w:rsidP="000D02CF">
            <w:pPr>
              <w:tabs>
                <w:tab w:val="clear" w:pos="567"/>
              </w:tabs>
              <w:spacing w:line="240" w:lineRule="auto"/>
              <w:jc w:val="center"/>
            </w:pPr>
            <w:r w:rsidRPr="00A808AC">
              <w:t>0</w:t>
            </w:r>
            <w:r w:rsidRPr="007B0741">
              <w:rPr>
                <w:vertAlign w:val="superscript"/>
              </w:rPr>
              <w:t>*</w:t>
            </w:r>
          </w:p>
        </w:tc>
        <w:tc>
          <w:tcPr>
            <w:tcW w:w="742" w:type="pct"/>
          </w:tcPr>
          <w:p w14:paraId="510AD4BC" w14:textId="77777777" w:rsidR="00F976E8" w:rsidRPr="00A808AC" w:rsidRDefault="005A3D7D" w:rsidP="000D02CF">
            <w:pPr>
              <w:spacing w:line="240" w:lineRule="auto"/>
              <w:jc w:val="center"/>
            </w:pPr>
            <w:r w:rsidRPr="00A808AC">
              <w:t>22</w:t>
            </w:r>
          </w:p>
        </w:tc>
        <w:tc>
          <w:tcPr>
            <w:tcW w:w="1580" w:type="pct"/>
          </w:tcPr>
          <w:p w14:paraId="27901C7F" w14:textId="77777777" w:rsidR="00F976E8" w:rsidRPr="00A808AC" w:rsidRDefault="005A3D7D" w:rsidP="000D02CF">
            <w:pPr>
              <w:tabs>
                <w:tab w:val="clear" w:pos="567"/>
              </w:tabs>
              <w:spacing w:line="240" w:lineRule="auto"/>
              <w:jc w:val="center"/>
            </w:pPr>
            <w:r>
              <w:noBreakHyphen/>
            </w:r>
            <w:r w:rsidR="00EA039D" w:rsidRPr="00A808AC">
              <w:t>0.6 (10.1)</w:t>
            </w:r>
            <w:r w:rsidR="00EA039D" w:rsidRPr="007B0741">
              <w:rPr>
                <w:position w:val="6"/>
                <w:vertAlign w:val="superscript"/>
              </w:rPr>
              <w:t>†</w:t>
            </w:r>
          </w:p>
        </w:tc>
      </w:tr>
      <w:tr w:rsidR="00476058" w14:paraId="042B5B82" w14:textId="77777777" w:rsidTr="007B0741">
        <w:tc>
          <w:tcPr>
            <w:tcW w:w="1097" w:type="pct"/>
          </w:tcPr>
          <w:p w14:paraId="05E8B092" w14:textId="77777777" w:rsidR="00F976E8" w:rsidRPr="00A808AC" w:rsidRDefault="00F976E8" w:rsidP="000D02CF">
            <w:pPr>
              <w:spacing w:line="240" w:lineRule="auto"/>
              <w:rPr>
                <w:b/>
              </w:rPr>
            </w:pPr>
          </w:p>
        </w:tc>
        <w:tc>
          <w:tcPr>
            <w:tcW w:w="1581" w:type="pct"/>
          </w:tcPr>
          <w:p w14:paraId="4ACA87F6" w14:textId="77777777" w:rsidR="00F976E8" w:rsidRPr="00A808AC" w:rsidRDefault="005A3D7D" w:rsidP="000D02CF">
            <w:pPr>
              <w:tabs>
                <w:tab w:val="clear" w:pos="567"/>
              </w:tabs>
              <w:spacing w:line="240" w:lineRule="auto"/>
              <w:jc w:val="center"/>
            </w:pPr>
            <w:r w:rsidRPr="00A808AC">
              <w:t>96</w:t>
            </w:r>
          </w:p>
        </w:tc>
        <w:tc>
          <w:tcPr>
            <w:tcW w:w="742" w:type="pct"/>
          </w:tcPr>
          <w:p w14:paraId="56CEC7AD" w14:textId="77777777" w:rsidR="00F976E8" w:rsidRPr="00A808AC" w:rsidRDefault="005A3D7D" w:rsidP="000D02CF">
            <w:pPr>
              <w:spacing w:line="240" w:lineRule="auto"/>
              <w:jc w:val="center"/>
            </w:pPr>
            <w:r w:rsidRPr="00A808AC">
              <w:t>21</w:t>
            </w:r>
          </w:p>
        </w:tc>
        <w:tc>
          <w:tcPr>
            <w:tcW w:w="1580" w:type="pct"/>
          </w:tcPr>
          <w:p w14:paraId="55CF137C" w14:textId="77777777" w:rsidR="00F976E8" w:rsidRPr="00A808AC" w:rsidRDefault="005A3D7D" w:rsidP="000D02CF">
            <w:pPr>
              <w:tabs>
                <w:tab w:val="clear" w:pos="567"/>
              </w:tabs>
              <w:spacing w:line="240" w:lineRule="auto"/>
              <w:jc w:val="center"/>
            </w:pPr>
            <w:r w:rsidRPr="00A808AC">
              <w:t>10.5 (11.5)</w:t>
            </w:r>
          </w:p>
        </w:tc>
      </w:tr>
    </w:tbl>
    <w:p w14:paraId="0E624D71" w14:textId="320361B3" w:rsidR="003577F4" w:rsidRPr="00F812DF" w:rsidRDefault="005A3D7D" w:rsidP="000A093B">
      <w:pPr>
        <w:keepNext/>
        <w:tabs>
          <w:tab w:val="clear" w:pos="567"/>
        </w:tabs>
        <w:spacing w:line="240" w:lineRule="auto"/>
        <w:ind w:left="288" w:hanging="288"/>
        <w:rPr>
          <w:sz w:val="18"/>
          <w:szCs w:val="18"/>
        </w:rPr>
      </w:pPr>
      <w:r w:rsidRPr="00F812DF">
        <w:rPr>
          <w:sz w:val="18"/>
          <w:szCs w:val="18"/>
          <w:vertAlign w:val="superscript"/>
        </w:rPr>
        <w:t>*</w:t>
      </w:r>
      <w:r w:rsidRPr="00F812DF">
        <w:rPr>
          <w:sz w:val="18"/>
          <w:szCs w:val="18"/>
        </w:rPr>
        <w:tab/>
        <w:t>Treatment occurred during blinded, controlled, 48</w:t>
      </w:r>
      <w:r w:rsidRPr="00F812DF">
        <w:rPr>
          <w:sz w:val="18"/>
          <w:szCs w:val="18"/>
        </w:rPr>
        <w:noBreakHyphen/>
        <w:t xml:space="preserve">week </w:t>
      </w:r>
      <w:r w:rsidR="00BA40DB">
        <w:rPr>
          <w:sz w:val="18"/>
          <w:szCs w:val="18"/>
        </w:rPr>
        <w:t>p</w:t>
      </w:r>
      <w:r w:rsidRPr="00F812DF">
        <w:rPr>
          <w:sz w:val="18"/>
          <w:szCs w:val="18"/>
        </w:rPr>
        <w:t>hase</w:t>
      </w:r>
      <w:r w:rsidR="003C40BF">
        <w:rPr>
          <w:sz w:val="18"/>
          <w:szCs w:val="18"/>
        </w:rPr>
        <w:t> </w:t>
      </w:r>
      <w:r w:rsidRPr="00F812DF">
        <w:rPr>
          <w:sz w:val="18"/>
          <w:szCs w:val="18"/>
        </w:rPr>
        <w:t>3 study.</w:t>
      </w:r>
    </w:p>
    <w:p w14:paraId="6C4198E7" w14:textId="77777777" w:rsidR="003577F4" w:rsidRPr="00F812DF" w:rsidRDefault="005A3D7D" w:rsidP="000A093B">
      <w:pPr>
        <w:keepNext/>
        <w:tabs>
          <w:tab w:val="clear" w:pos="567"/>
        </w:tabs>
        <w:spacing w:line="240" w:lineRule="auto"/>
        <w:ind w:left="288" w:hanging="288"/>
        <w:rPr>
          <w:sz w:val="18"/>
          <w:szCs w:val="18"/>
        </w:rPr>
      </w:pPr>
      <w:r w:rsidRPr="00F812DF">
        <w:rPr>
          <w:position w:val="6"/>
          <w:sz w:val="18"/>
          <w:szCs w:val="18"/>
          <w:vertAlign w:val="superscript"/>
        </w:rPr>
        <w:t>†</w:t>
      </w:r>
      <w:r w:rsidRPr="00F812DF">
        <w:rPr>
          <w:position w:val="6"/>
          <w:sz w:val="18"/>
          <w:szCs w:val="18"/>
        </w:rPr>
        <w:tab/>
      </w:r>
      <w:r w:rsidRPr="00F812DF">
        <w:rPr>
          <w:sz w:val="18"/>
          <w:szCs w:val="18"/>
        </w:rPr>
        <w:t>Change from prior study baseline after 48</w:t>
      </w:r>
      <w:r w:rsidR="00673FB9">
        <w:rPr>
          <w:sz w:val="18"/>
          <w:szCs w:val="18"/>
        </w:rPr>
        <w:t> </w:t>
      </w:r>
      <w:r w:rsidRPr="00F812DF">
        <w:rPr>
          <w:sz w:val="18"/>
          <w:szCs w:val="18"/>
        </w:rPr>
        <w:t>weeks of placebo treatment.</w:t>
      </w:r>
    </w:p>
    <w:p w14:paraId="2B93C03E" w14:textId="77777777" w:rsidR="00F812DF" w:rsidRPr="00EE161B" w:rsidRDefault="00F812DF" w:rsidP="00F812DF">
      <w:pPr>
        <w:tabs>
          <w:tab w:val="clear" w:pos="567"/>
        </w:tabs>
        <w:spacing w:line="240" w:lineRule="auto"/>
        <w:rPr>
          <w:rFonts w:eastAsia="MS Mincho"/>
          <w:lang w:eastAsia="ja-JP"/>
        </w:rPr>
      </w:pPr>
    </w:p>
    <w:p w14:paraId="5E42DAC5" w14:textId="03A2E5BC" w:rsidR="00F976E8" w:rsidRPr="00A808AC" w:rsidRDefault="005A3D7D" w:rsidP="000D02CF">
      <w:pPr>
        <w:pStyle w:val="labeltext"/>
        <w:rPr>
          <w:rFonts w:eastAsia="MS Mincho"/>
          <w:sz w:val="22"/>
          <w:szCs w:val="22"/>
          <w:lang w:val="en-GB" w:eastAsia="ja-JP"/>
        </w:rPr>
      </w:pPr>
      <w:r w:rsidRPr="00A808AC">
        <w:rPr>
          <w:rFonts w:eastAsia="MS Mincho"/>
          <w:sz w:val="22"/>
          <w:szCs w:val="22"/>
          <w:lang w:val="en-GB" w:eastAsia="ja-JP"/>
        </w:rPr>
        <w:t>When the mean (SD) absolute change in percent predicted FEV</w:t>
      </w:r>
      <w:r w:rsidRPr="00A808AC">
        <w:rPr>
          <w:rFonts w:eastAsia="MS Mincho"/>
          <w:sz w:val="22"/>
          <w:szCs w:val="22"/>
          <w:vertAlign w:val="subscript"/>
          <w:lang w:val="en-GB" w:eastAsia="ja-JP"/>
        </w:rPr>
        <w:t>1</w:t>
      </w:r>
      <w:r w:rsidRPr="00A808AC">
        <w:rPr>
          <w:rFonts w:eastAsia="MS Mincho"/>
          <w:sz w:val="22"/>
          <w:szCs w:val="22"/>
          <w:lang w:val="en-GB" w:eastAsia="ja-JP"/>
        </w:rPr>
        <w:t xml:space="preserve"> is compared from study</w:t>
      </w:r>
      <w:r w:rsidR="00AB6E3A">
        <w:rPr>
          <w:rFonts w:eastAsia="MS Mincho"/>
          <w:sz w:val="22"/>
          <w:szCs w:val="22"/>
          <w:lang w:val="en-GB" w:eastAsia="ja-JP"/>
        </w:rPr>
        <w:t> </w:t>
      </w:r>
      <w:r w:rsidRPr="00A808AC">
        <w:rPr>
          <w:rFonts w:eastAsia="MS Mincho"/>
          <w:sz w:val="22"/>
          <w:szCs w:val="22"/>
          <w:lang w:val="en-GB" w:eastAsia="ja-JP"/>
        </w:rPr>
        <w:t>4 baseline for patients in the ivacaftor/ivacaftor group (n</w:t>
      </w:r>
      <w:r w:rsidR="00B171E6">
        <w:rPr>
          <w:rFonts w:eastAsia="MS Mincho"/>
          <w:sz w:val="22"/>
          <w:szCs w:val="22"/>
          <w:lang w:val="en-GB" w:eastAsia="ja-JP"/>
        </w:rPr>
        <w:t> = </w:t>
      </w:r>
      <w:r w:rsidRPr="00A808AC">
        <w:rPr>
          <w:rFonts w:eastAsia="MS Mincho"/>
          <w:sz w:val="22"/>
          <w:szCs w:val="22"/>
          <w:lang w:val="en-GB" w:eastAsia="ja-JP"/>
        </w:rPr>
        <w:t xml:space="preserve">72) who rolled over from </w:t>
      </w:r>
      <w:r w:rsidR="0032138D">
        <w:rPr>
          <w:rFonts w:eastAsia="MS Mincho"/>
          <w:sz w:val="22"/>
          <w:szCs w:val="22"/>
          <w:lang w:val="en-GB" w:eastAsia="ja-JP"/>
        </w:rPr>
        <w:t>study </w:t>
      </w:r>
      <w:r w:rsidRPr="00A808AC">
        <w:rPr>
          <w:rFonts w:eastAsia="MS Mincho"/>
          <w:sz w:val="22"/>
          <w:szCs w:val="22"/>
          <w:lang w:val="en-GB" w:eastAsia="ja-JP"/>
        </w:rPr>
        <w:t>1, the mean (SD) absolute change in percent predicted FEV</w:t>
      </w:r>
      <w:r w:rsidRPr="00A808AC">
        <w:rPr>
          <w:rFonts w:eastAsia="MS Mincho"/>
          <w:sz w:val="22"/>
          <w:szCs w:val="22"/>
          <w:vertAlign w:val="subscript"/>
          <w:lang w:val="en-GB" w:eastAsia="ja-JP"/>
        </w:rPr>
        <w:t>1</w:t>
      </w:r>
      <w:r w:rsidRPr="00A808AC">
        <w:rPr>
          <w:rFonts w:eastAsia="MS Mincho"/>
          <w:sz w:val="22"/>
          <w:szCs w:val="22"/>
          <w:lang w:val="en-GB" w:eastAsia="ja-JP"/>
        </w:rPr>
        <w:t xml:space="preserve"> was 0.0% (9.05), while for patients in the ivacaftor/ivacaftor group (n</w:t>
      </w:r>
      <w:r w:rsidR="00B171E6">
        <w:rPr>
          <w:rFonts w:eastAsia="MS Mincho"/>
          <w:sz w:val="22"/>
          <w:szCs w:val="22"/>
          <w:lang w:val="en-GB" w:eastAsia="ja-JP"/>
        </w:rPr>
        <w:t> = </w:t>
      </w:r>
      <w:r w:rsidRPr="00A808AC">
        <w:rPr>
          <w:rFonts w:eastAsia="MS Mincho"/>
          <w:sz w:val="22"/>
          <w:szCs w:val="22"/>
          <w:lang w:val="en-GB" w:eastAsia="ja-JP"/>
        </w:rPr>
        <w:t>25) wh</w:t>
      </w:r>
      <w:r w:rsidRPr="00A808AC">
        <w:rPr>
          <w:rFonts w:eastAsia="MS Mincho"/>
          <w:sz w:val="22"/>
          <w:szCs w:val="22"/>
          <w:lang w:val="en-GB" w:eastAsia="ja-JP"/>
        </w:rPr>
        <w:t xml:space="preserve">o rolled over from </w:t>
      </w:r>
      <w:r w:rsidR="0032138D">
        <w:rPr>
          <w:rFonts w:eastAsia="MS Mincho"/>
          <w:sz w:val="22"/>
          <w:szCs w:val="22"/>
          <w:lang w:val="en-GB" w:eastAsia="ja-JP"/>
        </w:rPr>
        <w:t>study </w:t>
      </w:r>
      <w:r w:rsidRPr="00A808AC">
        <w:rPr>
          <w:rFonts w:eastAsia="MS Mincho"/>
          <w:sz w:val="22"/>
          <w:szCs w:val="22"/>
          <w:lang w:val="en-GB" w:eastAsia="ja-JP"/>
        </w:rPr>
        <w:t xml:space="preserve">2 this figure was 0.6% (9.1). This shows that patients in the ivacaftor/ivacaftor group maintained the improvement seen at </w:t>
      </w:r>
      <w:r w:rsidR="00C72FA0">
        <w:rPr>
          <w:rFonts w:eastAsia="MS Mincho"/>
          <w:sz w:val="22"/>
          <w:szCs w:val="22"/>
          <w:lang w:val="en-GB" w:eastAsia="ja-JP"/>
        </w:rPr>
        <w:t>w</w:t>
      </w:r>
      <w:r w:rsidR="007262E5" w:rsidRPr="00A808AC">
        <w:rPr>
          <w:rFonts w:eastAsia="MS Mincho"/>
          <w:sz w:val="22"/>
          <w:szCs w:val="22"/>
          <w:lang w:val="en-GB" w:eastAsia="ja-JP"/>
        </w:rPr>
        <w:t>eek</w:t>
      </w:r>
      <w:r w:rsidR="009329EC" w:rsidRPr="00A808AC">
        <w:rPr>
          <w:sz w:val="22"/>
          <w:szCs w:val="22"/>
          <w:lang w:val="en-GB"/>
        </w:rPr>
        <w:t> </w:t>
      </w:r>
      <w:r w:rsidRPr="00A808AC">
        <w:rPr>
          <w:rFonts w:eastAsia="MS Mincho"/>
          <w:sz w:val="22"/>
          <w:szCs w:val="22"/>
          <w:lang w:val="en-GB" w:eastAsia="ja-JP"/>
        </w:rPr>
        <w:t xml:space="preserve">48 of the initial </w:t>
      </w:r>
      <w:r w:rsidR="0032138D">
        <w:rPr>
          <w:rFonts w:eastAsia="MS Mincho"/>
          <w:sz w:val="22"/>
          <w:szCs w:val="22"/>
          <w:lang w:val="en-GB" w:eastAsia="ja-JP"/>
        </w:rPr>
        <w:t>study </w:t>
      </w:r>
      <w:r w:rsidRPr="00A808AC">
        <w:rPr>
          <w:rFonts w:eastAsia="MS Mincho"/>
          <w:sz w:val="22"/>
          <w:szCs w:val="22"/>
          <w:lang w:val="en-GB" w:eastAsia="ja-JP"/>
        </w:rPr>
        <w:t>(</w:t>
      </w:r>
      <w:r w:rsidR="00C72FA0">
        <w:rPr>
          <w:rFonts w:eastAsia="MS Mincho"/>
          <w:sz w:val="22"/>
          <w:szCs w:val="22"/>
          <w:lang w:val="en-GB" w:eastAsia="ja-JP"/>
        </w:rPr>
        <w:t>d</w:t>
      </w:r>
      <w:r w:rsidR="00C53F51" w:rsidRPr="00A808AC">
        <w:rPr>
          <w:rFonts w:eastAsia="MS Mincho"/>
          <w:sz w:val="22"/>
          <w:szCs w:val="22"/>
          <w:lang w:val="en-GB" w:eastAsia="ja-JP"/>
        </w:rPr>
        <w:t>ay</w:t>
      </w:r>
      <w:r w:rsidR="009329EC" w:rsidRPr="00A808AC">
        <w:rPr>
          <w:sz w:val="22"/>
          <w:szCs w:val="22"/>
          <w:lang w:val="en-GB"/>
        </w:rPr>
        <w:t> </w:t>
      </w:r>
      <w:r w:rsidRPr="00A808AC">
        <w:rPr>
          <w:rFonts w:eastAsia="MS Mincho"/>
          <w:sz w:val="22"/>
          <w:szCs w:val="22"/>
          <w:lang w:val="en-GB" w:eastAsia="ja-JP"/>
        </w:rPr>
        <w:t xml:space="preserve">0 through </w:t>
      </w:r>
      <w:r w:rsidR="00C72FA0">
        <w:rPr>
          <w:rFonts w:eastAsia="MS Mincho"/>
          <w:sz w:val="22"/>
          <w:szCs w:val="22"/>
          <w:lang w:val="en-GB" w:eastAsia="ja-JP"/>
        </w:rPr>
        <w:t>w</w:t>
      </w:r>
      <w:r w:rsidR="007262E5" w:rsidRPr="00A808AC">
        <w:rPr>
          <w:rFonts w:eastAsia="MS Mincho"/>
          <w:sz w:val="22"/>
          <w:szCs w:val="22"/>
          <w:lang w:val="en-GB" w:eastAsia="ja-JP"/>
        </w:rPr>
        <w:t>eek </w:t>
      </w:r>
      <w:r w:rsidRPr="00A808AC">
        <w:rPr>
          <w:rFonts w:eastAsia="MS Mincho"/>
          <w:sz w:val="22"/>
          <w:szCs w:val="22"/>
          <w:lang w:val="en-GB" w:eastAsia="ja-JP"/>
        </w:rPr>
        <w:t>48) in percent predicted FEV</w:t>
      </w:r>
      <w:r w:rsidRPr="00A808AC">
        <w:rPr>
          <w:rFonts w:eastAsia="MS Mincho"/>
          <w:sz w:val="22"/>
          <w:szCs w:val="22"/>
          <w:vertAlign w:val="subscript"/>
          <w:lang w:val="en-GB" w:eastAsia="ja-JP"/>
        </w:rPr>
        <w:t>1</w:t>
      </w:r>
      <w:r w:rsidRPr="00A808AC">
        <w:rPr>
          <w:rFonts w:eastAsia="MS Mincho"/>
          <w:sz w:val="22"/>
          <w:szCs w:val="22"/>
          <w:lang w:val="en-GB" w:eastAsia="ja-JP"/>
        </w:rPr>
        <w:t xml:space="preserve"> through </w:t>
      </w:r>
      <w:r w:rsidR="00C72FA0">
        <w:rPr>
          <w:rFonts w:eastAsia="MS Mincho"/>
          <w:sz w:val="22"/>
          <w:szCs w:val="22"/>
          <w:lang w:val="en-GB" w:eastAsia="ja-JP"/>
        </w:rPr>
        <w:t>w</w:t>
      </w:r>
      <w:r w:rsidR="007262E5" w:rsidRPr="00A808AC">
        <w:rPr>
          <w:rFonts w:eastAsia="MS Mincho"/>
          <w:sz w:val="22"/>
          <w:szCs w:val="22"/>
          <w:lang w:val="en-GB" w:eastAsia="ja-JP"/>
        </w:rPr>
        <w:t>eek</w:t>
      </w:r>
      <w:r w:rsidR="007A552B" w:rsidRPr="00A808AC">
        <w:rPr>
          <w:rFonts w:eastAsia="MS Mincho"/>
          <w:sz w:val="22"/>
          <w:szCs w:val="22"/>
          <w:lang w:val="en-GB" w:eastAsia="ja-JP"/>
        </w:rPr>
        <w:t> </w:t>
      </w:r>
      <w:r w:rsidRPr="00A808AC">
        <w:rPr>
          <w:rFonts w:eastAsia="MS Mincho"/>
          <w:sz w:val="22"/>
          <w:szCs w:val="22"/>
          <w:lang w:val="en-GB" w:eastAsia="ja-JP"/>
        </w:rPr>
        <w:t xml:space="preserve">144. There were no additional improvements in </w:t>
      </w:r>
      <w:r w:rsidR="0032138D">
        <w:rPr>
          <w:rFonts w:eastAsia="MS Mincho"/>
          <w:sz w:val="22"/>
          <w:szCs w:val="22"/>
          <w:lang w:val="en-GB" w:eastAsia="ja-JP"/>
        </w:rPr>
        <w:t>study </w:t>
      </w:r>
      <w:r w:rsidRPr="00A808AC">
        <w:rPr>
          <w:rFonts w:eastAsia="MS Mincho"/>
          <w:sz w:val="22"/>
          <w:szCs w:val="22"/>
          <w:lang w:val="en-GB" w:eastAsia="ja-JP"/>
        </w:rPr>
        <w:t>4 (</w:t>
      </w:r>
      <w:r w:rsidR="00C72FA0">
        <w:rPr>
          <w:rFonts w:eastAsia="MS Mincho"/>
          <w:sz w:val="22"/>
          <w:szCs w:val="22"/>
          <w:lang w:val="en-GB" w:eastAsia="ja-JP"/>
        </w:rPr>
        <w:t>w</w:t>
      </w:r>
      <w:r w:rsidR="007262E5" w:rsidRPr="00A808AC">
        <w:rPr>
          <w:rFonts w:eastAsia="MS Mincho"/>
          <w:sz w:val="22"/>
          <w:szCs w:val="22"/>
          <w:lang w:val="en-GB" w:eastAsia="ja-JP"/>
        </w:rPr>
        <w:t>eek </w:t>
      </w:r>
      <w:r w:rsidRPr="00A808AC">
        <w:rPr>
          <w:rFonts w:eastAsia="MS Mincho"/>
          <w:sz w:val="22"/>
          <w:szCs w:val="22"/>
          <w:lang w:val="en-GB" w:eastAsia="ja-JP"/>
        </w:rPr>
        <w:t xml:space="preserve">48 through </w:t>
      </w:r>
      <w:r w:rsidR="00C72FA0">
        <w:rPr>
          <w:rFonts w:eastAsia="MS Mincho"/>
          <w:sz w:val="22"/>
          <w:szCs w:val="22"/>
          <w:lang w:val="en-GB" w:eastAsia="ja-JP"/>
        </w:rPr>
        <w:t>w</w:t>
      </w:r>
      <w:r w:rsidR="007262E5" w:rsidRPr="00A808AC">
        <w:rPr>
          <w:rFonts w:eastAsia="MS Mincho"/>
          <w:sz w:val="22"/>
          <w:szCs w:val="22"/>
          <w:lang w:val="en-GB" w:eastAsia="ja-JP"/>
        </w:rPr>
        <w:t>eek </w:t>
      </w:r>
      <w:r w:rsidRPr="00A808AC">
        <w:rPr>
          <w:rFonts w:eastAsia="MS Mincho"/>
          <w:sz w:val="22"/>
          <w:szCs w:val="22"/>
          <w:lang w:val="en-GB" w:eastAsia="ja-JP"/>
        </w:rPr>
        <w:t>144).</w:t>
      </w:r>
    </w:p>
    <w:p w14:paraId="45CFA603" w14:textId="77777777" w:rsidR="00F976E8" w:rsidRPr="00A808AC" w:rsidRDefault="00F976E8" w:rsidP="000D02CF">
      <w:pPr>
        <w:pStyle w:val="labeltext"/>
        <w:rPr>
          <w:rFonts w:eastAsia="MS Mincho"/>
          <w:sz w:val="22"/>
          <w:szCs w:val="22"/>
          <w:lang w:val="en-GB" w:eastAsia="ja-JP"/>
        </w:rPr>
      </w:pPr>
    </w:p>
    <w:p w14:paraId="4A2090E3" w14:textId="047B9D71" w:rsidR="00F976E8" w:rsidRPr="00A808AC" w:rsidRDefault="005A3D7D" w:rsidP="000D02CF">
      <w:pPr>
        <w:pStyle w:val="labeltext"/>
        <w:rPr>
          <w:rFonts w:eastAsia="MS Mincho"/>
          <w:sz w:val="22"/>
          <w:szCs w:val="22"/>
          <w:lang w:val="en-GB" w:eastAsia="ja-JP"/>
        </w:rPr>
      </w:pPr>
      <w:r w:rsidRPr="00A808AC">
        <w:rPr>
          <w:rFonts w:eastAsia="MS Mincho"/>
          <w:sz w:val="22"/>
          <w:szCs w:val="22"/>
          <w:lang w:val="en-GB" w:eastAsia="ja-JP"/>
        </w:rPr>
        <w:t xml:space="preserve">For patients in the placebo/ivacaftor group from </w:t>
      </w:r>
      <w:r w:rsidR="0032138D">
        <w:rPr>
          <w:rFonts w:eastAsia="MS Mincho"/>
          <w:sz w:val="22"/>
          <w:szCs w:val="22"/>
          <w:lang w:val="en-GB" w:eastAsia="ja-JP"/>
        </w:rPr>
        <w:t>study </w:t>
      </w:r>
      <w:r w:rsidRPr="00A808AC">
        <w:rPr>
          <w:rFonts w:eastAsia="MS Mincho"/>
          <w:sz w:val="22"/>
          <w:szCs w:val="22"/>
          <w:lang w:val="en-GB" w:eastAsia="ja-JP"/>
        </w:rPr>
        <w:t>1, the annualised rate of pulmonary exacerbations was higher in the initial study when patients were on placebo (1.34</w:t>
      </w:r>
      <w:r w:rsidR="007A552B" w:rsidRPr="00A808AC">
        <w:rPr>
          <w:rFonts w:eastAsia="MS Mincho"/>
          <w:sz w:val="22"/>
          <w:szCs w:val="22"/>
          <w:lang w:val="en-GB" w:eastAsia="ja-JP"/>
        </w:rPr>
        <w:t> </w:t>
      </w:r>
      <w:r w:rsidRPr="00A808AC">
        <w:rPr>
          <w:rFonts w:eastAsia="MS Mincho"/>
          <w:sz w:val="22"/>
          <w:szCs w:val="22"/>
          <w:lang w:val="en-GB" w:eastAsia="ja-JP"/>
        </w:rPr>
        <w:t xml:space="preserve">events/year) than during the subsequent </w:t>
      </w:r>
      <w:r w:rsidR="0032138D">
        <w:rPr>
          <w:rFonts w:eastAsia="MS Mincho"/>
          <w:sz w:val="22"/>
          <w:szCs w:val="22"/>
          <w:lang w:val="en-GB" w:eastAsia="ja-JP"/>
        </w:rPr>
        <w:t>study </w:t>
      </w:r>
      <w:r w:rsidRPr="00A808AC">
        <w:rPr>
          <w:rFonts w:eastAsia="MS Mincho"/>
          <w:sz w:val="22"/>
          <w:szCs w:val="22"/>
          <w:lang w:val="en-GB" w:eastAsia="ja-JP"/>
        </w:rPr>
        <w:t>4 when patients rolled over to ivacaftor (0.48</w:t>
      </w:r>
      <w:r w:rsidR="007A552B" w:rsidRPr="00A808AC">
        <w:rPr>
          <w:rFonts w:eastAsia="MS Mincho"/>
          <w:sz w:val="22"/>
          <w:szCs w:val="22"/>
          <w:lang w:val="en-GB" w:eastAsia="ja-JP"/>
        </w:rPr>
        <w:t> </w:t>
      </w:r>
      <w:r w:rsidRPr="00A808AC">
        <w:rPr>
          <w:rFonts w:eastAsia="MS Mincho"/>
          <w:sz w:val="22"/>
          <w:szCs w:val="22"/>
          <w:lang w:val="en-GB" w:eastAsia="ja-JP"/>
        </w:rPr>
        <w:t xml:space="preserve">events/year across </w:t>
      </w:r>
      <w:r w:rsidR="00C72FA0">
        <w:rPr>
          <w:rFonts w:eastAsia="MS Mincho"/>
          <w:sz w:val="22"/>
          <w:szCs w:val="22"/>
          <w:lang w:val="en-GB" w:eastAsia="ja-JP"/>
        </w:rPr>
        <w:t>d</w:t>
      </w:r>
      <w:r w:rsidR="00C53F51" w:rsidRPr="00A808AC">
        <w:rPr>
          <w:rFonts w:eastAsia="MS Mincho"/>
          <w:sz w:val="22"/>
          <w:szCs w:val="22"/>
          <w:lang w:val="en-GB" w:eastAsia="ja-JP"/>
        </w:rPr>
        <w:t>ay</w:t>
      </w:r>
      <w:r w:rsidR="009329EC" w:rsidRPr="00A808AC">
        <w:rPr>
          <w:sz w:val="22"/>
          <w:szCs w:val="22"/>
          <w:lang w:val="en-GB"/>
        </w:rPr>
        <w:t> </w:t>
      </w:r>
      <w:r w:rsidRPr="00A808AC">
        <w:rPr>
          <w:rFonts w:eastAsia="MS Mincho"/>
          <w:sz w:val="22"/>
          <w:szCs w:val="22"/>
          <w:lang w:val="en-GB" w:eastAsia="ja-JP"/>
        </w:rPr>
        <w:t xml:space="preserve">1 to </w:t>
      </w:r>
      <w:r w:rsidR="00C72FA0">
        <w:rPr>
          <w:rFonts w:eastAsia="MS Mincho"/>
          <w:sz w:val="22"/>
          <w:szCs w:val="22"/>
          <w:lang w:val="en-GB" w:eastAsia="ja-JP"/>
        </w:rPr>
        <w:t>w</w:t>
      </w:r>
      <w:r w:rsidR="007262E5" w:rsidRPr="00A808AC">
        <w:rPr>
          <w:rFonts w:eastAsia="MS Mincho"/>
          <w:sz w:val="22"/>
          <w:szCs w:val="22"/>
          <w:lang w:val="en-GB" w:eastAsia="ja-JP"/>
        </w:rPr>
        <w:t>eek</w:t>
      </w:r>
      <w:r w:rsidR="009329EC" w:rsidRPr="00A808AC">
        <w:rPr>
          <w:sz w:val="22"/>
          <w:szCs w:val="22"/>
          <w:lang w:val="en-GB"/>
        </w:rPr>
        <w:t> </w:t>
      </w:r>
      <w:r w:rsidRPr="00A808AC">
        <w:rPr>
          <w:rFonts w:eastAsia="MS Mincho"/>
          <w:sz w:val="22"/>
          <w:szCs w:val="22"/>
          <w:lang w:val="en-GB" w:eastAsia="ja-JP"/>
        </w:rPr>
        <w:t>48, and 0.67</w:t>
      </w:r>
      <w:r w:rsidR="007A552B" w:rsidRPr="00A808AC">
        <w:rPr>
          <w:rFonts w:eastAsia="MS Mincho"/>
          <w:sz w:val="22"/>
          <w:szCs w:val="22"/>
          <w:lang w:val="en-GB" w:eastAsia="ja-JP"/>
        </w:rPr>
        <w:t> </w:t>
      </w:r>
      <w:r w:rsidRPr="00A808AC">
        <w:rPr>
          <w:rFonts w:eastAsia="MS Mincho"/>
          <w:sz w:val="22"/>
          <w:szCs w:val="22"/>
          <w:lang w:val="en-GB" w:eastAsia="ja-JP"/>
        </w:rPr>
        <w:t xml:space="preserve">events/year across </w:t>
      </w:r>
      <w:r w:rsidR="00C72FA0">
        <w:rPr>
          <w:rFonts w:eastAsia="MS Mincho"/>
          <w:sz w:val="22"/>
          <w:szCs w:val="22"/>
          <w:lang w:val="en-GB" w:eastAsia="ja-JP"/>
        </w:rPr>
        <w:t>w</w:t>
      </w:r>
      <w:r w:rsidR="007262E5" w:rsidRPr="00A808AC">
        <w:rPr>
          <w:rFonts w:eastAsia="MS Mincho"/>
          <w:sz w:val="22"/>
          <w:szCs w:val="22"/>
          <w:lang w:val="en-GB" w:eastAsia="ja-JP"/>
        </w:rPr>
        <w:t>eeks</w:t>
      </w:r>
      <w:r w:rsidR="009329EC" w:rsidRPr="00A808AC">
        <w:rPr>
          <w:sz w:val="22"/>
          <w:szCs w:val="22"/>
          <w:lang w:val="en-GB"/>
        </w:rPr>
        <w:t> </w:t>
      </w:r>
      <w:r w:rsidRPr="00A808AC">
        <w:rPr>
          <w:rFonts w:eastAsia="MS Mincho"/>
          <w:sz w:val="22"/>
          <w:szCs w:val="22"/>
          <w:lang w:val="en-GB" w:eastAsia="ja-JP"/>
        </w:rPr>
        <w:t xml:space="preserve">48 to 96). For patients in the ivacaftor/ivacaftor group from </w:t>
      </w:r>
      <w:r w:rsidR="0032138D">
        <w:rPr>
          <w:rFonts w:eastAsia="MS Mincho"/>
          <w:sz w:val="22"/>
          <w:szCs w:val="22"/>
          <w:lang w:val="en-GB" w:eastAsia="ja-JP"/>
        </w:rPr>
        <w:t>study </w:t>
      </w:r>
      <w:r w:rsidRPr="00A808AC">
        <w:rPr>
          <w:rFonts w:eastAsia="MS Mincho"/>
          <w:sz w:val="22"/>
          <w:szCs w:val="22"/>
          <w:lang w:val="en-GB" w:eastAsia="ja-JP"/>
        </w:rPr>
        <w:t xml:space="preserve">1, the annualised rate of pulmonary exacerbations was 0.57 events/year across </w:t>
      </w:r>
      <w:r w:rsidR="00C72FA0">
        <w:rPr>
          <w:rFonts w:eastAsia="MS Mincho"/>
          <w:sz w:val="22"/>
          <w:szCs w:val="22"/>
          <w:lang w:val="en-GB" w:eastAsia="ja-JP"/>
        </w:rPr>
        <w:t>d</w:t>
      </w:r>
      <w:r w:rsidR="007D5673" w:rsidRPr="00A808AC">
        <w:rPr>
          <w:rFonts w:eastAsia="MS Mincho"/>
          <w:sz w:val="22"/>
          <w:szCs w:val="22"/>
          <w:lang w:val="en-GB" w:eastAsia="ja-JP"/>
        </w:rPr>
        <w:t>ay </w:t>
      </w:r>
      <w:r w:rsidRPr="00A808AC">
        <w:rPr>
          <w:rFonts w:eastAsia="MS Mincho"/>
          <w:sz w:val="22"/>
          <w:szCs w:val="22"/>
          <w:lang w:val="en-GB" w:eastAsia="ja-JP"/>
        </w:rPr>
        <w:t xml:space="preserve">1 to </w:t>
      </w:r>
      <w:r w:rsidR="00C72FA0">
        <w:rPr>
          <w:rFonts w:eastAsia="MS Mincho"/>
          <w:sz w:val="22"/>
          <w:szCs w:val="22"/>
          <w:lang w:val="en-GB" w:eastAsia="ja-JP"/>
        </w:rPr>
        <w:t>w</w:t>
      </w:r>
      <w:r w:rsidR="007262E5" w:rsidRPr="00A808AC">
        <w:rPr>
          <w:rFonts w:eastAsia="MS Mincho"/>
          <w:sz w:val="22"/>
          <w:szCs w:val="22"/>
          <w:lang w:val="en-GB" w:eastAsia="ja-JP"/>
        </w:rPr>
        <w:t>eek </w:t>
      </w:r>
      <w:r w:rsidRPr="00A808AC">
        <w:rPr>
          <w:rFonts w:eastAsia="MS Mincho"/>
          <w:sz w:val="22"/>
          <w:szCs w:val="22"/>
          <w:lang w:val="en-GB" w:eastAsia="ja-JP"/>
        </w:rPr>
        <w:t xml:space="preserve">48 when patients were on ivacaftor. When they rolled over into </w:t>
      </w:r>
      <w:r w:rsidR="0032138D">
        <w:rPr>
          <w:rFonts w:eastAsia="MS Mincho"/>
          <w:sz w:val="22"/>
          <w:szCs w:val="22"/>
          <w:lang w:val="en-GB" w:eastAsia="ja-JP"/>
        </w:rPr>
        <w:t>study </w:t>
      </w:r>
      <w:r w:rsidRPr="00A808AC">
        <w:rPr>
          <w:rFonts w:eastAsia="MS Mincho"/>
          <w:sz w:val="22"/>
          <w:szCs w:val="22"/>
          <w:lang w:val="en-GB" w:eastAsia="ja-JP"/>
        </w:rPr>
        <w:t>4, the rate of annualised p</w:t>
      </w:r>
      <w:r w:rsidRPr="00A808AC">
        <w:rPr>
          <w:rFonts w:eastAsia="MS Mincho"/>
          <w:sz w:val="22"/>
          <w:szCs w:val="22"/>
          <w:lang w:val="en-GB" w:eastAsia="ja-JP"/>
        </w:rPr>
        <w:t>ulmonary exacerbations was 0.91</w:t>
      </w:r>
      <w:r w:rsidR="00AB6E3A">
        <w:rPr>
          <w:rFonts w:eastAsia="MS Mincho"/>
          <w:sz w:val="22"/>
          <w:szCs w:val="22"/>
          <w:lang w:val="en-GB" w:eastAsia="ja-JP"/>
        </w:rPr>
        <w:t> </w:t>
      </w:r>
      <w:r w:rsidRPr="00A808AC">
        <w:rPr>
          <w:rFonts w:eastAsia="MS Mincho"/>
          <w:sz w:val="22"/>
          <w:szCs w:val="22"/>
          <w:lang w:val="en-GB" w:eastAsia="ja-JP"/>
        </w:rPr>
        <w:t xml:space="preserve">events/year across </w:t>
      </w:r>
      <w:r w:rsidR="00C72FA0">
        <w:rPr>
          <w:rFonts w:eastAsia="MS Mincho"/>
          <w:sz w:val="22"/>
          <w:szCs w:val="22"/>
          <w:lang w:val="en-GB" w:eastAsia="ja-JP"/>
        </w:rPr>
        <w:t>d</w:t>
      </w:r>
      <w:r w:rsidR="00C53F51" w:rsidRPr="00A808AC">
        <w:rPr>
          <w:rFonts w:eastAsia="MS Mincho"/>
          <w:sz w:val="22"/>
          <w:szCs w:val="22"/>
          <w:lang w:val="en-GB" w:eastAsia="ja-JP"/>
        </w:rPr>
        <w:t>ay</w:t>
      </w:r>
      <w:r w:rsidR="009329EC" w:rsidRPr="00A808AC">
        <w:rPr>
          <w:sz w:val="22"/>
          <w:szCs w:val="22"/>
          <w:lang w:val="en-GB"/>
        </w:rPr>
        <w:t> </w:t>
      </w:r>
      <w:r w:rsidRPr="00A808AC">
        <w:rPr>
          <w:rFonts w:eastAsia="MS Mincho"/>
          <w:sz w:val="22"/>
          <w:szCs w:val="22"/>
          <w:lang w:val="en-GB" w:eastAsia="ja-JP"/>
        </w:rPr>
        <w:t xml:space="preserve">1 to </w:t>
      </w:r>
      <w:r w:rsidR="00C72FA0">
        <w:rPr>
          <w:rFonts w:eastAsia="MS Mincho"/>
          <w:sz w:val="22"/>
          <w:szCs w:val="22"/>
          <w:lang w:val="en-GB" w:eastAsia="ja-JP"/>
        </w:rPr>
        <w:t>w</w:t>
      </w:r>
      <w:r w:rsidR="007262E5" w:rsidRPr="00A808AC">
        <w:rPr>
          <w:rFonts w:eastAsia="MS Mincho"/>
          <w:sz w:val="22"/>
          <w:szCs w:val="22"/>
          <w:lang w:val="en-GB" w:eastAsia="ja-JP"/>
        </w:rPr>
        <w:t>eek</w:t>
      </w:r>
      <w:r w:rsidR="009329EC" w:rsidRPr="00A808AC">
        <w:rPr>
          <w:sz w:val="22"/>
          <w:szCs w:val="22"/>
          <w:lang w:val="en-GB"/>
        </w:rPr>
        <w:t> </w:t>
      </w:r>
      <w:r w:rsidRPr="00A808AC">
        <w:rPr>
          <w:rFonts w:eastAsia="MS Mincho"/>
          <w:sz w:val="22"/>
          <w:szCs w:val="22"/>
          <w:lang w:val="en-GB" w:eastAsia="ja-JP"/>
        </w:rPr>
        <w:t xml:space="preserve">48 and 0.77 events/year across </w:t>
      </w:r>
      <w:r w:rsidR="00C72FA0">
        <w:rPr>
          <w:rFonts w:eastAsia="MS Mincho"/>
          <w:sz w:val="22"/>
          <w:szCs w:val="22"/>
          <w:lang w:val="en-GB" w:eastAsia="ja-JP"/>
        </w:rPr>
        <w:t>w</w:t>
      </w:r>
      <w:r w:rsidR="007262E5" w:rsidRPr="00A808AC">
        <w:rPr>
          <w:rFonts w:eastAsia="MS Mincho"/>
          <w:sz w:val="22"/>
          <w:szCs w:val="22"/>
          <w:lang w:val="en-GB" w:eastAsia="ja-JP"/>
        </w:rPr>
        <w:t>eeks </w:t>
      </w:r>
      <w:r w:rsidRPr="00A808AC">
        <w:rPr>
          <w:rFonts w:eastAsia="MS Mincho"/>
          <w:sz w:val="22"/>
          <w:szCs w:val="22"/>
          <w:lang w:val="en-GB" w:eastAsia="ja-JP"/>
        </w:rPr>
        <w:t>48 to 96.</w:t>
      </w:r>
    </w:p>
    <w:p w14:paraId="5E633F76" w14:textId="77777777" w:rsidR="00F976E8" w:rsidRPr="00A808AC" w:rsidRDefault="00F976E8" w:rsidP="000D02CF">
      <w:pPr>
        <w:pStyle w:val="labeltext"/>
        <w:rPr>
          <w:rFonts w:eastAsia="MS Mincho"/>
          <w:sz w:val="22"/>
          <w:szCs w:val="22"/>
          <w:lang w:val="en-GB" w:eastAsia="ja-JP"/>
        </w:rPr>
      </w:pPr>
    </w:p>
    <w:p w14:paraId="20867A65" w14:textId="77777777" w:rsidR="00F976E8" w:rsidRPr="00A808AC" w:rsidRDefault="005A3D7D" w:rsidP="000D02CF">
      <w:pPr>
        <w:pStyle w:val="labeltext"/>
        <w:rPr>
          <w:rFonts w:eastAsia="MS Mincho"/>
          <w:sz w:val="22"/>
          <w:szCs w:val="22"/>
          <w:lang w:val="en-GB" w:eastAsia="ja-JP"/>
        </w:rPr>
      </w:pPr>
      <w:r w:rsidRPr="00A808AC">
        <w:rPr>
          <w:rFonts w:eastAsia="MS Mincho"/>
          <w:sz w:val="22"/>
          <w:szCs w:val="22"/>
          <w:lang w:val="en-GB" w:eastAsia="ja-JP"/>
        </w:rPr>
        <w:t xml:space="preserve">For patients who rolled over from </w:t>
      </w:r>
      <w:r w:rsidR="0032138D">
        <w:rPr>
          <w:rFonts w:eastAsia="MS Mincho"/>
          <w:sz w:val="22"/>
          <w:szCs w:val="22"/>
          <w:lang w:val="en-GB" w:eastAsia="ja-JP"/>
        </w:rPr>
        <w:t>study </w:t>
      </w:r>
      <w:r w:rsidRPr="00A808AC">
        <w:rPr>
          <w:rFonts w:eastAsia="MS Mincho"/>
          <w:sz w:val="22"/>
          <w:szCs w:val="22"/>
          <w:lang w:val="en-GB" w:eastAsia="ja-JP"/>
        </w:rPr>
        <w:t>2 the number of events was, overall, low.</w:t>
      </w:r>
    </w:p>
    <w:p w14:paraId="62123713" w14:textId="77777777" w:rsidR="00F976E8" w:rsidRPr="00A808AC" w:rsidRDefault="00F976E8" w:rsidP="000D02CF">
      <w:pPr>
        <w:pStyle w:val="labeltext"/>
        <w:rPr>
          <w:rFonts w:eastAsia="MS Mincho"/>
          <w:sz w:val="22"/>
          <w:szCs w:val="22"/>
          <w:lang w:val="en-GB" w:eastAsia="ja-JP"/>
        </w:rPr>
      </w:pPr>
    </w:p>
    <w:p w14:paraId="6FD7D18E" w14:textId="15539AAC" w:rsidR="00223101" w:rsidRDefault="005A3D7D" w:rsidP="000A093B">
      <w:pPr>
        <w:keepNext/>
        <w:spacing w:line="240" w:lineRule="auto"/>
        <w:rPr>
          <w:i/>
          <w:u w:val="single"/>
          <w:lang w:val="en-US"/>
        </w:rPr>
      </w:pPr>
      <w:r>
        <w:rPr>
          <w:i/>
          <w:u w:val="single"/>
          <w:lang w:val="en-US"/>
        </w:rPr>
        <w:t>Study </w:t>
      </w:r>
      <w:r w:rsidR="009B1867" w:rsidRPr="007B0741">
        <w:rPr>
          <w:i/>
          <w:u w:val="single"/>
          <w:lang w:val="en-US"/>
        </w:rPr>
        <w:t xml:space="preserve">6: </w:t>
      </w:r>
      <w:r>
        <w:rPr>
          <w:i/>
          <w:u w:val="single"/>
          <w:lang w:val="en-US"/>
        </w:rPr>
        <w:t>study </w:t>
      </w:r>
      <w:r w:rsidR="009B1867" w:rsidRPr="007B0741">
        <w:rPr>
          <w:i/>
          <w:u w:val="single"/>
          <w:lang w:val="en-US"/>
        </w:rPr>
        <w:t>in patients with CF with an R117H mutation in the CFTR gene</w:t>
      </w:r>
    </w:p>
    <w:p w14:paraId="458F25E1" w14:textId="77777777" w:rsidR="00987822" w:rsidRPr="007B0741" w:rsidRDefault="00987822" w:rsidP="000A093B">
      <w:pPr>
        <w:keepNext/>
        <w:spacing w:line="240" w:lineRule="auto"/>
        <w:rPr>
          <w:i/>
          <w:u w:val="single"/>
          <w:lang w:val="en-US"/>
        </w:rPr>
      </w:pPr>
    </w:p>
    <w:p w14:paraId="1FACF4CB" w14:textId="77777777" w:rsidR="00F976E8" w:rsidRPr="00A808AC" w:rsidRDefault="005A3D7D" w:rsidP="000A093B">
      <w:pPr>
        <w:keepNext/>
        <w:spacing w:line="240" w:lineRule="auto"/>
        <w:rPr>
          <w:lang w:val="en-US"/>
        </w:rPr>
      </w:pPr>
      <w:r w:rsidRPr="00A808AC">
        <w:rPr>
          <w:lang w:val="en-US"/>
        </w:rPr>
        <w:t>Study</w:t>
      </w:r>
      <w:r w:rsidR="00AB6E3A">
        <w:rPr>
          <w:lang w:val="en-US"/>
        </w:rPr>
        <w:t> </w:t>
      </w:r>
      <w:r w:rsidRPr="00A808AC">
        <w:rPr>
          <w:lang w:val="en-US"/>
        </w:rPr>
        <w:t xml:space="preserve">6 evaluated 69 patients who were 6 years of age or older; 53 (76.8%) patients had the </w:t>
      </w:r>
      <w:r w:rsidRPr="00A808AC">
        <w:rPr>
          <w:i/>
          <w:lang w:val="en-US"/>
        </w:rPr>
        <w:t>F508del</w:t>
      </w:r>
      <w:r w:rsidRPr="00A808AC">
        <w:rPr>
          <w:lang w:val="en-US"/>
        </w:rPr>
        <w:t xml:space="preserve"> mutation in the second allele. The confirmed </w:t>
      </w:r>
      <w:r w:rsidRPr="00A808AC">
        <w:rPr>
          <w:i/>
          <w:iCs/>
          <w:lang w:val="en-US"/>
        </w:rPr>
        <w:t xml:space="preserve">R117H </w:t>
      </w:r>
      <w:r w:rsidRPr="00A808AC">
        <w:rPr>
          <w:lang w:val="en-US"/>
        </w:rPr>
        <w:t>poly</w:t>
      </w:r>
      <w:r w:rsidR="007178AD" w:rsidRPr="00A808AC">
        <w:rPr>
          <w:lang w:val="en-US"/>
        </w:rPr>
        <w:noBreakHyphen/>
      </w:r>
      <w:r w:rsidRPr="00A808AC">
        <w:rPr>
          <w:lang w:val="en-US"/>
        </w:rPr>
        <w:t xml:space="preserve">T variant was </w:t>
      </w:r>
      <w:r w:rsidRPr="00A808AC">
        <w:rPr>
          <w:i/>
          <w:iCs/>
          <w:lang w:val="en-US"/>
        </w:rPr>
        <w:t xml:space="preserve">5T </w:t>
      </w:r>
      <w:r w:rsidR="003B0643" w:rsidRPr="00A808AC">
        <w:rPr>
          <w:iCs/>
          <w:lang w:val="en-US"/>
        </w:rPr>
        <w:t>in 38 patients</w:t>
      </w:r>
      <w:r w:rsidR="003B0643" w:rsidRPr="00A808AC">
        <w:rPr>
          <w:i/>
          <w:iCs/>
          <w:lang w:val="en-US"/>
        </w:rPr>
        <w:t xml:space="preserve"> </w:t>
      </w:r>
      <w:r w:rsidRPr="00A808AC">
        <w:rPr>
          <w:lang w:val="en-US"/>
        </w:rPr>
        <w:t xml:space="preserve">and </w:t>
      </w:r>
      <w:r w:rsidRPr="00A808AC">
        <w:rPr>
          <w:i/>
          <w:iCs/>
          <w:lang w:val="en-US"/>
        </w:rPr>
        <w:t>7T</w:t>
      </w:r>
      <w:r w:rsidR="003B0643" w:rsidRPr="00A808AC">
        <w:rPr>
          <w:i/>
          <w:iCs/>
          <w:lang w:val="en-US"/>
        </w:rPr>
        <w:t xml:space="preserve"> </w:t>
      </w:r>
      <w:r w:rsidR="003B0643" w:rsidRPr="00A808AC">
        <w:rPr>
          <w:iCs/>
          <w:lang w:val="en-US"/>
        </w:rPr>
        <w:t>in 16</w:t>
      </w:r>
      <w:r w:rsidR="007A552B" w:rsidRPr="00A808AC">
        <w:rPr>
          <w:iCs/>
          <w:lang w:val="en-US"/>
        </w:rPr>
        <w:t> </w:t>
      </w:r>
      <w:r w:rsidR="003B0643" w:rsidRPr="00A808AC">
        <w:rPr>
          <w:iCs/>
          <w:lang w:val="en-US"/>
        </w:rPr>
        <w:t>patients</w:t>
      </w:r>
      <w:r w:rsidRPr="00A808AC">
        <w:rPr>
          <w:lang w:val="en-US"/>
        </w:rPr>
        <w:t xml:space="preserve">. At baseline, mean </w:t>
      </w:r>
      <w:r w:rsidRPr="00A808AC">
        <w:rPr>
          <w:lang w:val="en-US"/>
        </w:rPr>
        <w:t>predicted FEV</w:t>
      </w:r>
      <w:r w:rsidRPr="00A808AC">
        <w:rPr>
          <w:vertAlign w:val="subscript"/>
          <w:lang w:val="en-US"/>
        </w:rPr>
        <w:t>1</w:t>
      </w:r>
      <w:r w:rsidRPr="00A808AC">
        <w:rPr>
          <w:lang w:val="en-US"/>
        </w:rPr>
        <w:t xml:space="preserve"> was 73% (range: 32.5% to 105.5%) and mean age was 31</w:t>
      </w:r>
      <w:r w:rsidR="007A552B" w:rsidRPr="00A808AC">
        <w:rPr>
          <w:lang w:val="en-US"/>
        </w:rPr>
        <w:t> </w:t>
      </w:r>
      <w:r w:rsidRPr="00A808AC">
        <w:rPr>
          <w:lang w:val="en-US"/>
        </w:rPr>
        <w:t>years (range: 6 to 68</w:t>
      </w:r>
      <w:r w:rsidR="007A552B" w:rsidRPr="00A808AC">
        <w:rPr>
          <w:lang w:val="en-US"/>
        </w:rPr>
        <w:t> </w:t>
      </w:r>
      <w:r w:rsidRPr="00A808AC">
        <w:rPr>
          <w:lang w:val="en-US"/>
        </w:rPr>
        <w:t xml:space="preserve">years). The mean absolute change from baseline through </w:t>
      </w:r>
      <w:r w:rsidR="00C72FA0">
        <w:rPr>
          <w:lang w:val="en-US"/>
        </w:rPr>
        <w:t>w</w:t>
      </w:r>
      <w:r w:rsidR="007262E5" w:rsidRPr="00A808AC">
        <w:rPr>
          <w:lang w:val="en-US"/>
        </w:rPr>
        <w:t>eek </w:t>
      </w:r>
      <w:r w:rsidRPr="00A808AC">
        <w:rPr>
          <w:lang w:val="en-US"/>
        </w:rPr>
        <w:t>24 in percent predicted FEV</w:t>
      </w:r>
      <w:r w:rsidRPr="00A808AC">
        <w:rPr>
          <w:vertAlign w:val="subscript"/>
          <w:lang w:val="en-US"/>
        </w:rPr>
        <w:t>1</w:t>
      </w:r>
      <w:r w:rsidRPr="00A808AC">
        <w:rPr>
          <w:lang w:val="en-US"/>
        </w:rPr>
        <w:t xml:space="preserve"> (primary efficacy endpoint) was 2.57</w:t>
      </w:r>
      <w:r w:rsidR="007A552B" w:rsidRPr="00A808AC">
        <w:rPr>
          <w:lang w:val="en-US"/>
        </w:rPr>
        <w:t> </w:t>
      </w:r>
      <w:r w:rsidRPr="00A808AC">
        <w:rPr>
          <w:lang w:val="en-US"/>
        </w:rPr>
        <w:t>percentage points in the ivacaftor group</w:t>
      </w:r>
      <w:r w:rsidRPr="00A808AC">
        <w:rPr>
          <w:lang w:val="en-US"/>
        </w:rPr>
        <w:t xml:space="preserve"> and 0.46</w:t>
      </w:r>
      <w:r w:rsidR="007A552B" w:rsidRPr="00A808AC">
        <w:rPr>
          <w:lang w:val="en-US"/>
        </w:rPr>
        <w:t> </w:t>
      </w:r>
      <w:r w:rsidRPr="00A808AC">
        <w:rPr>
          <w:lang w:val="en-US"/>
        </w:rPr>
        <w:t>percentage points in the placebo group. The estimated treatment difference for ivacaftor versus placebo was 2.1</w:t>
      </w:r>
      <w:r w:rsidR="007A552B" w:rsidRPr="00A808AC">
        <w:rPr>
          <w:lang w:val="en-US"/>
        </w:rPr>
        <w:t> </w:t>
      </w:r>
      <w:r w:rsidRPr="00A808AC">
        <w:rPr>
          <w:lang w:val="en-US"/>
        </w:rPr>
        <w:t xml:space="preserve">percentage points </w:t>
      </w:r>
      <w:r w:rsidR="001E334F" w:rsidRPr="00A808AC">
        <w:rPr>
          <w:lang w:val="en-US"/>
        </w:rPr>
        <w:t>(</w:t>
      </w:r>
      <w:r w:rsidRPr="00A808AC">
        <w:rPr>
          <w:lang w:val="en-US"/>
        </w:rPr>
        <w:t xml:space="preserve">95% CI </w:t>
      </w:r>
      <w:r w:rsidRPr="00A808AC">
        <w:rPr>
          <w:lang w:val="en-US"/>
        </w:rPr>
        <w:noBreakHyphen/>
        <w:t>1.1, 5.4</w:t>
      </w:r>
      <w:r w:rsidR="001E334F" w:rsidRPr="00A808AC">
        <w:rPr>
          <w:lang w:val="en-US"/>
        </w:rPr>
        <w:t>)</w:t>
      </w:r>
      <w:r w:rsidRPr="00A808AC">
        <w:rPr>
          <w:lang w:val="en-US"/>
        </w:rPr>
        <w:t>.</w:t>
      </w:r>
    </w:p>
    <w:p w14:paraId="4937D13C" w14:textId="77777777" w:rsidR="00F976E8" w:rsidRPr="00A808AC" w:rsidRDefault="00F976E8" w:rsidP="000D02CF">
      <w:pPr>
        <w:spacing w:line="240" w:lineRule="auto"/>
        <w:rPr>
          <w:lang w:val="en-US"/>
        </w:rPr>
      </w:pPr>
    </w:p>
    <w:p w14:paraId="7D62BB31" w14:textId="77777777" w:rsidR="00F976E8" w:rsidRPr="00A808AC" w:rsidRDefault="005A3D7D" w:rsidP="000D02CF">
      <w:pPr>
        <w:spacing w:line="240" w:lineRule="auto"/>
        <w:rPr>
          <w:bCs/>
          <w:lang w:val="en-US"/>
        </w:rPr>
      </w:pPr>
      <w:r w:rsidRPr="00A808AC">
        <w:rPr>
          <w:bCs/>
          <w:lang w:val="en-US"/>
        </w:rPr>
        <w:t>A pre</w:t>
      </w:r>
      <w:r w:rsidRPr="00A808AC">
        <w:rPr>
          <w:bCs/>
          <w:lang w:val="en-US"/>
        </w:rPr>
        <w:noBreakHyphen/>
        <w:t>planned subgroup analysis was conducted in patients 18</w:t>
      </w:r>
      <w:r w:rsidR="00AB6E3A">
        <w:rPr>
          <w:bCs/>
          <w:lang w:val="en-US"/>
        </w:rPr>
        <w:t> </w:t>
      </w:r>
      <w:r w:rsidRPr="00A808AC">
        <w:rPr>
          <w:bCs/>
          <w:lang w:val="en-US"/>
        </w:rPr>
        <w:t>years and older (26</w:t>
      </w:r>
      <w:r w:rsidR="007A552B" w:rsidRPr="00A808AC">
        <w:rPr>
          <w:bCs/>
          <w:lang w:val="en-US"/>
        </w:rPr>
        <w:t> </w:t>
      </w:r>
      <w:r w:rsidRPr="00A808AC">
        <w:rPr>
          <w:bCs/>
          <w:lang w:val="en-US"/>
        </w:rPr>
        <w:t>patients on placebo and 24 on ivacaftor). Treatment with ivacaftor resulted in a mean absolute change in percent predicted FEV</w:t>
      </w:r>
      <w:r w:rsidRPr="00A808AC">
        <w:rPr>
          <w:bCs/>
          <w:vertAlign w:val="subscript"/>
          <w:lang w:val="en-US"/>
        </w:rPr>
        <w:t>1</w:t>
      </w:r>
      <w:r w:rsidRPr="00A808AC">
        <w:rPr>
          <w:bCs/>
          <w:lang w:val="en-US"/>
        </w:rPr>
        <w:t xml:space="preserve"> through </w:t>
      </w:r>
      <w:r w:rsidR="00C72FA0">
        <w:rPr>
          <w:bCs/>
          <w:lang w:val="en-US"/>
        </w:rPr>
        <w:t>w</w:t>
      </w:r>
      <w:r w:rsidR="007262E5" w:rsidRPr="00A808AC">
        <w:rPr>
          <w:bCs/>
          <w:lang w:val="en-US"/>
        </w:rPr>
        <w:t>eek </w:t>
      </w:r>
      <w:r w:rsidRPr="00A808AC">
        <w:rPr>
          <w:bCs/>
          <w:lang w:val="en-US"/>
        </w:rPr>
        <w:t xml:space="preserve">24 of 4.5 percentage points in the ivacaftor group versus </w:t>
      </w:r>
      <w:r w:rsidRPr="00A808AC">
        <w:rPr>
          <w:bCs/>
          <w:lang w:val="en-US"/>
        </w:rPr>
        <w:noBreakHyphen/>
        <w:t>0.46 percentage points in the placebo group. The estimat</w:t>
      </w:r>
      <w:r w:rsidRPr="00A808AC">
        <w:rPr>
          <w:bCs/>
          <w:lang w:val="en-US"/>
        </w:rPr>
        <w:t xml:space="preserve">ed treatment difference for ivacaftor versus placebo was 5.0 percentage points </w:t>
      </w:r>
      <w:r w:rsidR="001E334F" w:rsidRPr="00A808AC">
        <w:rPr>
          <w:bCs/>
          <w:lang w:val="en-US"/>
        </w:rPr>
        <w:t>(</w:t>
      </w:r>
      <w:r w:rsidRPr="00A808AC">
        <w:rPr>
          <w:bCs/>
          <w:lang w:val="en-US"/>
        </w:rPr>
        <w:t>95%</w:t>
      </w:r>
      <w:r w:rsidR="00AB6E3A">
        <w:rPr>
          <w:bCs/>
          <w:lang w:val="en-US"/>
        </w:rPr>
        <w:t> </w:t>
      </w:r>
      <w:r w:rsidRPr="00A808AC">
        <w:rPr>
          <w:bCs/>
          <w:lang w:val="en-US"/>
        </w:rPr>
        <w:t>CI 1.1, 8.8</w:t>
      </w:r>
      <w:r w:rsidR="001E334F" w:rsidRPr="00A808AC">
        <w:rPr>
          <w:bCs/>
          <w:lang w:val="en-US"/>
        </w:rPr>
        <w:t>)</w:t>
      </w:r>
      <w:r w:rsidRPr="00A808AC">
        <w:rPr>
          <w:bCs/>
          <w:lang w:val="en-US"/>
        </w:rPr>
        <w:t>.</w:t>
      </w:r>
    </w:p>
    <w:p w14:paraId="4FB4432E" w14:textId="77777777" w:rsidR="00F976E8" w:rsidRPr="000A093B" w:rsidRDefault="00F976E8" w:rsidP="000D02CF">
      <w:pPr>
        <w:spacing w:line="240" w:lineRule="auto"/>
        <w:rPr>
          <w:lang w:val="en-US"/>
        </w:rPr>
      </w:pPr>
    </w:p>
    <w:p w14:paraId="518229A1" w14:textId="77777777" w:rsidR="00F976E8" w:rsidRPr="00A808AC" w:rsidRDefault="005A3D7D" w:rsidP="000D02CF">
      <w:pPr>
        <w:spacing w:line="240" w:lineRule="auto"/>
        <w:rPr>
          <w:lang w:val="en-US"/>
        </w:rPr>
      </w:pPr>
      <w:r w:rsidRPr="00A808AC">
        <w:rPr>
          <w:lang w:val="en-US"/>
        </w:rPr>
        <w:t xml:space="preserve">In a subgroup analysis in patients with a confirmed </w:t>
      </w:r>
      <w:r w:rsidRPr="00A808AC">
        <w:rPr>
          <w:i/>
          <w:iCs/>
          <w:lang w:val="en-US"/>
        </w:rPr>
        <w:t>R117H</w:t>
      </w:r>
      <w:r w:rsidR="007178AD" w:rsidRPr="00A808AC">
        <w:rPr>
          <w:i/>
          <w:iCs/>
          <w:lang w:val="en-US"/>
        </w:rPr>
        <w:noBreakHyphen/>
      </w:r>
      <w:r w:rsidRPr="00A808AC">
        <w:rPr>
          <w:i/>
          <w:iCs/>
          <w:lang w:val="en-US"/>
        </w:rPr>
        <w:t>5T</w:t>
      </w:r>
      <w:r w:rsidR="008B2EE6" w:rsidRPr="00A808AC">
        <w:rPr>
          <w:i/>
          <w:iCs/>
          <w:lang w:val="en-US"/>
        </w:rPr>
        <w:t xml:space="preserve"> </w:t>
      </w:r>
      <w:r w:rsidR="00B65817" w:rsidRPr="00A808AC">
        <w:rPr>
          <w:iCs/>
          <w:lang w:val="en-US"/>
        </w:rPr>
        <w:t>genetic variant</w:t>
      </w:r>
      <w:r w:rsidR="00134C35" w:rsidRPr="00A808AC">
        <w:rPr>
          <w:iCs/>
          <w:lang w:val="en-US"/>
        </w:rPr>
        <w:t>,</w:t>
      </w:r>
      <w:r w:rsidRPr="00A808AC">
        <w:rPr>
          <w:iCs/>
          <w:lang w:val="en-US"/>
        </w:rPr>
        <w:t xml:space="preserve"> </w:t>
      </w:r>
      <w:r w:rsidRPr="00A808AC">
        <w:rPr>
          <w:lang w:val="en-US"/>
        </w:rPr>
        <w:t xml:space="preserve">the </w:t>
      </w:r>
      <w:r w:rsidR="00890D19" w:rsidRPr="00A808AC">
        <w:rPr>
          <w:lang w:val="en-US"/>
        </w:rPr>
        <w:t xml:space="preserve">difference in the </w:t>
      </w:r>
      <w:r w:rsidRPr="00A808AC">
        <w:rPr>
          <w:lang w:val="en-US"/>
        </w:rPr>
        <w:t xml:space="preserve">mean absolute change from baseline through </w:t>
      </w:r>
      <w:r w:rsidR="00C72FA0">
        <w:rPr>
          <w:lang w:val="en-US"/>
        </w:rPr>
        <w:t>w</w:t>
      </w:r>
      <w:r w:rsidR="007262E5" w:rsidRPr="00A808AC">
        <w:rPr>
          <w:lang w:val="en-US"/>
        </w:rPr>
        <w:t>eek</w:t>
      </w:r>
      <w:r w:rsidR="009329EC" w:rsidRPr="00A808AC">
        <w:t> </w:t>
      </w:r>
      <w:r w:rsidRPr="00A808AC">
        <w:rPr>
          <w:lang w:val="en-US"/>
        </w:rPr>
        <w:t>24 in percent predicted FEV</w:t>
      </w:r>
      <w:r w:rsidRPr="00A808AC">
        <w:rPr>
          <w:vertAlign w:val="subscript"/>
          <w:lang w:val="en-US"/>
        </w:rPr>
        <w:t>1</w:t>
      </w:r>
      <w:r w:rsidRPr="00A808AC">
        <w:rPr>
          <w:lang w:val="en-US"/>
        </w:rPr>
        <w:t xml:space="preserve"> </w:t>
      </w:r>
      <w:r w:rsidR="00890D19" w:rsidRPr="00A808AC">
        <w:rPr>
          <w:lang w:val="en-US"/>
        </w:rPr>
        <w:t xml:space="preserve">between ivacaftor and placebo was 5.3% </w:t>
      </w:r>
      <w:r w:rsidR="00886A04" w:rsidRPr="00A808AC">
        <w:rPr>
          <w:lang w:val="en-US"/>
        </w:rPr>
        <w:t>(</w:t>
      </w:r>
      <w:r w:rsidRPr="00A808AC">
        <w:rPr>
          <w:lang w:val="en-US"/>
        </w:rPr>
        <w:t>95% CI 1.3, 9.3</w:t>
      </w:r>
      <w:r w:rsidR="00886A04" w:rsidRPr="00A808AC">
        <w:rPr>
          <w:lang w:val="en-US"/>
        </w:rPr>
        <w:t>)</w:t>
      </w:r>
      <w:r w:rsidRPr="00A808AC">
        <w:rPr>
          <w:lang w:val="en-US"/>
        </w:rPr>
        <w:t xml:space="preserve">. In patients with a confirmed </w:t>
      </w:r>
      <w:r w:rsidRPr="00A808AC">
        <w:rPr>
          <w:i/>
          <w:iCs/>
          <w:lang w:val="en-US"/>
        </w:rPr>
        <w:t>R117H</w:t>
      </w:r>
      <w:r w:rsidR="007178AD" w:rsidRPr="00A808AC">
        <w:rPr>
          <w:i/>
          <w:iCs/>
          <w:lang w:val="en-US"/>
        </w:rPr>
        <w:noBreakHyphen/>
      </w:r>
      <w:r w:rsidRPr="00A808AC">
        <w:rPr>
          <w:i/>
          <w:iCs/>
          <w:lang w:val="en-US"/>
        </w:rPr>
        <w:t>7T</w:t>
      </w:r>
      <w:r w:rsidR="00B65817" w:rsidRPr="00A808AC">
        <w:rPr>
          <w:i/>
          <w:iCs/>
          <w:lang w:val="en-US"/>
        </w:rPr>
        <w:t xml:space="preserve"> </w:t>
      </w:r>
      <w:r w:rsidR="00B65817" w:rsidRPr="00A808AC">
        <w:rPr>
          <w:iCs/>
          <w:lang w:val="en-US"/>
        </w:rPr>
        <w:t>genetic variant</w:t>
      </w:r>
      <w:r w:rsidR="00134C35" w:rsidRPr="00A808AC">
        <w:rPr>
          <w:iCs/>
          <w:lang w:val="en-US"/>
        </w:rPr>
        <w:t>,</w:t>
      </w:r>
      <w:r w:rsidR="00A423C3" w:rsidRPr="00A808AC">
        <w:rPr>
          <w:iCs/>
          <w:lang w:val="en-US"/>
        </w:rPr>
        <w:t xml:space="preserve"> </w:t>
      </w:r>
      <w:r w:rsidR="00890D19" w:rsidRPr="00A808AC">
        <w:rPr>
          <w:lang w:val="en-US"/>
        </w:rPr>
        <w:t>t</w:t>
      </w:r>
      <w:r w:rsidRPr="00A808AC">
        <w:rPr>
          <w:lang w:val="en-US"/>
        </w:rPr>
        <w:t xml:space="preserve">he treatment difference </w:t>
      </w:r>
      <w:r w:rsidR="00A423C3" w:rsidRPr="00A808AC">
        <w:rPr>
          <w:lang w:val="en-US"/>
        </w:rPr>
        <w:t xml:space="preserve">between </w:t>
      </w:r>
      <w:r w:rsidRPr="00A808AC">
        <w:rPr>
          <w:lang w:val="en-US"/>
        </w:rPr>
        <w:t xml:space="preserve">ivacaftor </w:t>
      </w:r>
      <w:r w:rsidR="00A423C3" w:rsidRPr="00A808AC">
        <w:rPr>
          <w:lang w:val="en-US"/>
        </w:rPr>
        <w:t xml:space="preserve">and </w:t>
      </w:r>
      <w:r w:rsidRPr="00A808AC">
        <w:rPr>
          <w:lang w:val="en-US"/>
        </w:rPr>
        <w:t>placebo was 0.2</w:t>
      </w:r>
      <w:r w:rsidR="00A423C3" w:rsidRPr="00A808AC">
        <w:rPr>
          <w:lang w:val="en-US"/>
        </w:rPr>
        <w:t>%</w:t>
      </w:r>
      <w:r w:rsidRPr="00A808AC">
        <w:rPr>
          <w:lang w:val="en-US"/>
        </w:rPr>
        <w:t xml:space="preserve"> </w:t>
      </w:r>
      <w:r w:rsidR="00430CB1" w:rsidRPr="00A808AC">
        <w:rPr>
          <w:lang w:val="en-US"/>
        </w:rPr>
        <w:t>(</w:t>
      </w:r>
      <w:r w:rsidR="007178AD" w:rsidRPr="00A808AC">
        <w:rPr>
          <w:lang w:val="en-US"/>
        </w:rPr>
        <w:t xml:space="preserve">95% CI </w:t>
      </w:r>
      <w:r w:rsidR="007178AD" w:rsidRPr="00A808AC">
        <w:rPr>
          <w:lang w:val="en-US"/>
        </w:rPr>
        <w:noBreakHyphen/>
      </w:r>
      <w:r w:rsidRPr="00A808AC">
        <w:rPr>
          <w:lang w:val="en-US"/>
        </w:rPr>
        <w:t>8.1, 8.5</w:t>
      </w:r>
      <w:r w:rsidR="00430CB1" w:rsidRPr="00A808AC">
        <w:rPr>
          <w:lang w:val="en-US"/>
        </w:rPr>
        <w:t>)</w:t>
      </w:r>
      <w:r w:rsidRPr="00A808AC">
        <w:rPr>
          <w:lang w:val="en-US"/>
        </w:rPr>
        <w:t>.</w:t>
      </w:r>
    </w:p>
    <w:p w14:paraId="0983F13D" w14:textId="77777777" w:rsidR="00F976E8" w:rsidRPr="00A808AC" w:rsidRDefault="00F976E8" w:rsidP="000D02CF">
      <w:pPr>
        <w:spacing w:line="240" w:lineRule="auto"/>
      </w:pPr>
    </w:p>
    <w:p w14:paraId="25CA6C48" w14:textId="436168D0" w:rsidR="00F65F0A" w:rsidRDefault="005A3D7D" w:rsidP="000D02CF">
      <w:pPr>
        <w:spacing w:line="240" w:lineRule="auto"/>
        <w:rPr>
          <w:bCs/>
        </w:rPr>
      </w:pPr>
      <w:bookmarkStart w:id="7" w:name="_Hlk37921752"/>
      <w:r>
        <w:rPr>
          <w:bCs/>
        </w:rPr>
        <w:t>For s</w:t>
      </w:r>
      <w:r w:rsidR="00EA039D" w:rsidRPr="00A808AC">
        <w:rPr>
          <w:bCs/>
        </w:rPr>
        <w:t>econdary efficacy variables</w:t>
      </w:r>
      <w:r>
        <w:rPr>
          <w:bCs/>
        </w:rPr>
        <w:t>, no treatment differences were observed for ivacaftor versus placebo in</w:t>
      </w:r>
      <w:r w:rsidR="00EA039D" w:rsidRPr="00A808AC">
        <w:rPr>
          <w:bCs/>
        </w:rPr>
        <w:t xml:space="preserve"> absolute change from baseline in BMI at </w:t>
      </w:r>
      <w:r>
        <w:rPr>
          <w:bCs/>
        </w:rPr>
        <w:t xml:space="preserve">week </w:t>
      </w:r>
      <w:r w:rsidR="00EA039D" w:rsidRPr="00A808AC">
        <w:rPr>
          <w:bCs/>
        </w:rPr>
        <w:t>24</w:t>
      </w:r>
      <w:r w:rsidR="007A552B" w:rsidRPr="00A808AC">
        <w:rPr>
          <w:bCs/>
        </w:rPr>
        <w:t> </w:t>
      </w:r>
      <w:r>
        <w:rPr>
          <w:bCs/>
        </w:rPr>
        <w:t>or</w:t>
      </w:r>
      <w:r w:rsidR="00EA039D" w:rsidRPr="00A808AC">
        <w:rPr>
          <w:bCs/>
        </w:rPr>
        <w:t xml:space="preserve"> time to first pulmonary exacerbation. </w:t>
      </w:r>
      <w:r>
        <w:rPr>
          <w:bCs/>
        </w:rPr>
        <w:t>T</w:t>
      </w:r>
      <w:r w:rsidR="00EA039D" w:rsidRPr="00A808AC">
        <w:rPr>
          <w:bCs/>
        </w:rPr>
        <w:t xml:space="preserve">reatment differences were observed </w:t>
      </w:r>
      <w:r>
        <w:rPr>
          <w:bCs/>
        </w:rPr>
        <w:t xml:space="preserve">in absolute change in </w:t>
      </w:r>
      <w:r w:rsidR="00EA039D" w:rsidRPr="00A808AC">
        <w:rPr>
          <w:bCs/>
        </w:rPr>
        <w:t>CFQ</w:t>
      </w:r>
      <w:r w:rsidR="007178AD" w:rsidRPr="00A808AC">
        <w:rPr>
          <w:bCs/>
        </w:rPr>
        <w:noBreakHyphen/>
      </w:r>
      <w:r w:rsidR="00EA039D" w:rsidRPr="00A808AC">
        <w:rPr>
          <w:bCs/>
        </w:rPr>
        <w:t xml:space="preserve">R </w:t>
      </w:r>
      <w:r>
        <w:rPr>
          <w:bCs/>
        </w:rPr>
        <w:t xml:space="preserve">respiratory domain score through week 24 </w:t>
      </w:r>
      <w:r w:rsidR="00EA039D" w:rsidRPr="00A808AC">
        <w:rPr>
          <w:bCs/>
        </w:rPr>
        <w:t>(treatment difference of ivacaftor versus placebo was 8.4 [</w:t>
      </w:r>
      <w:r w:rsidR="007B4903">
        <w:rPr>
          <w:bCs/>
        </w:rPr>
        <w:t>95% CI</w:t>
      </w:r>
      <w:r w:rsidR="00AB6E3A">
        <w:rPr>
          <w:bCs/>
        </w:rPr>
        <w:t> </w:t>
      </w:r>
      <w:r w:rsidR="00EA039D" w:rsidRPr="00A808AC">
        <w:rPr>
          <w:bCs/>
        </w:rPr>
        <w:t xml:space="preserve">2.2, 14.6] </w:t>
      </w:r>
      <w:r w:rsidR="00087262" w:rsidRPr="00A808AC">
        <w:rPr>
          <w:bCs/>
        </w:rPr>
        <w:t>points</w:t>
      </w:r>
      <w:r w:rsidR="00886A04" w:rsidRPr="00A808AC">
        <w:rPr>
          <w:bCs/>
        </w:rPr>
        <w:t>)</w:t>
      </w:r>
      <w:r w:rsidR="00087262" w:rsidRPr="00A808AC">
        <w:rPr>
          <w:bCs/>
        </w:rPr>
        <w:t xml:space="preserve"> </w:t>
      </w:r>
      <w:r w:rsidR="00EA039D" w:rsidRPr="00A808AC">
        <w:rPr>
          <w:bCs/>
        </w:rPr>
        <w:t xml:space="preserve">and </w:t>
      </w:r>
      <w:r w:rsidR="00087262" w:rsidRPr="00A808AC">
        <w:rPr>
          <w:bCs/>
        </w:rPr>
        <w:t xml:space="preserve">for </w:t>
      </w:r>
      <w:r w:rsidR="00EA039D" w:rsidRPr="00A808AC">
        <w:rPr>
          <w:bCs/>
        </w:rPr>
        <w:t xml:space="preserve">the mean change from baseline in sweat chloride </w:t>
      </w:r>
      <w:r w:rsidR="00087262" w:rsidRPr="00A808AC">
        <w:rPr>
          <w:bCs/>
        </w:rPr>
        <w:t>(see Pharmacodynamic effects).</w:t>
      </w:r>
    </w:p>
    <w:bookmarkEnd w:id="7"/>
    <w:p w14:paraId="61A8C5B2" w14:textId="77777777" w:rsidR="00F976E8" w:rsidRPr="000A093B" w:rsidRDefault="00F976E8" w:rsidP="000D02CF">
      <w:pPr>
        <w:spacing w:line="240" w:lineRule="auto"/>
        <w:rPr>
          <w:u w:val="single"/>
        </w:rPr>
      </w:pPr>
    </w:p>
    <w:p w14:paraId="22B518B4" w14:textId="3CA95EE4" w:rsidR="00432E9B" w:rsidRDefault="005A3D7D" w:rsidP="000A093B">
      <w:pPr>
        <w:keepNext/>
        <w:spacing w:line="240" w:lineRule="auto"/>
        <w:rPr>
          <w:i/>
        </w:rPr>
      </w:pPr>
      <w:r>
        <w:rPr>
          <w:i/>
        </w:rPr>
        <w:t>Ivacaftor</w:t>
      </w:r>
      <w:r w:rsidRPr="007B0741">
        <w:rPr>
          <w:i/>
        </w:rPr>
        <w:t xml:space="preserve"> </w:t>
      </w:r>
      <w:r w:rsidR="009B1867" w:rsidRPr="007B0741">
        <w:rPr>
          <w:i/>
        </w:rPr>
        <w:t>in a combination regimen with tezacaftor/ivacaftor</w:t>
      </w:r>
      <w:r w:rsidR="00903B38">
        <w:rPr>
          <w:i/>
        </w:rPr>
        <w:t xml:space="preserve"> or with ivacaftor/tezacaftor/elexacaftor</w:t>
      </w:r>
    </w:p>
    <w:p w14:paraId="18817F78" w14:textId="77777777" w:rsidR="00A4646D" w:rsidRPr="006C4477" w:rsidRDefault="00A4646D" w:rsidP="00A0798C">
      <w:pPr>
        <w:keepNext/>
        <w:spacing w:line="240" w:lineRule="auto"/>
        <w:rPr>
          <w:i/>
        </w:rPr>
      </w:pPr>
    </w:p>
    <w:p w14:paraId="3B03DC69" w14:textId="7EEDB51C" w:rsidR="00432E9B" w:rsidRPr="00E33F26" w:rsidRDefault="005A3D7D" w:rsidP="000A093B">
      <w:pPr>
        <w:keepNext/>
        <w:spacing w:line="240" w:lineRule="auto"/>
        <w:rPr>
          <w:bCs/>
        </w:rPr>
      </w:pPr>
      <w:r w:rsidRPr="00E33F26">
        <w:rPr>
          <w:bCs/>
        </w:rPr>
        <w:t xml:space="preserve">The efficacy </w:t>
      </w:r>
      <w:r>
        <w:rPr>
          <w:bCs/>
        </w:rPr>
        <w:t xml:space="preserve">and safety </w:t>
      </w:r>
      <w:r w:rsidRPr="00E33F26">
        <w:rPr>
          <w:bCs/>
        </w:rPr>
        <w:t xml:space="preserve">of </w:t>
      </w:r>
      <w:r w:rsidR="005078CA">
        <w:rPr>
          <w:bCs/>
        </w:rPr>
        <w:t>ivacaftor</w:t>
      </w:r>
      <w:r w:rsidR="005078CA" w:rsidRPr="00E33F26">
        <w:rPr>
          <w:bCs/>
        </w:rPr>
        <w:t xml:space="preserve"> </w:t>
      </w:r>
      <w:r w:rsidRPr="00E33F26">
        <w:rPr>
          <w:bCs/>
        </w:rPr>
        <w:t xml:space="preserve">in a combination regimen with tezacaftor/ivacaftor in patients with CF </w:t>
      </w:r>
      <w:r w:rsidR="005078CA">
        <w:rPr>
          <w:bCs/>
        </w:rPr>
        <w:t>aged 12</w:t>
      </w:r>
      <w:r w:rsidR="00B40199">
        <w:rPr>
          <w:bCs/>
        </w:rPr>
        <w:t> </w:t>
      </w:r>
      <w:r w:rsidR="005078CA">
        <w:rPr>
          <w:bCs/>
        </w:rPr>
        <w:t xml:space="preserve">years and older </w:t>
      </w:r>
      <w:r w:rsidRPr="00E33F26">
        <w:rPr>
          <w:bCs/>
        </w:rPr>
        <w:t xml:space="preserve">was </w:t>
      </w:r>
      <w:r>
        <w:rPr>
          <w:bCs/>
        </w:rPr>
        <w:t>assessed in</w:t>
      </w:r>
      <w:r w:rsidRPr="00E33F26">
        <w:rPr>
          <w:bCs/>
        </w:rPr>
        <w:t xml:space="preserve"> </w:t>
      </w:r>
      <w:r>
        <w:rPr>
          <w:bCs/>
        </w:rPr>
        <w:t xml:space="preserve">two clinical studies; a </w:t>
      </w:r>
      <w:r w:rsidRPr="00E33F26">
        <w:rPr>
          <w:bCs/>
        </w:rPr>
        <w:t>24 week, randomi</w:t>
      </w:r>
      <w:r w:rsidR="00CA7E1F">
        <w:rPr>
          <w:bCs/>
        </w:rPr>
        <w:t>s</w:t>
      </w:r>
      <w:r w:rsidRPr="00E33F26">
        <w:rPr>
          <w:bCs/>
        </w:rPr>
        <w:t>ed, double</w:t>
      </w:r>
      <w:r w:rsidRPr="00E33F26">
        <w:rPr>
          <w:bCs/>
        </w:rPr>
        <w:noBreakHyphen/>
        <w:t>blind, placebo</w:t>
      </w:r>
      <w:r w:rsidRPr="00E33F26">
        <w:rPr>
          <w:bCs/>
        </w:rPr>
        <w:noBreakHyphen/>
        <w:t xml:space="preserve">controlled study with 504 patients who were homozygous for the </w:t>
      </w:r>
      <w:r w:rsidRPr="00E33F26">
        <w:rPr>
          <w:bCs/>
          <w:i/>
        </w:rPr>
        <w:t xml:space="preserve">F508del </w:t>
      </w:r>
      <w:r w:rsidRPr="00E33F26">
        <w:rPr>
          <w:bCs/>
        </w:rPr>
        <w:t xml:space="preserve">mutation; </w:t>
      </w:r>
      <w:r>
        <w:rPr>
          <w:bCs/>
        </w:rPr>
        <w:t xml:space="preserve">and </w:t>
      </w:r>
      <w:r w:rsidRPr="00E33F26">
        <w:rPr>
          <w:bCs/>
        </w:rPr>
        <w:t>a randomi</w:t>
      </w:r>
      <w:r w:rsidR="00CA7E1F">
        <w:rPr>
          <w:bCs/>
        </w:rPr>
        <w:t>s</w:t>
      </w:r>
      <w:r w:rsidRPr="00E33F26">
        <w:rPr>
          <w:bCs/>
        </w:rPr>
        <w:t>ed, double</w:t>
      </w:r>
      <w:r w:rsidRPr="00E33F26">
        <w:rPr>
          <w:bCs/>
        </w:rPr>
        <w:noBreakHyphen/>
        <w:t>blind, placebo</w:t>
      </w:r>
      <w:r w:rsidRPr="00E33F26">
        <w:rPr>
          <w:bCs/>
        </w:rPr>
        <w:noBreakHyphen/>
        <w:t>controlled</w:t>
      </w:r>
      <w:r>
        <w:rPr>
          <w:bCs/>
        </w:rPr>
        <w:t xml:space="preserve"> and ivacaftor controlled</w:t>
      </w:r>
      <w:r w:rsidRPr="00E33F26">
        <w:rPr>
          <w:bCs/>
        </w:rPr>
        <w:t>, 2 period, 3 treatment, 8</w:t>
      </w:r>
      <w:r w:rsidRPr="00E33F26">
        <w:rPr>
          <w:bCs/>
        </w:rPr>
        <w:noBreakHyphen/>
        <w:t xml:space="preserve">week crossover study with 244 patients who were heterozygous for the </w:t>
      </w:r>
      <w:r w:rsidRPr="00E33F26">
        <w:rPr>
          <w:bCs/>
          <w:i/>
        </w:rPr>
        <w:t>F508del</w:t>
      </w:r>
      <w:r w:rsidRPr="00E33F26">
        <w:rPr>
          <w:bCs/>
        </w:rPr>
        <w:t xml:space="preserve"> mutation and a second mutation associated with residual </w:t>
      </w:r>
      <w:r w:rsidRPr="00E33F26">
        <w:rPr>
          <w:bCs/>
          <w:i/>
        </w:rPr>
        <w:t xml:space="preserve">CFTR </w:t>
      </w:r>
      <w:r w:rsidRPr="00E33F26">
        <w:rPr>
          <w:bCs/>
        </w:rPr>
        <w:t>activity</w:t>
      </w:r>
      <w:r>
        <w:rPr>
          <w:bCs/>
        </w:rPr>
        <w:t xml:space="preserve">. </w:t>
      </w:r>
      <w:r w:rsidR="007E4B80">
        <w:rPr>
          <w:bCs/>
        </w:rPr>
        <w:t>The long-term safety and efficacy of the combination regimen was also assessed in both patient populations in a 96-week open-label, rollover, long-term extension</w:t>
      </w:r>
      <w:r w:rsidRPr="00E33F26">
        <w:rPr>
          <w:bCs/>
        </w:rPr>
        <w:t xml:space="preserve"> study</w:t>
      </w:r>
      <w:r>
        <w:rPr>
          <w:bCs/>
        </w:rPr>
        <w:t xml:space="preserve">. </w:t>
      </w:r>
      <w:r w:rsidRPr="00E33F26">
        <w:rPr>
          <w:bCs/>
        </w:rPr>
        <w:t>Refer to the Summary of Product Characteristics of tezacaftor/ivacaftor for additional data.</w:t>
      </w:r>
    </w:p>
    <w:p w14:paraId="1E2B7C5E" w14:textId="77777777" w:rsidR="0082670E" w:rsidRPr="00A808AC" w:rsidRDefault="0082670E" w:rsidP="000D02CF">
      <w:pPr>
        <w:spacing w:line="240" w:lineRule="auto"/>
        <w:rPr>
          <w:u w:val="single"/>
        </w:rPr>
      </w:pPr>
    </w:p>
    <w:p w14:paraId="054EDBEC" w14:textId="77777777" w:rsidR="00962FDE" w:rsidRDefault="005A3D7D" w:rsidP="00A0798C">
      <w:pPr>
        <w:keepNext/>
        <w:spacing w:line="240" w:lineRule="auto"/>
        <w:rPr>
          <w:bCs/>
        </w:rPr>
      </w:pPr>
      <w:r w:rsidRPr="00E33F26">
        <w:rPr>
          <w:bCs/>
        </w:rPr>
        <w:t xml:space="preserve">The efficacy </w:t>
      </w:r>
      <w:r>
        <w:rPr>
          <w:bCs/>
        </w:rPr>
        <w:t xml:space="preserve">and safety </w:t>
      </w:r>
      <w:r w:rsidRPr="00E33F26">
        <w:rPr>
          <w:bCs/>
        </w:rPr>
        <w:t xml:space="preserve">of </w:t>
      </w:r>
      <w:r w:rsidR="005078CA">
        <w:rPr>
          <w:bCs/>
        </w:rPr>
        <w:t>ivacaftor</w:t>
      </w:r>
      <w:r w:rsidRPr="00E33F26">
        <w:rPr>
          <w:bCs/>
        </w:rPr>
        <w:t xml:space="preserve"> in a combina</w:t>
      </w:r>
      <w:r w:rsidRPr="00E33F26">
        <w:rPr>
          <w:bCs/>
        </w:rPr>
        <w:t xml:space="preserve">tion regimen with </w:t>
      </w:r>
      <w:r w:rsidR="005078CA">
        <w:rPr>
          <w:bCs/>
        </w:rPr>
        <w:t>ivacaftor/tezacaftor/elexacaftor</w:t>
      </w:r>
      <w:r w:rsidRPr="00E33F26">
        <w:rPr>
          <w:bCs/>
        </w:rPr>
        <w:t xml:space="preserve"> in patients </w:t>
      </w:r>
      <w:r w:rsidR="00680976">
        <w:rPr>
          <w:bCs/>
        </w:rPr>
        <w:t>aged 12</w:t>
      </w:r>
      <w:r w:rsidR="00B40199">
        <w:rPr>
          <w:bCs/>
        </w:rPr>
        <w:t> </w:t>
      </w:r>
      <w:r w:rsidR="00680976">
        <w:rPr>
          <w:bCs/>
        </w:rPr>
        <w:t xml:space="preserve">years and older </w:t>
      </w:r>
      <w:r w:rsidR="00265B4E">
        <w:rPr>
          <w:bCs/>
        </w:rPr>
        <w:t xml:space="preserve">was demonstrated in two, </w:t>
      </w:r>
      <w:r w:rsidR="00345559">
        <w:rPr>
          <w:bCs/>
        </w:rPr>
        <w:t>p</w:t>
      </w:r>
      <w:r w:rsidR="00265B4E">
        <w:rPr>
          <w:bCs/>
        </w:rPr>
        <w:t>hase 3 studies</w:t>
      </w:r>
      <w:r w:rsidR="00345559">
        <w:rPr>
          <w:bCs/>
        </w:rPr>
        <w:t xml:space="preserve">, randomised, double blind, placebo-controlled (heterozygous </w:t>
      </w:r>
      <w:r w:rsidR="00345559" w:rsidRPr="00C87E9E">
        <w:rPr>
          <w:bCs/>
          <w:i/>
          <w:iCs/>
        </w:rPr>
        <w:t>F508del</w:t>
      </w:r>
      <w:r w:rsidR="00345559">
        <w:rPr>
          <w:bCs/>
        </w:rPr>
        <w:t xml:space="preserve"> patients, n=403) and active-controlled (homozygous </w:t>
      </w:r>
      <w:r w:rsidR="00345559" w:rsidRPr="00C87E9E">
        <w:rPr>
          <w:bCs/>
          <w:i/>
          <w:iCs/>
        </w:rPr>
        <w:t>F508del</w:t>
      </w:r>
      <w:r w:rsidR="00345559">
        <w:rPr>
          <w:bCs/>
        </w:rPr>
        <w:t xml:space="preserve"> patients, n=107) of </w:t>
      </w:r>
      <w:r w:rsidRPr="00E33F26">
        <w:rPr>
          <w:bCs/>
        </w:rPr>
        <w:t>24</w:t>
      </w:r>
      <w:r w:rsidR="00345559">
        <w:rPr>
          <w:bCs/>
        </w:rPr>
        <w:t xml:space="preserve"> and 4</w:t>
      </w:r>
      <w:r w:rsidRPr="00E33F26">
        <w:rPr>
          <w:bCs/>
        </w:rPr>
        <w:t> week</w:t>
      </w:r>
      <w:r w:rsidR="00345559">
        <w:rPr>
          <w:bCs/>
        </w:rPr>
        <w:t xml:space="preserve">s of duration, respectively. Heterozygous </w:t>
      </w:r>
      <w:r w:rsidR="00345559">
        <w:rPr>
          <w:bCs/>
          <w:i/>
          <w:iCs/>
        </w:rPr>
        <w:t>F508del</w:t>
      </w:r>
      <w:r w:rsidR="00345559">
        <w:rPr>
          <w:bCs/>
        </w:rPr>
        <w:t xml:space="preserve"> patients </w:t>
      </w:r>
      <w:r w:rsidR="00265B4E">
        <w:rPr>
          <w:bCs/>
        </w:rPr>
        <w:t xml:space="preserve">had a </w:t>
      </w:r>
      <w:r w:rsidR="00254D05">
        <w:rPr>
          <w:bCs/>
        </w:rPr>
        <w:t xml:space="preserve">minimal function </w:t>
      </w:r>
      <w:r w:rsidR="00265B4E">
        <w:rPr>
          <w:bCs/>
        </w:rPr>
        <w:t>mutation on the second allele</w:t>
      </w:r>
      <w:r w:rsidR="00345559">
        <w:rPr>
          <w:bCs/>
        </w:rPr>
        <w:t xml:space="preserve"> </w:t>
      </w:r>
      <w:r w:rsidR="00254D05" w:rsidRPr="00D41758">
        <w:rPr>
          <w:bCs/>
        </w:rPr>
        <w:t xml:space="preserve">defined as </w:t>
      </w:r>
      <w:r w:rsidR="00345559">
        <w:rPr>
          <w:bCs/>
        </w:rPr>
        <w:t xml:space="preserve">one that either leads to </w:t>
      </w:r>
      <w:r w:rsidR="00254D05" w:rsidRPr="00BC7579">
        <w:t xml:space="preserve">no CFTR protein </w:t>
      </w:r>
      <w:r w:rsidR="00345559">
        <w:t>being</w:t>
      </w:r>
      <w:r w:rsidR="00254D05" w:rsidRPr="00BC7579">
        <w:t xml:space="preserve"> produced (</w:t>
      </w:r>
      <w:r w:rsidR="00345559">
        <w:t xml:space="preserve">e.g. Class I) or a </w:t>
      </w:r>
      <w:r w:rsidR="00254D05" w:rsidRPr="00BC7579">
        <w:t xml:space="preserve">CFTR protein that does not </w:t>
      </w:r>
      <w:r w:rsidR="00345559">
        <w:t xml:space="preserve">function to </w:t>
      </w:r>
      <w:r w:rsidR="00254D05" w:rsidRPr="00BC7579">
        <w:t>transport chloride</w:t>
      </w:r>
      <w:r w:rsidR="00254D05">
        <w:t xml:space="preserve"> </w:t>
      </w:r>
      <w:r w:rsidR="00254D05" w:rsidRPr="009E2A1B">
        <w:t xml:space="preserve">and is </w:t>
      </w:r>
      <w:r w:rsidR="00345559">
        <w:t xml:space="preserve">unlikely to respond </w:t>
      </w:r>
      <w:r w:rsidR="00254D05" w:rsidRPr="009E2A1B">
        <w:t>to</w:t>
      </w:r>
      <w:r w:rsidR="00345559">
        <w:t xml:space="preserve"> other CFTR modulators (tezacaftor,</w:t>
      </w:r>
      <w:r w:rsidR="00254D05" w:rsidRPr="009E2A1B">
        <w:t xml:space="preserve"> ivacaftor </w:t>
      </w:r>
      <w:r w:rsidR="00345559">
        <w:t>or the combination of both)</w:t>
      </w:r>
      <w:r w:rsidR="00254D05" w:rsidRPr="00D41758">
        <w:rPr>
          <w:bCs/>
        </w:rPr>
        <w:t xml:space="preserve">. </w:t>
      </w:r>
      <w:r w:rsidR="00345559">
        <w:rPr>
          <w:bCs/>
        </w:rPr>
        <w:t xml:space="preserve">Homozygous </w:t>
      </w:r>
      <w:r w:rsidR="00345559">
        <w:rPr>
          <w:bCs/>
          <w:i/>
          <w:iCs/>
        </w:rPr>
        <w:t>F508del</w:t>
      </w:r>
      <w:r w:rsidR="00345559">
        <w:rPr>
          <w:bCs/>
        </w:rPr>
        <w:t xml:space="preserve"> patients</w:t>
      </w:r>
      <w:r w:rsidRPr="00E33F26">
        <w:rPr>
          <w:bCs/>
        </w:rPr>
        <w:t xml:space="preserve"> </w:t>
      </w:r>
      <w:r w:rsidR="00265B4E">
        <w:rPr>
          <w:bCs/>
        </w:rPr>
        <w:t xml:space="preserve">received tezacaftor/ivacaftor and ivacaftor regimen during a 4-week open-label run-in period and were then randomised and dosed to receive ivacaftor in combination with </w:t>
      </w:r>
      <w:r w:rsidR="00680976">
        <w:rPr>
          <w:bCs/>
        </w:rPr>
        <w:t>ivacaftor/tezacaftor/elexacaftor</w:t>
      </w:r>
      <w:r w:rsidR="00265B4E">
        <w:rPr>
          <w:bCs/>
        </w:rPr>
        <w:t xml:space="preserve"> during a 4-week double-blind treatment period.</w:t>
      </w:r>
      <w:r w:rsidR="00CB7840">
        <w:rPr>
          <w:bCs/>
        </w:rPr>
        <w:t xml:space="preserve"> </w:t>
      </w:r>
      <w:r>
        <w:rPr>
          <w:bCs/>
        </w:rPr>
        <w:t>Patient</w:t>
      </w:r>
      <w:r>
        <w:rPr>
          <w:bCs/>
        </w:rPr>
        <w:t>s from both studies were eligible to enter an</w:t>
      </w:r>
      <w:r w:rsidRPr="00E33F26">
        <w:rPr>
          <w:bCs/>
        </w:rPr>
        <w:t xml:space="preserve"> open</w:t>
      </w:r>
      <w:r w:rsidRPr="00E33F26">
        <w:rPr>
          <w:bCs/>
        </w:rPr>
        <w:noBreakHyphen/>
        <w:t>label, rollover, 96</w:t>
      </w:r>
      <w:r>
        <w:rPr>
          <w:bCs/>
        </w:rPr>
        <w:t>-</w:t>
      </w:r>
      <w:r w:rsidRPr="00E33F26">
        <w:rPr>
          <w:bCs/>
        </w:rPr>
        <w:t>week study</w:t>
      </w:r>
      <w:r>
        <w:rPr>
          <w:bCs/>
        </w:rPr>
        <w:t xml:space="preserve">. </w:t>
      </w:r>
      <w:r w:rsidRPr="00E33F26">
        <w:rPr>
          <w:bCs/>
        </w:rPr>
        <w:t xml:space="preserve">Refer to the Summary of Product Characteristics of </w:t>
      </w:r>
      <w:r w:rsidR="00680976">
        <w:rPr>
          <w:bCs/>
        </w:rPr>
        <w:t>ivacaftor/tezacaftor/elexacaftor</w:t>
      </w:r>
      <w:r w:rsidRPr="00E33F26">
        <w:rPr>
          <w:bCs/>
        </w:rPr>
        <w:t xml:space="preserve"> for additional data.</w:t>
      </w:r>
    </w:p>
    <w:p w14:paraId="3D57A1EF" w14:textId="77777777" w:rsidR="00962FDE" w:rsidRDefault="00962FDE" w:rsidP="000D02CF">
      <w:pPr>
        <w:keepNext/>
        <w:spacing w:line="240" w:lineRule="auto"/>
        <w:rPr>
          <w:u w:val="single"/>
        </w:rPr>
      </w:pPr>
    </w:p>
    <w:p w14:paraId="65EC2650" w14:textId="77777777" w:rsidR="00F976E8" w:rsidRDefault="005A3D7D" w:rsidP="000D02CF">
      <w:pPr>
        <w:keepNext/>
        <w:spacing w:line="240" w:lineRule="auto"/>
        <w:rPr>
          <w:u w:val="single"/>
        </w:rPr>
      </w:pPr>
      <w:r w:rsidRPr="00A808AC">
        <w:rPr>
          <w:u w:val="single"/>
        </w:rPr>
        <w:t>Paediatric population</w:t>
      </w:r>
    </w:p>
    <w:p w14:paraId="2F86B8C2" w14:textId="77777777" w:rsidR="00223101" w:rsidRPr="00A808AC" w:rsidRDefault="00223101" w:rsidP="000D02CF">
      <w:pPr>
        <w:keepNext/>
        <w:spacing w:line="240" w:lineRule="auto"/>
        <w:rPr>
          <w:u w:val="single"/>
        </w:rPr>
      </w:pPr>
    </w:p>
    <w:p w14:paraId="5E6AC151" w14:textId="77777777" w:rsidR="00F976E8" w:rsidRDefault="005A3D7D" w:rsidP="000D02CF">
      <w:pPr>
        <w:spacing w:line="240" w:lineRule="auto"/>
      </w:pPr>
      <w:r w:rsidRPr="00A808AC">
        <w:t>The European Medicines Agency has deferred t</w:t>
      </w:r>
      <w:r w:rsidRPr="00A808AC">
        <w:t xml:space="preserve">he obligation to submit the results of studies with </w:t>
      </w:r>
      <w:r w:rsidR="00B37045">
        <w:t>Kalydeco</w:t>
      </w:r>
      <w:r w:rsidRPr="00A808AC">
        <w:t xml:space="preserve"> in one or more subsets of the paediatric population in cystic fibrosis</w:t>
      </w:r>
      <w:r w:rsidR="00C91F83" w:rsidRPr="00A808AC">
        <w:t xml:space="preserve"> (s</w:t>
      </w:r>
      <w:r w:rsidRPr="00A808AC">
        <w:t>ee section 4.2 for information on paediatric use</w:t>
      </w:r>
      <w:r w:rsidR="00C91F83" w:rsidRPr="00A808AC">
        <w:t>)</w:t>
      </w:r>
      <w:r w:rsidRPr="00A808AC">
        <w:t>.</w:t>
      </w:r>
    </w:p>
    <w:p w14:paraId="40872E45" w14:textId="77777777" w:rsidR="00F976E8" w:rsidRPr="00A808AC" w:rsidRDefault="00F976E8" w:rsidP="000D02CF">
      <w:pPr>
        <w:tabs>
          <w:tab w:val="clear" w:pos="567"/>
        </w:tabs>
        <w:spacing w:line="240" w:lineRule="auto"/>
        <w:rPr>
          <w:iCs/>
        </w:rPr>
      </w:pPr>
    </w:p>
    <w:p w14:paraId="1D06F1D9" w14:textId="77777777" w:rsidR="00F976E8" w:rsidRPr="00A808AC" w:rsidRDefault="005A3D7D" w:rsidP="000A093B">
      <w:pPr>
        <w:keepNext/>
        <w:suppressLineNumbers/>
        <w:spacing w:line="240" w:lineRule="auto"/>
        <w:ind w:left="567" w:hanging="567"/>
        <w:outlineLvl w:val="1"/>
        <w:rPr>
          <w:b/>
          <w:bCs/>
        </w:rPr>
      </w:pPr>
      <w:r w:rsidRPr="00A808AC">
        <w:rPr>
          <w:b/>
          <w:bCs/>
        </w:rPr>
        <w:t>5.2</w:t>
      </w:r>
      <w:r w:rsidRPr="00A808AC">
        <w:rPr>
          <w:b/>
          <w:bCs/>
        </w:rPr>
        <w:tab/>
        <w:t>Pharmacokinetic properties</w:t>
      </w:r>
    </w:p>
    <w:p w14:paraId="2E78D113" w14:textId="77777777" w:rsidR="00F976E8" w:rsidRPr="00A808AC" w:rsidRDefault="00F976E8" w:rsidP="000A093B">
      <w:pPr>
        <w:keepNext/>
        <w:tabs>
          <w:tab w:val="clear" w:pos="567"/>
        </w:tabs>
        <w:spacing w:line="240" w:lineRule="auto"/>
        <w:rPr>
          <w:iCs/>
        </w:rPr>
      </w:pPr>
    </w:p>
    <w:p w14:paraId="6BF98511" w14:textId="77777777" w:rsidR="00F976E8" w:rsidRPr="00A808AC" w:rsidRDefault="005A3D7D" w:rsidP="000A093B">
      <w:pPr>
        <w:keepNext/>
        <w:tabs>
          <w:tab w:val="clear" w:pos="567"/>
        </w:tabs>
        <w:spacing w:line="240" w:lineRule="auto"/>
        <w:rPr>
          <w:rFonts w:eastAsia="MS Mincho"/>
          <w:lang w:eastAsia="ja-JP"/>
        </w:rPr>
      </w:pPr>
      <w:r w:rsidRPr="00A808AC">
        <w:rPr>
          <w:rFonts w:eastAsia="MS Mincho"/>
          <w:lang w:eastAsia="ja-JP"/>
        </w:rPr>
        <w:t xml:space="preserve">The pharmacokinetics of </w:t>
      </w:r>
      <w:r w:rsidRPr="00A808AC">
        <w:rPr>
          <w:rFonts w:eastAsia="MS Mincho"/>
          <w:lang w:eastAsia="ja-JP"/>
        </w:rPr>
        <w:t>ivacaftor are similar between healthy adult volunteers and patients with CF.</w:t>
      </w:r>
    </w:p>
    <w:p w14:paraId="5E72BBBC" w14:textId="77777777" w:rsidR="00F976E8" w:rsidRPr="00A808AC" w:rsidRDefault="00F976E8" w:rsidP="000D02CF">
      <w:pPr>
        <w:tabs>
          <w:tab w:val="clear" w:pos="567"/>
        </w:tabs>
        <w:spacing w:line="240" w:lineRule="auto"/>
        <w:rPr>
          <w:rFonts w:eastAsia="MS Mincho"/>
          <w:lang w:eastAsia="ja-JP"/>
        </w:rPr>
      </w:pPr>
    </w:p>
    <w:p w14:paraId="7298FE20" w14:textId="77777777" w:rsidR="00F976E8" w:rsidRPr="00A808AC" w:rsidRDefault="005A3D7D" w:rsidP="000D02CF">
      <w:pPr>
        <w:tabs>
          <w:tab w:val="clear" w:pos="567"/>
        </w:tabs>
        <w:spacing w:line="240" w:lineRule="auto"/>
        <w:rPr>
          <w:rFonts w:eastAsia="MS Mincho"/>
          <w:lang w:eastAsia="ja-JP"/>
        </w:rPr>
      </w:pPr>
      <w:r w:rsidRPr="00A808AC">
        <w:rPr>
          <w:rFonts w:eastAsia="MS Mincho"/>
          <w:lang w:eastAsia="ja-JP"/>
        </w:rPr>
        <w:t>After oral administration of a single 150</w:t>
      </w:r>
      <w:r w:rsidR="007A552B" w:rsidRPr="00A808AC">
        <w:rPr>
          <w:rFonts w:eastAsia="MS Mincho"/>
          <w:lang w:eastAsia="ja-JP"/>
        </w:rPr>
        <w:t> </w:t>
      </w:r>
      <w:r w:rsidRPr="00A808AC">
        <w:rPr>
          <w:rFonts w:eastAsia="MS Mincho"/>
          <w:lang w:eastAsia="ja-JP"/>
        </w:rPr>
        <w:t>mg dose to healthy volunteers in a fed state, the mean (±</w:t>
      </w:r>
      <w:r w:rsidR="00F812DF">
        <w:rPr>
          <w:rFonts w:eastAsia="MS Mincho"/>
          <w:lang w:eastAsia="ja-JP"/>
        </w:rPr>
        <w:t> </w:t>
      </w:r>
      <w:r w:rsidRPr="00A808AC">
        <w:rPr>
          <w:rFonts w:eastAsia="MS Mincho"/>
          <w:lang w:eastAsia="ja-JP"/>
        </w:rPr>
        <w:t>SD) for AUC and C</w:t>
      </w:r>
      <w:r w:rsidRPr="00A808AC">
        <w:rPr>
          <w:rFonts w:eastAsia="MS Mincho"/>
          <w:vertAlign w:val="subscript"/>
          <w:lang w:eastAsia="ja-JP"/>
        </w:rPr>
        <w:t>max</w:t>
      </w:r>
      <w:r w:rsidRPr="00A808AC">
        <w:rPr>
          <w:rFonts w:eastAsia="MS Mincho"/>
          <w:lang w:eastAsia="ja-JP"/>
        </w:rPr>
        <w:t xml:space="preserve"> were 10600 (5260) ng*hr/mL and 768 (233) ng/mL, respectively. After every 12</w:t>
      </w:r>
      <w:r w:rsidRPr="00A808AC">
        <w:rPr>
          <w:rFonts w:eastAsia="MS Mincho"/>
          <w:lang w:eastAsia="ja-JP"/>
        </w:rPr>
        <w:noBreakHyphen/>
        <w:t>hour dosing, steady</w:t>
      </w:r>
      <w:r w:rsidRPr="00A808AC">
        <w:rPr>
          <w:rFonts w:eastAsia="MS Mincho"/>
          <w:lang w:eastAsia="ja-JP"/>
        </w:rPr>
        <w:noBreakHyphen/>
        <w:t xml:space="preserve">state plasma concentrations of ivacaftor were reached by </w:t>
      </w:r>
      <w:r w:rsidR="00E347A4">
        <w:rPr>
          <w:rFonts w:eastAsia="MS Mincho"/>
          <w:lang w:eastAsia="ja-JP"/>
        </w:rPr>
        <w:t>d</w:t>
      </w:r>
      <w:r w:rsidR="00C53F51" w:rsidRPr="00A808AC">
        <w:rPr>
          <w:rFonts w:eastAsia="MS Mincho"/>
          <w:lang w:eastAsia="ja-JP"/>
        </w:rPr>
        <w:t>ays</w:t>
      </w:r>
      <w:r w:rsidR="009329EC" w:rsidRPr="00A808AC">
        <w:t> </w:t>
      </w:r>
      <w:r w:rsidRPr="00A808AC">
        <w:rPr>
          <w:rFonts w:eastAsia="MS Mincho"/>
          <w:lang w:eastAsia="ja-JP"/>
        </w:rPr>
        <w:t>3 to 5, with an accumulation ratio ranging from 2.2 to 2.9.</w:t>
      </w:r>
    </w:p>
    <w:p w14:paraId="725A01DD" w14:textId="77777777" w:rsidR="00F976E8" w:rsidRPr="00A808AC" w:rsidRDefault="00F976E8" w:rsidP="000D02CF">
      <w:pPr>
        <w:tabs>
          <w:tab w:val="clear" w:pos="567"/>
        </w:tabs>
        <w:spacing w:line="240" w:lineRule="auto"/>
        <w:rPr>
          <w:iCs/>
        </w:rPr>
      </w:pPr>
    </w:p>
    <w:p w14:paraId="02067F63" w14:textId="77777777" w:rsidR="00F976E8" w:rsidRDefault="005A3D7D" w:rsidP="00A0798C">
      <w:pPr>
        <w:pStyle w:val="labeltextheading"/>
        <w:rPr>
          <w:i w:val="0"/>
          <w:iCs w:val="0"/>
          <w:sz w:val="22"/>
          <w:szCs w:val="22"/>
          <w:u w:val="single"/>
          <w:lang w:val="en-GB"/>
        </w:rPr>
      </w:pPr>
      <w:r w:rsidRPr="00A808AC">
        <w:rPr>
          <w:i w:val="0"/>
          <w:iCs w:val="0"/>
          <w:sz w:val="22"/>
          <w:szCs w:val="22"/>
          <w:u w:val="single"/>
          <w:lang w:val="en-GB"/>
        </w:rPr>
        <w:t>Absorption</w:t>
      </w:r>
    </w:p>
    <w:p w14:paraId="4E51B56E" w14:textId="77777777" w:rsidR="00223101" w:rsidRPr="00A808AC" w:rsidRDefault="00223101" w:rsidP="0069106A">
      <w:pPr>
        <w:pStyle w:val="labeltextheading"/>
        <w:rPr>
          <w:i w:val="0"/>
          <w:iCs w:val="0"/>
          <w:sz w:val="22"/>
          <w:szCs w:val="22"/>
          <w:u w:val="single"/>
          <w:lang w:val="en-GB"/>
        </w:rPr>
      </w:pPr>
    </w:p>
    <w:p w14:paraId="2FAA2D35" w14:textId="64E37078" w:rsidR="00F976E8" w:rsidRPr="00A808AC" w:rsidRDefault="005A3D7D" w:rsidP="000A093B">
      <w:pPr>
        <w:pStyle w:val="labeltext"/>
        <w:keepNext/>
        <w:rPr>
          <w:sz w:val="22"/>
          <w:szCs w:val="22"/>
          <w:lang w:val="en-GB"/>
        </w:rPr>
      </w:pPr>
      <w:r w:rsidRPr="00A808AC">
        <w:rPr>
          <w:sz w:val="22"/>
          <w:szCs w:val="22"/>
          <w:lang w:val="en-GB"/>
        </w:rPr>
        <w:t>Following multiple oral</w:t>
      </w:r>
      <w:r w:rsidRPr="00A808AC">
        <w:rPr>
          <w:sz w:val="22"/>
          <w:szCs w:val="22"/>
          <w:lang w:val="en-GB"/>
        </w:rPr>
        <w:t xml:space="preserve"> dose administrations of ivacaftor, the exposure of ivacaftor generally increased with dose from 25 mg every 12</w:t>
      </w:r>
      <w:r w:rsidR="007A552B" w:rsidRPr="00A808AC">
        <w:rPr>
          <w:sz w:val="22"/>
          <w:szCs w:val="22"/>
          <w:lang w:val="en-GB"/>
        </w:rPr>
        <w:t> </w:t>
      </w:r>
      <w:r w:rsidRPr="00A808AC">
        <w:rPr>
          <w:sz w:val="22"/>
          <w:szCs w:val="22"/>
          <w:lang w:val="en-GB"/>
        </w:rPr>
        <w:t>hours to 450 mg every 12</w:t>
      </w:r>
      <w:r w:rsidR="007A552B" w:rsidRPr="00A808AC">
        <w:rPr>
          <w:sz w:val="22"/>
          <w:szCs w:val="22"/>
          <w:lang w:val="en-GB"/>
        </w:rPr>
        <w:t> </w:t>
      </w:r>
      <w:r w:rsidRPr="00A808AC">
        <w:rPr>
          <w:sz w:val="22"/>
          <w:szCs w:val="22"/>
          <w:lang w:val="en-GB"/>
        </w:rPr>
        <w:t xml:space="preserve">hours. </w:t>
      </w:r>
      <w:r w:rsidR="00680976">
        <w:rPr>
          <w:sz w:val="22"/>
          <w:szCs w:val="22"/>
          <w:lang w:val="en-GB"/>
        </w:rPr>
        <w:t>When given with fat-containing food, t</w:t>
      </w:r>
      <w:r w:rsidRPr="00A808AC">
        <w:rPr>
          <w:sz w:val="22"/>
          <w:szCs w:val="22"/>
          <w:lang w:val="en-GB"/>
        </w:rPr>
        <w:t>he exposure of ivacaftor increased approximately 2.5</w:t>
      </w:r>
      <w:r w:rsidR="00F812DF">
        <w:rPr>
          <w:sz w:val="22"/>
          <w:szCs w:val="22"/>
          <w:lang w:val="en-GB"/>
        </w:rPr>
        <w:noBreakHyphen/>
      </w:r>
      <w:r w:rsidRPr="00A808AC">
        <w:rPr>
          <w:sz w:val="22"/>
          <w:szCs w:val="22"/>
          <w:lang w:val="en-GB"/>
        </w:rPr>
        <w:t xml:space="preserve"> to 4</w:t>
      </w:r>
      <w:r w:rsidRPr="00A808AC">
        <w:rPr>
          <w:sz w:val="22"/>
          <w:szCs w:val="22"/>
          <w:lang w:val="en-GB"/>
        </w:rPr>
        <w:noBreakHyphen/>
        <w:t xml:space="preserve">fold. </w:t>
      </w:r>
      <w:r w:rsidR="00680976">
        <w:rPr>
          <w:sz w:val="22"/>
          <w:szCs w:val="22"/>
          <w:lang w:val="en-GB"/>
        </w:rPr>
        <w:t xml:space="preserve">When co-administered with </w:t>
      </w:r>
      <w:r w:rsidR="00194846" w:rsidRPr="00D878E1">
        <w:rPr>
          <w:sz w:val="22"/>
          <w:szCs w:val="22"/>
          <w:lang w:val="en-GB"/>
        </w:rPr>
        <w:t xml:space="preserve">tezacaftor </w:t>
      </w:r>
      <w:r w:rsidR="00680976">
        <w:rPr>
          <w:sz w:val="22"/>
          <w:szCs w:val="22"/>
          <w:lang w:val="en-GB"/>
        </w:rPr>
        <w:t>and elexacaftor, the increase in AUC was similar (</w:t>
      </w:r>
      <w:r w:rsidR="00194846" w:rsidRPr="00D878E1">
        <w:rPr>
          <w:sz w:val="22"/>
          <w:szCs w:val="22"/>
          <w:lang w:val="en-GB"/>
        </w:rPr>
        <w:t>approximately 3</w:t>
      </w:r>
      <w:r w:rsidR="00082A16">
        <w:rPr>
          <w:sz w:val="22"/>
          <w:szCs w:val="22"/>
          <w:lang w:val="en-GB"/>
        </w:rPr>
        <w:noBreakHyphen/>
      </w:r>
      <w:r w:rsidR="00194846" w:rsidRPr="00D878E1">
        <w:rPr>
          <w:sz w:val="22"/>
          <w:szCs w:val="22"/>
          <w:lang w:val="en-GB"/>
        </w:rPr>
        <w:t>fold</w:t>
      </w:r>
      <w:r w:rsidR="00680976">
        <w:rPr>
          <w:sz w:val="22"/>
          <w:szCs w:val="22"/>
          <w:lang w:val="en-GB"/>
        </w:rPr>
        <w:t xml:space="preserve"> and </w:t>
      </w:r>
      <w:r w:rsidR="006B47DB">
        <w:rPr>
          <w:sz w:val="22"/>
          <w:szCs w:val="22"/>
          <w:lang w:val="en-GB"/>
        </w:rPr>
        <w:t>2.5-</w:t>
      </w:r>
      <w:r w:rsidR="000F5732">
        <w:rPr>
          <w:sz w:val="22"/>
          <w:szCs w:val="22"/>
          <w:lang w:val="en-GB"/>
        </w:rPr>
        <w:t>to 4-</w:t>
      </w:r>
      <w:r w:rsidR="006B47DB">
        <w:rPr>
          <w:sz w:val="22"/>
          <w:szCs w:val="22"/>
          <w:lang w:val="en-GB"/>
        </w:rPr>
        <w:t>fold</w:t>
      </w:r>
      <w:r w:rsidR="00680976">
        <w:rPr>
          <w:sz w:val="22"/>
          <w:szCs w:val="22"/>
          <w:lang w:val="en-GB"/>
        </w:rPr>
        <w:t xml:space="preserve"> respectively). Therefore, i</w:t>
      </w:r>
      <w:r w:rsidRPr="00A808AC">
        <w:rPr>
          <w:sz w:val="22"/>
          <w:szCs w:val="22"/>
          <w:lang w:val="en-GB"/>
        </w:rPr>
        <w:t>vacaftor</w:t>
      </w:r>
      <w:r w:rsidR="00194846">
        <w:rPr>
          <w:sz w:val="22"/>
          <w:szCs w:val="22"/>
          <w:lang w:val="en-GB"/>
        </w:rPr>
        <w:t xml:space="preserve">, administered </w:t>
      </w:r>
      <w:r w:rsidR="00F65C09">
        <w:rPr>
          <w:sz w:val="22"/>
          <w:szCs w:val="22"/>
          <w:lang w:val="en-GB"/>
        </w:rPr>
        <w:t>as monotherapy</w:t>
      </w:r>
      <w:r w:rsidR="00194846">
        <w:rPr>
          <w:sz w:val="22"/>
          <w:szCs w:val="22"/>
          <w:lang w:val="en-GB"/>
        </w:rPr>
        <w:t xml:space="preserve"> or in </w:t>
      </w:r>
      <w:r w:rsidR="00680976">
        <w:rPr>
          <w:sz w:val="22"/>
          <w:szCs w:val="22"/>
          <w:lang w:val="en-GB"/>
        </w:rPr>
        <w:t xml:space="preserve">a </w:t>
      </w:r>
      <w:r w:rsidR="00194846">
        <w:rPr>
          <w:sz w:val="22"/>
          <w:szCs w:val="22"/>
          <w:lang w:val="en-GB"/>
        </w:rPr>
        <w:t xml:space="preserve">combination </w:t>
      </w:r>
      <w:r w:rsidR="00680976">
        <w:rPr>
          <w:sz w:val="22"/>
          <w:szCs w:val="22"/>
          <w:lang w:val="en-GB"/>
        </w:rPr>
        <w:t xml:space="preserve">regimen </w:t>
      </w:r>
      <w:r w:rsidR="00194846">
        <w:rPr>
          <w:sz w:val="22"/>
          <w:szCs w:val="22"/>
          <w:lang w:val="en-GB"/>
        </w:rPr>
        <w:t>with tezacaftor</w:t>
      </w:r>
      <w:r w:rsidR="00903451">
        <w:rPr>
          <w:sz w:val="22"/>
          <w:szCs w:val="22"/>
          <w:lang w:val="en-GB"/>
        </w:rPr>
        <w:t>/ivacaftor</w:t>
      </w:r>
      <w:r w:rsidR="002F440A">
        <w:rPr>
          <w:sz w:val="22"/>
          <w:szCs w:val="22"/>
          <w:lang w:val="en-GB"/>
        </w:rPr>
        <w:t xml:space="preserve"> or </w:t>
      </w:r>
      <w:r w:rsidR="00680976">
        <w:rPr>
          <w:sz w:val="22"/>
          <w:szCs w:val="22"/>
          <w:lang w:val="en-GB"/>
        </w:rPr>
        <w:t>ivacaftor/tezacaftor/elexacaftor</w:t>
      </w:r>
      <w:r w:rsidR="00194846">
        <w:rPr>
          <w:sz w:val="22"/>
          <w:szCs w:val="22"/>
          <w:lang w:val="en-GB"/>
        </w:rPr>
        <w:t>,</w:t>
      </w:r>
      <w:r w:rsidRPr="00A808AC">
        <w:rPr>
          <w:sz w:val="22"/>
          <w:szCs w:val="22"/>
          <w:lang w:val="en-GB"/>
        </w:rPr>
        <w:t xml:space="preserve"> should be administered with fat</w:t>
      </w:r>
      <w:r w:rsidRPr="00A808AC">
        <w:rPr>
          <w:sz w:val="22"/>
          <w:szCs w:val="22"/>
          <w:lang w:val="en-GB"/>
        </w:rPr>
        <w:noBreakHyphen/>
        <w:t xml:space="preserve">containing food. The median (range) </w:t>
      </w:r>
      <w:r w:rsidR="00C9111D">
        <w:rPr>
          <w:sz w:val="22"/>
          <w:szCs w:val="22"/>
          <w:lang w:val="en-GB"/>
        </w:rPr>
        <w:t>t</w:t>
      </w:r>
      <w:r w:rsidRPr="00A808AC">
        <w:rPr>
          <w:sz w:val="22"/>
          <w:szCs w:val="22"/>
          <w:vertAlign w:val="subscript"/>
          <w:lang w:val="en-GB"/>
        </w:rPr>
        <w:t>max</w:t>
      </w:r>
      <w:r w:rsidRPr="00A808AC">
        <w:rPr>
          <w:sz w:val="22"/>
          <w:szCs w:val="22"/>
          <w:lang w:val="en-GB"/>
        </w:rPr>
        <w:t xml:space="preserve"> is approximately 4.0 (3.0; 6.0</w:t>
      </w:r>
      <w:r w:rsidR="00C813D0" w:rsidRPr="00A808AC">
        <w:rPr>
          <w:sz w:val="22"/>
          <w:szCs w:val="22"/>
          <w:lang w:val="en-GB"/>
        </w:rPr>
        <w:t>)</w:t>
      </w:r>
      <w:r w:rsidR="00C813D0">
        <w:rPr>
          <w:sz w:val="22"/>
          <w:szCs w:val="22"/>
          <w:lang w:val="en-GB"/>
        </w:rPr>
        <w:t> </w:t>
      </w:r>
      <w:r w:rsidRPr="00A808AC">
        <w:rPr>
          <w:sz w:val="22"/>
          <w:szCs w:val="22"/>
          <w:lang w:val="en-GB"/>
        </w:rPr>
        <w:t>hours in the fed state.</w:t>
      </w:r>
    </w:p>
    <w:p w14:paraId="2E95187B" w14:textId="77777777" w:rsidR="00E1017C" w:rsidRPr="00A808AC" w:rsidRDefault="00E1017C" w:rsidP="000D02CF">
      <w:pPr>
        <w:tabs>
          <w:tab w:val="clear" w:pos="567"/>
        </w:tabs>
        <w:spacing w:line="240" w:lineRule="auto"/>
        <w:rPr>
          <w:iCs/>
        </w:rPr>
      </w:pPr>
    </w:p>
    <w:p w14:paraId="28D8F270" w14:textId="77777777" w:rsidR="00E1017C" w:rsidRPr="00A808AC" w:rsidRDefault="005A3D7D" w:rsidP="000D02CF">
      <w:pPr>
        <w:tabs>
          <w:tab w:val="clear" w:pos="567"/>
        </w:tabs>
        <w:spacing w:line="240" w:lineRule="auto"/>
        <w:rPr>
          <w:bCs/>
          <w:iCs/>
        </w:rPr>
      </w:pPr>
      <w:r w:rsidRPr="00A808AC">
        <w:rPr>
          <w:bCs/>
          <w:iCs/>
        </w:rPr>
        <w:t>Ivacaftor granules (2 x 75 mg sachets) had similar bioavailability as the 150 mg tablet when</w:t>
      </w:r>
      <w:r w:rsidRPr="00A808AC">
        <w:rPr>
          <w:bCs/>
          <w:iCs/>
        </w:rPr>
        <w:t xml:space="preserve"> given with fat-containing food to healthy adult subjects. The geometric least squares mean ratio (90% CI) for the granules relative to tablets was 0.951 (0.839, 1.08) for AUC</w:t>
      </w:r>
      <w:r w:rsidRPr="00A808AC">
        <w:rPr>
          <w:bCs/>
          <w:iCs/>
          <w:vertAlign w:val="subscript"/>
        </w:rPr>
        <w:t>0</w:t>
      </w:r>
      <w:r w:rsidRPr="00A808AC">
        <w:rPr>
          <w:bCs/>
          <w:iCs/>
          <w:vertAlign w:val="subscript"/>
        </w:rPr>
        <w:noBreakHyphen/>
        <w:t>∞</w:t>
      </w:r>
      <w:r w:rsidRPr="00A808AC">
        <w:rPr>
          <w:bCs/>
          <w:iCs/>
        </w:rPr>
        <w:t xml:space="preserve"> and 0.918 (0.750, 1.12) for C</w:t>
      </w:r>
      <w:r w:rsidRPr="00A808AC">
        <w:rPr>
          <w:bCs/>
          <w:iCs/>
          <w:vertAlign w:val="subscript"/>
        </w:rPr>
        <w:t>max</w:t>
      </w:r>
      <w:r w:rsidRPr="00A808AC">
        <w:rPr>
          <w:bCs/>
          <w:iCs/>
        </w:rPr>
        <w:t xml:space="preserve">. The effect of food on ivacaftor </w:t>
      </w:r>
      <w:r w:rsidRPr="00A808AC">
        <w:rPr>
          <w:bCs/>
          <w:iCs/>
        </w:rPr>
        <w:t>absorption is similar for both formulations, i.e., tablets and granules.</w:t>
      </w:r>
    </w:p>
    <w:p w14:paraId="25D97EAB" w14:textId="77777777" w:rsidR="00F976E8" w:rsidRPr="00A808AC" w:rsidRDefault="00F976E8" w:rsidP="000D02CF">
      <w:pPr>
        <w:tabs>
          <w:tab w:val="clear" w:pos="567"/>
        </w:tabs>
        <w:spacing w:line="240" w:lineRule="auto"/>
        <w:rPr>
          <w:iCs/>
        </w:rPr>
      </w:pPr>
    </w:p>
    <w:p w14:paraId="23DD20A4" w14:textId="77777777" w:rsidR="00F976E8" w:rsidRDefault="005A3D7D" w:rsidP="000A093B">
      <w:pPr>
        <w:keepNext/>
        <w:numPr>
          <w:ilvl w:val="12"/>
          <w:numId w:val="0"/>
        </w:numPr>
        <w:suppressLineNumbers/>
        <w:spacing w:line="240" w:lineRule="auto"/>
        <w:ind w:right="-2"/>
        <w:rPr>
          <w:u w:val="single"/>
        </w:rPr>
      </w:pPr>
      <w:r w:rsidRPr="00A808AC">
        <w:rPr>
          <w:u w:val="single"/>
        </w:rPr>
        <w:t>Distribution</w:t>
      </w:r>
    </w:p>
    <w:p w14:paraId="753A0818" w14:textId="77777777" w:rsidR="00223101" w:rsidRPr="00A808AC" w:rsidRDefault="00223101" w:rsidP="000A093B">
      <w:pPr>
        <w:keepNext/>
        <w:numPr>
          <w:ilvl w:val="12"/>
          <w:numId w:val="0"/>
        </w:numPr>
        <w:suppressLineNumbers/>
        <w:spacing w:line="240" w:lineRule="auto"/>
        <w:ind w:right="-2"/>
        <w:rPr>
          <w:u w:val="single"/>
        </w:rPr>
      </w:pPr>
    </w:p>
    <w:p w14:paraId="4E557CB9" w14:textId="045E9BA7" w:rsidR="005F5707" w:rsidRDefault="005A3D7D" w:rsidP="000A093B">
      <w:pPr>
        <w:pStyle w:val="labeltext"/>
        <w:keepNext/>
        <w:rPr>
          <w:sz w:val="22"/>
          <w:szCs w:val="22"/>
          <w:lang w:val="en-GB"/>
        </w:rPr>
      </w:pPr>
      <w:r w:rsidRPr="00A808AC">
        <w:rPr>
          <w:sz w:val="22"/>
          <w:szCs w:val="22"/>
          <w:lang w:val="en-GB"/>
        </w:rPr>
        <w:t>Ivacaftor is approximately 99% bound to plasma proteins, primarily to alpha 1</w:t>
      </w:r>
      <w:r w:rsidRPr="00A808AC">
        <w:rPr>
          <w:sz w:val="22"/>
          <w:szCs w:val="22"/>
          <w:lang w:val="en-GB"/>
        </w:rPr>
        <w:noBreakHyphen/>
        <w:t>acid glycoprotein and albumin. Ivacaftor does not bind to human red blood cells.</w:t>
      </w:r>
      <w:r>
        <w:rPr>
          <w:sz w:val="22"/>
          <w:szCs w:val="22"/>
          <w:lang w:val="en-GB"/>
        </w:rPr>
        <w:t xml:space="preserve"> </w:t>
      </w:r>
      <w:r w:rsidRPr="00A808AC">
        <w:rPr>
          <w:sz w:val="22"/>
          <w:szCs w:val="22"/>
          <w:lang w:val="en-GB"/>
        </w:rPr>
        <w:t>After ora</w:t>
      </w:r>
      <w:r w:rsidRPr="00A808AC">
        <w:rPr>
          <w:sz w:val="22"/>
          <w:szCs w:val="22"/>
          <w:lang w:val="en-GB"/>
        </w:rPr>
        <w:t xml:space="preserve">l administration of </w:t>
      </w:r>
      <w:r w:rsidR="00194846">
        <w:rPr>
          <w:sz w:val="22"/>
          <w:szCs w:val="22"/>
          <w:lang w:val="en-GB"/>
        </w:rPr>
        <w:t>ivacaftor</w:t>
      </w:r>
      <w:r w:rsidRPr="00A808AC">
        <w:rPr>
          <w:sz w:val="22"/>
          <w:szCs w:val="22"/>
          <w:lang w:val="en-GB"/>
        </w:rPr>
        <w:t>150 mg every 12 hours for 7 days in healthy volunteers in a fed state, the mean (±</w:t>
      </w:r>
      <w:r w:rsidR="00121FD1">
        <w:rPr>
          <w:sz w:val="22"/>
          <w:szCs w:val="22"/>
          <w:lang w:val="en-GB"/>
        </w:rPr>
        <w:t> </w:t>
      </w:r>
      <w:r w:rsidRPr="00A808AC">
        <w:rPr>
          <w:sz w:val="22"/>
          <w:szCs w:val="22"/>
          <w:lang w:val="en-GB"/>
        </w:rPr>
        <w:t>SD) apparent volume of distribution was 353 </w:t>
      </w:r>
      <w:r w:rsidR="00680976" w:rsidRPr="00194846">
        <w:rPr>
          <w:sz w:val="22"/>
          <w:szCs w:val="22"/>
          <w:lang w:val="en-GB"/>
        </w:rPr>
        <w:t>L</w:t>
      </w:r>
      <w:r w:rsidR="00680976" w:rsidRPr="00A808AC">
        <w:rPr>
          <w:sz w:val="22"/>
          <w:szCs w:val="22"/>
          <w:lang w:val="en-GB"/>
        </w:rPr>
        <w:t xml:space="preserve"> </w:t>
      </w:r>
      <w:r w:rsidRPr="00A808AC">
        <w:rPr>
          <w:sz w:val="22"/>
          <w:szCs w:val="22"/>
          <w:lang w:val="en-GB"/>
        </w:rPr>
        <w:t>(122</w:t>
      </w:r>
      <w:r w:rsidRPr="00194846">
        <w:rPr>
          <w:sz w:val="22"/>
          <w:szCs w:val="22"/>
          <w:lang w:val="en-GB"/>
        </w:rPr>
        <w:t>) .</w:t>
      </w:r>
    </w:p>
    <w:p w14:paraId="409EB6B9" w14:textId="77777777" w:rsidR="00967F8A" w:rsidRPr="000A093B" w:rsidRDefault="00967F8A" w:rsidP="000D02CF">
      <w:pPr>
        <w:pStyle w:val="labeltext"/>
        <w:rPr>
          <w:i/>
          <w:sz w:val="22"/>
          <w:lang w:val="en-GB"/>
        </w:rPr>
      </w:pPr>
    </w:p>
    <w:p w14:paraId="23D4B82B" w14:textId="77777777" w:rsidR="00F976E8" w:rsidRDefault="005A3D7D" w:rsidP="00A0798C">
      <w:pPr>
        <w:pStyle w:val="labeltext"/>
        <w:keepNext/>
        <w:rPr>
          <w:sz w:val="22"/>
          <w:szCs w:val="22"/>
          <w:u w:val="single"/>
          <w:lang w:val="en-GB"/>
        </w:rPr>
      </w:pPr>
      <w:r w:rsidRPr="00A808AC">
        <w:rPr>
          <w:sz w:val="22"/>
          <w:szCs w:val="22"/>
          <w:u w:val="single"/>
          <w:lang w:val="en-GB"/>
        </w:rPr>
        <w:t>Biotransformation</w:t>
      </w:r>
    </w:p>
    <w:p w14:paraId="32A9FEBF" w14:textId="77777777" w:rsidR="00223101" w:rsidRPr="00A808AC" w:rsidRDefault="00223101" w:rsidP="0069106A">
      <w:pPr>
        <w:pStyle w:val="labeltext"/>
        <w:keepNext/>
        <w:rPr>
          <w:i/>
          <w:sz w:val="22"/>
          <w:szCs w:val="22"/>
          <w:u w:val="single"/>
          <w:lang w:val="en-GB"/>
        </w:rPr>
      </w:pPr>
    </w:p>
    <w:p w14:paraId="3E9EB6E9" w14:textId="77777777" w:rsidR="00F976E8" w:rsidRPr="00A808AC" w:rsidRDefault="005A3D7D" w:rsidP="000A093B">
      <w:pPr>
        <w:pStyle w:val="labeltext"/>
        <w:keepNext/>
        <w:rPr>
          <w:i/>
          <w:iCs/>
          <w:sz w:val="22"/>
          <w:szCs w:val="22"/>
          <w:lang w:val="en-GB"/>
        </w:rPr>
      </w:pPr>
      <w:r w:rsidRPr="00A808AC">
        <w:rPr>
          <w:sz w:val="22"/>
          <w:szCs w:val="22"/>
          <w:lang w:val="en-GB"/>
        </w:rPr>
        <w:t xml:space="preserve">Ivacaftor is extensively metabolised in humans. </w:t>
      </w:r>
      <w:r w:rsidRPr="00A808AC">
        <w:rPr>
          <w:i/>
          <w:sz w:val="22"/>
          <w:szCs w:val="22"/>
          <w:lang w:val="en-GB"/>
        </w:rPr>
        <w:t>In vitro</w:t>
      </w:r>
      <w:r w:rsidRPr="00A808AC">
        <w:rPr>
          <w:sz w:val="22"/>
          <w:szCs w:val="22"/>
          <w:lang w:val="en-GB"/>
        </w:rPr>
        <w:t xml:space="preserve"> and </w:t>
      </w:r>
      <w:r w:rsidRPr="00A808AC">
        <w:rPr>
          <w:i/>
          <w:sz w:val="22"/>
          <w:szCs w:val="22"/>
          <w:lang w:val="en-GB"/>
        </w:rPr>
        <w:t>in vivo</w:t>
      </w:r>
      <w:r w:rsidRPr="00A808AC">
        <w:rPr>
          <w:sz w:val="22"/>
          <w:szCs w:val="22"/>
          <w:lang w:val="en-GB"/>
        </w:rPr>
        <w:t xml:space="preserve"> data indicate that ivacaftor is primarily metabolised by CYP3A. M1 and M6 are the two major metabolites of ivacaftor in humans. M1 has approximately one</w:t>
      </w:r>
      <w:r w:rsidRPr="00A808AC">
        <w:rPr>
          <w:sz w:val="22"/>
          <w:szCs w:val="22"/>
          <w:lang w:val="en-GB"/>
        </w:rPr>
        <w:noBreakHyphen/>
        <w:t>sixth the potency of ivacaftor and</w:t>
      </w:r>
      <w:r w:rsidRPr="00A808AC">
        <w:rPr>
          <w:sz w:val="22"/>
          <w:szCs w:val="22"/>
          <w:lang w:val="en-GB"/>
        </w:rPr>
        <w:t xml:space="preserve"> is considered pharmacologically active. M6 has less than one</w:t>
      </w:r>
      <w:r w:rsidRPr="00A808AC">
        <w:rPr>
          <w:sz w:val="22"/>
          <w:szCs w:val="22"/>
          <w:lang w:val="en-GB"/>
        </w:rPr>
        <w:noBreakHyphen/>
        <w:t>fiftieth the potency of ivacaftor and is not considered pharmacologically active.</w:t>
      </w:r>
    </w:p>
    <w:p w14:paraId="69DBD418" w14:textId="77777777" w:rsidR="00F976E8" w:rsidRDefault="00F976E8" w:rsidP="000D02CF">
      <w:pPr>
        <w:pStyle w:val="labeltext"/>
        <w:rPr>
          <w:sz w:val="22"/>
          <w:szCs w:val="22"/>
          <w:lang w:val="en-GB"/>
        </w:rPr>
      </w:pPr>
    </w:p>
    <w:p w14:paraId="3164998D" w14:textId="77777777" w:rsidR="00680976" w:rsidRDefault="005A3D7D" w:rsidP="000F0737">
      <w:pPr>
        <w:pStyle w:val="labeltext"/>
        <w:rPr>
          <w:sz w:val="22"/>
          <w:szCs w:val="22"/>
        </w:rPr>
      </w:pPr>
      <w:r w:rsidRPr="00B6487D">
        <w:rPr>
          <w:sz w:val="22"/>
          <w:szCs w:val="22"/>
        </w:rPr>
        <w:t xml:space="preserve">The effect of the </w:t>
      </w:r>
      <w:r w:rsidRPr="00B6487D">
        <w:rPr>
          <w:iCs/>
          <w:sz w:val="22"/>
          <w:szCs w:val="22"/>
        </w:rPr>
        <w:t>CYP3A4*22</w:t>
      </w:r>
      <w:r w:rsidRPr="00B6487D">
        <w:rPr>
          <w:sz w:val="22"/>
          <w:szCs w:val="22"/>
        </w:rPr>
        <w:t xml:space="preserve"> heterozygous genotype on tezacaftor, ivacaftor and elexacaftor exposure is consiste</w:t>
      </w:r>
      <w:r w:rsidRPr="00B6487D">
        <w:rPr>
          <w:sz w:val="22"/>
          <w:szCs w:val="22"/>
        </w:rPr>
        <w:t xml:space="preserve">nt with the effect of co-administration of a weak CYP3A4 inhibitor, which is not clinically relevant. No dose-adjustment of tezacaftor, ivacaftor or elexacaftor is considered necessary. </w:t>
      </w:r>
      <w:r w:rsidRPr="000F0737">
        <w:rPr>
          <w:sz w:val="22"/>
          <w:szCs w:val="22"/>
        </w:rPr>
        <w:t xml:space="preserve">The effect in </w:t>
      </w:r>
      <w:r w:rsidRPr="000F0737">
        <w:rPr>
          <w:iCs/>
          <w:sz w:val="22"/>
          <w:szCs w:val="22"/>
        </w:rPr>
        <w:t>CYP3A4*22</w:t>
      </w:r>
      <w:r w:rsidRPr="000F0737">
        <w:rPr>
          <w:sz w:val="22"/>
          <w:szCs w:val="22"/>
        </w:rPr>
        <w:t xml:space="preserve"> homozygous genotype patients is expected to be</w:t>
      </w:r>
      <w:r w:rsidRPr="000F0737">
        <w:rPr>
          <w:sz w:val="22"/>
          <w:szCs w:val="22"/>
        </w:rPr>
        <w:t xml:space="preserve"> stronger.</w:t>
      </w:r>
      <w:r w:rsidRPr="00B6487D">
        <w:rPr>
          <w:sz w:val="22"/>
          <w:szCs w:val="22"/>
        </w:rPr>
        <w:t xml:space="preserve"> However, no data are available for such patients.</w:t>
      </w:r>
    </w:p>
    <w:p w14:paraId="7B638139" w14:textId="77777777" w:rsidR="00216FAA" w:rsidRPr="00E238A9" w:rsidRDefault="00216FAA" w:rsidP="000A093B">
      <w:pPr>
        <w:keepNext/>
        <w:numPr>
          <w:ilvl w:val="12"/>
          <w:numId w:val="0"/>
        </w:numPr>
        <w:suppressLineNumbers/>
        <w:spacing w:line="240" w:lineRule="auto"/>
      </w:pPr>
    </w:p>
    <w:p w14:paraId="33616118" w14:textId="77777777" w:rsidR="00F976E8" w:rsidRDefault="005A3D7D" w:rsidP="00A0798C">
      <w:pPr>
        <w:keepNext/>
        <w:numPr>
          <w:ilvl w:val="12"/>
          <w:numId w:val="0"/>
        </w:numPr>
        <w:suppressLineNumbers/>
        <w:spacing w:line="240" w:lineRule="auto"/>
        <w:rPr>
          <w:u w:val="single"/>
        </w:rPr>
      </w:pPr>
      <w:r w:rsidRPr="00A808AC">
        <w:rPr>
          <w:u w:val="single"/>
        </w:rPr>
        <w:t>Elimination</w:t>
      </w:r>
    </w:p>
    <w:p w14:paraId="39D69316" w14:textId="77777777" w:rsidR="00223101" w:rsidRPr="00A808AC" w:rsidRDefault="00223101" w:rsidP="0069106A">
      <w:pPr>
        <w:keepNext/>
        <w:numPr>
          <w:ilvl w:val="12"/>
          <w:numId w:val="0"/>
        </w:numPr>
        <w:suppressLineNumbers/>
        <w:spacing w:line="240" w:lineRule="auto"/>
        <w:rPr>
          <w:u w:val="single"/>
        </w:rPr>
      </w:pPr>
    </w:p>
    <w:p w14:paraId="77D583C3" w14:textId="77777777" w:rsidR="00F976E8" w:rsidRDefault="005A3D7D" w:rsidP="000A093B">
      <w:pPr>
        <w:pStyle w:val="labeltext"/>
        <w:keepNext/>
        <w:rPr>
          <w:sz w:val="22"/>
          <w:szCs w:val="22"/>
          <w:lang w:val="en-GB"/>
        </w:rPr>
      </w:pPr>
      <w:r w:rsidRPr="00A808AC">
        <w:rPr>
          <w:sz w:val="22"/>
          <w:szCs w:val="22"/>
          <w:lang w:val="en-GB"/>
        </w:rPr>
        <w:t>Following oral administration</w:t>
      </w:r>
      <w:r w:rsidR="00506CEC">
        <w:rPr>
          <w:sz w:val="22"/>
          <w:szCs w:val="22"/>
          <w:lang w:val="en-GB"/>
        </w:rPr>
        <w:t xml:space="preserve"> in healthy volunteers</w:t>
      </w:r>
      <w:r w:rsidRPr="00A808AC">
        <w:rPr>
          <w:sz w:val="22"/>
          <w:szCs w:val="22"/>
          <w:lang w:val="en-GB"/>
        </w:rPr>
        <w:t xml:space="preserve">, the majority of ivacaftor (87.8%) </w:t>
      </w:r>
      <w:r w:rsidR="00E1017C" w:rsidRPr="00A808AC">
        <w:rPr>
          <w:sz w:val="22"/>
          <w:szCs w:val="22"/>
          <w:lang w:val="en-GB"/>
        </w:rPr>
        <w:t xml:space="preserve">was </w:t>
      </w:r>
      <w:r w:rsidRPr="00A808AC">
        <w:rPr>
          <w:sz w:val="22"/>
          <w:szCs w:val="22"/>
          <w:lang w:val="en-GB"/>
        </w:rPr>
        <w:t>eliminated in the faeces after metabolic conversion. The major metabolites M1 and M6 accou</w:t>
      </w:r>
      <w:r w:rsidRPr="00A808AC">
        <w:rPr>
          <w:sz w:val="22"/>
          <w:szCs w:val="22"/>
          <w:lang w:val="en-GB"/>
        </w:rPr>
        <w:t xml:space="preserve">nted for approximately 65% of </w:t>
      </w:r>
      <w:r w:rsidR="00C959DF" w:rsidRPr="00A808AC">
        <w:rPr>
          <w:sz w:val="22"/>
          <w:szCs w:val="22"/>
          <w:lang w:val="en-GB"/>
        </w:rPr>
        <w:t xml:space="preserve">the </w:t>
      </w:r>
      <w:r w:rsidRPr="00A808AC">
        <w:rPr>
          <w:sz w:val="22"/>
          <w:szCs w:val="22"/>
          <w:lang w:val="en-GB"/>
        </w:rPr>
        <w:t>total dose eliminated with 22% as M1 and 43% as M6. There was negligible urinary excretion of ivacaftor as unchanged parent. The apparent terminal half</w:t>
      </w:r>
      <w:r w:rsidRPr="00A808AC">
        <w:rPr>
          <w:sz w:val="22"/>
          <w:szCs w:val="22"/>
          <w:lang w:val="en-GB"/>
        </w:rPr>
        <w:noBreakHyphen/>
        <w:t>life was approximately 12 hours following a single dose in the fed sta</w:t>
      </w:r>
      <w:r w:rsidRPr="00A808AC">
        <w:rPr>
          <w:sz w:val="22"/>
          <w:szCs w:val="22"/>
          <w:lang w:val="en-GB"/>
        </w:rPr>
        <w:t>te. The apparent clearance (CL/F) of ivacaftor was similar for healthy subjects and patients with CF. The mean (±</w:t>
      </w:r>
      <w:r w:rsidR="00F812DF">
        <w:rPr>
          <w:sz w:val="22"/>
          <w:szCs w:val="22"/>
          <w:lang w:val="en-GB"/>
        </w:rPr>
        <w:t> </w:t>
      </w:r>
      <w:r w:rsidRPr="00A808AC">
        <w:rPr>
          <w:sz w:val="22"/>
          <w:szCs w:val="22"/>
          <w:lang w:val="en-GB"/>
        </w:rPr>
        <w:t>SD) CL/F for a single 150</w:t>
      </w:r>
      <w:r w:rsidR="007C0C7A">
        <w:rPr>
          <w:sz w:val="22"/>
          <w:szCs w:val="22"/>
          <w:lang w:val="en-GB"/>
        </w:rPr>
        <w:t> </w:t>
      </w:r>
      <w:r w:rsidRPr="00A808AC">
        <w:rPr>
          <w:sz w:val="22"/>
          <w:szCs w:val="22"/>
          <w:lang w:val="en-GB"/>
        </w:rPr>
        <w:t>mg dose was 17.3 (8.4) L/hr in healthy subjects.</w:t>
      </w:r>
    </w:p>
    <w:p w14:paraId="552CC8B3" w14:textId="77777777" w:rsidR="00F629A6" w:rsidRDefault="00F629A6" w:rsidP="000D02CF">
      <w:pPr>
        <w:pStyle w:val="labeltext"/>
        <w:rPr>
          <w:sz w:val="22"/>
          <w:szCs w:val="22"/>
          <w:lang w:val="en-GB"/>
        </w:rPr>
      </w:pPr>
    </w:p>
    <w:p w14:paraId="321C546B" w14:textId="77777777" w:rsidR="00F976E8" w:rsidRDefault="005A3D7D" w:rsidP="000A093B">
      <w:pPr>
        <w:pStyle w:val="labeltext"/>
        <w:keepNext/>
        <w:rPr>
          <w:sz w:val="22"/>
          <w:szCs w:val="22"/>
          <w:u w:val="single"/>
          <w:lang w:val="en-GB"/>
        </w:rPr>
      </w:pPr>
      <w:r w:rsidRPr="00A808AC">
        <w:rPr>
          <w:sz w:val="22"/>
          <w:szCs w:val="22"/>
          <w:u w:val="single"/>
          <w:lang w:val="en-GB"/>
        </w:rPr>
        <w:t>Linearity/non</w:t>
      </w:r>
      <w:r w:rsidR="002D6570" w:rsidRPr="00A808AC">
        <w:rPr>
          <w:sz w:val="22"/>
          <w:szCs w:val="22"/>
          <w:u w:val="single"/>
          <w:lang w:val="en-GB"/>
        </w:rPr>
        <w:noBreakHyphen/>
      </w:r>
      <w:r w:rsidRPr="00A808AC">
        <w:rPr>
          <w:sz w:val="22"/>
          <w:szCs w:val="22"/>
          <w:u w:val="single"/>
          <w:lang w:val="en-GB"/>
        </w:rPr>
        <w:t>linearity</w:t>
      </w:r>
    </w:p>
    <w:p w14:paraId="03DF5B1A" w14:textId="77777777" w:rsidR="004225C0" w:rsidRPr="00A808AC" w:rsidRDefault="004225C0" w:rsidP="000A093B">
      <w:pPr>
        <w:pStyle w:val="labeltext"/>
        <w:keepNext/>
        <w:rPr>
          <w:sz w:val="22"/>
          <w:szCs w:val="22"/>
          <w:u w:val="single"/>
          <w:lang w:val="en-GB"/>
        </w:rPr>
      </w:pPr>
    </w:p>
    <w:p w14:paraId="2AB699D6" w14:textId="77777777" w:rsidR="00F976E8" w:rsidRPr="00A808AC" w:rsidRDefault="005A3D7D" w:rsidP="000A093B">
      <w:pPr>
        <w:pStyle w:val="labeltext"/>
        <w:keepNext/>
        <w:rPr>
          <w:sz w:val="22"/>
          <w:szCs w:val="22"/>
          <w:lang w:val="en-GB"/>
        </w:rPr>
      </w:pPr>
      <w:r w:rsidRPr="00A808AC">
        <w:rPr>
          <w:sz w:val="22"/>
          <w:szCs w:val="22"/>
          <w:lang w:val="en-GB"/>
        </w:rPr>
        <w:t xml:space="preserve">The pharmacokinetics of </w:t>
      </w:r>
      <w:r w:rsidRPr="00A808AC">
        <w:rPr>
          <w:sz w:val="22"/>
          <w:szCs w:val="22"/>
          <w:lang w:val="en-GB"/>
        </w:rPr>
        <w:t>ivacaftor are generally linear with respect to time or dose ranging from 25 mg to 250 mg.</w:t>
      </w:r>
    </w:p>
    <w:p w14:paraId="3A3872B8" w14:textId="77777777" w:rsidR="00F976E8" w:rsidRPr="00A808AC" w:rsidRDefault="00F976E8" w:rsidP="000D02CF">
      <w:pPr>
        <w:pStyle w:val="labeltext"/>
        <w:rPr>
          <w:sz w:val="22"/>
          <w:szCs w:val="22"/>
          <w:lang w:val="en-GB"/>
        </w:rPr>
      </w:pPr>
    </w:p>
    <w:p w14:paraId="2295DDBA" w14:textId="77777777" w:rsidR="00DD39DD" w:rsidRDefault="005A3D7D" w:rsidP="000A093B">
      <w:pPr>
        <w:keepNext/>
        <w:spacing w:line="240" w:lineRule="auto"/>
        <w:rPr>
          <w:u w:val="single"/>
        </w:rPr>
      </w:pPr>
      <w:r w:rsidRPr="008C19C3">
        <w:rPr>
          <w:u w:val="single"/>
        </w:rPr>
        <w:t>Special populations</w:t>
      </w:r>
    </w:p>
    <w:p w14:paraId="6A67FD16" w14:textId="77777777" w:rsidR="004225C0" w:rsidRPr="00DD39DD" w:rsidRDefault="004225C0" w:rsidP="000A093B">
      <w:pPr>
        <w:keepNext/>
        <w:spacing w:line="240" w:lineRule="auto"/>
        <w:rPr>
          <w:u w:val="single"/>
        </w:rPr>
      </w:pPr>
    </w:p>
    <w:p w14:paraId="32653100" w14:textId="77777777" w:rsidR="00F976E8" w:rsidRDefault="005A3D7D" w:rsidP="00A0798C">
      <w:pPr>
        <w:pStyle w:val="labeltextheading"/>
        <w:rPr>
          <w:sz w:val="22"/>
          <w:lang w:val="en-GB"/>
        </w:rPr>
      </w:pPr>
      <w:bookmarkStart w:id="8" w:name="_Hlk45278559"/>
      <w:r w:rsidRPr="007B0741">
        <w:rPr>
          <w:sz w:val="22"/>
          <w:lang w:val="en-GB"/>
        </w:rPr>
        <w:t>Hepatic impairment</w:t>
      </w:r>
    </w:p>
    <w:p w14:paraId="6F159813" w14:textId="77777777" w:rsidR="000F0737" w:rsidRPr="007B0741" w:rsidRDefault="000F0737" w:rsidP="0069106A">
      <w:pPr>
        <w:pStyle w:val="labeltextheading"/>
        <w:rPr>
          <w:sz w:val="22"/>
          <w:lang w:val="en-GB"/>
        </w:rPr>
      </w:pPr>
    </w:p>
    <w:p w14:paraId="2A781142" w14:textId="3BB682C3" w:rsidR="00771D6C" w:rsidRDefault="005A3D7D" w:rsidP="000A093B">
      <w:pPr>
        <w:pStyle w:val="labeltext"/>
        <w:keepNext/>
        <w:rPr>
          <w:sz w:val="22"/>
          <w:szCs w:val="22"/>
          <w:lang w:val="en-GB"/>
        </w:rPr>
      </w:pPr>
      <w:r w:rsidRPr="00A808AC">
        <w:rPr>
          <w:sz w:val="22"/>
          <w:szCs w:val="22"/>
          <w:lang w:val="en-GB"/>
        </w:rPr>
        <w:t>Following a single dose of 150 mg of ivacaftor, adult subjects with moderately impaired hepatic function (Child</w:t>
      </w:r>
      <w:r w:rsidRPr="00A808AC">
        <w:rPr>
          <w:sz w:val="22"/>
          <w:szCs w:val="22"/>
          <w:lang w:val="en-GB"/>
        </w:rPr>
        <w:noBreakHyphen/>
        <w:t>Pugh Class B</w:t>
      </w:r>
      <w:r w:rsidRPr="00A808AC">
        <w:rPr>
          <w:sz w:val="22"/>
          <w:szCs w:val="22"/>
          <w:lang w:val="en-GB"/>
        </w:rPr>
        <w:t>, score 7 to 9) had similar ivacaftor C</w:t>
      </w:r>
      <w:r w:rsidRPr="00A808AC">
        <w:rPr>
          <w:sz w:val="22"/>
          <w:szCs w:val="22"/>
          <w:vertAlign w:val="subscript"/>
          <w:lang w:val="en-GB"/>
        </w:rPr>
        <w:t>max</w:t>
      </w:r>
      <w:r w:rsidRPr="00A808AC">
        <w:rPr>
          <w:sz w:val="22"/>
          <w:szCs w:val="22"/>
          <w:lang w:val="en-GB"/>
        </w:rPr>
        <w:t xml:space="preserve"> (mean [±</w:t>
      </w:r>
      <w:r w:rsidR="00F812DF">
        <w:rPr>
          <w:sz w:val="22"/>
          <w:szCs w:val="22"/>
          <w:lang w:val="en-GB"/>
        </w:rPr>
        <w:t> </w:t>
      </w:r>
      <w:r w:rsidRPr="00A808AC">
        <w:rPr>
          <w:sz w:val="22"/>
          <w:szCs w:val="22"/>
          <w:lang w:val="en-GB"/>
        </w:rPr>
        <w:t>SD] of 735 [331] ng/mL) but an approximately two</w:t>
      </w:r>
      <w:r w:rsidRPr="00A808AC">
        <w:rPr>
          <w:sz w:val="22"/>
          <w:szCs w:val="22"/>
          <w:lang w:val="en-GB"/>
        </w:rPr>
        <w:noBreakHyphen/>
        <w:t>fold increase in ivacaftor AUC</w:t>
      </w:r>
      <w:r w:rsidRPr="00A808AC">
        <w:rPr>
          <w:sz w:val="22"/>
          <w:szCs w:val="22"/>
          <w:vertAlign w:val="subscript"/>
          <w:lang w:val="en-GB"/>
        </w:rPr>
        <w:t>0-∞</w:t>
      </w:r>
      <w:r w:rsidRPr="00A808AC">
        <w:rPr>
          <w:sz w:val="22"/>
          <w:szCs w:val="22"/>
          <w:lang w:val="en-GB"/>
        </w:rPr>
        <w:t xml:space="preserve"> (mean [±</w:t>
      </w:r>
      <w:r w:rsidR="00F812DF">
        <w:rPr>
          <w:sz w:val="22"/>
          <w:szCs w:val="22"/>
          <w:lang w:val="en-GB"/>
        </w:rPr>
        <w:t> </w:t>
      </w:r>
      <w:r w:rsidRPr="00A808AC">
        <w:rPr>
          <w:sz w:val="22"/>
          <w:szCs w:val="22"/>
          <w:lang w:val="en-GB"/>
        </w:rPr>
        <w:t xml:space="preserve">SD] of 16800 </w:t>
      </w:r>
      <w:r w:rsidR="00430CB1" w:rsidRPr="00A808AC">
        <w:rPr>
          <w:sz w:val="22"/>
          <w:szCs w:val="22"/>
          <w:lang w:val="en-GB"/>
        </w:rPr>
        <w:t>[</w:t>
      </w:r>
      <w:r w:rsidRPr="00A808AC">
        <w:rPr>
          <w:sz w:val="22"/>
          <w:szCs w:val="22"/>
          <w:lang w:val="en-GB"/>
        </w:rPr>
        <w:t>6140</w:t>
      </w:r>
      <w:r w:rsidR="00430CB1" w:rsidRPr="00A808AC">
        <w:rPr>
          <w:sz w:val="22"/>
          <w:szCs w:val="22"/>
          <w:lang w:val="en-GB"/>
        </w:rPr>
        <w:t>] </w:t>
      </w:r>
      <w:r w:rsidRPr="00A808AC">
        <w:rPr>
          <w:sz w:val="22"/>
          <w:szCs w:val="22"/>
          <w:lang w:val="en-GB"/>
        </w:rPr>
        <w:t xml:space="preserve">ng*hr/mL) compared with healthy subjects matched for demographics. Simulations for </w:t>
      </w:r>
      <w:r w:rsidRPr="00A808AC">
        <w:rPr>
          <w:sz w:val="22"/>
          <w:szCs w:val="22"/>
          <w:lang w:val="en-GB"/>
        </w:rPr>
        <w:t>predicting the steady</w:t>
      </w:r>
      <w:r w:rsidRPr="00A808AC">
        <w:rPr>
          <w:sz w:val="22"/>
          <w:szCs w:val="22"/>
          <w:lang w:val="en-GB"/>
        </w:rPr>
        <w:noBreakHyphen/>
        <w:t>state exposure of ivacaftor showed that by reducing the dosage from 150 mg</w:t>
      </w:r>
      <w:r w:rsidR="00B171E6">
        <w:rPr>
          <w:sz w:val="22"/>
          <w:szCs w:val="22"/>
          <w:lang w:val="en-GB"/>
        </w:rPr>
        <w:t> </w:t>
      </w:r>
      <w:r w:rsidRPr="00A808AC">
        <w:rPr>
          <w:sz w:val="22"/>
          <w:szCs w:val="22"/>
          <w:lang w:val="en-GB"/>
        </w:rPr>
        <w:t>q12h to 150 mg once daily, adults with moderate hepatic impairment would have comparable steady</w:t>
      </w:r>
      <w:r w:rsidRPr="00A808AC">
        <w:rPr>
          <w:sz w:val="22"/>
          <w:szCs w:val="22"/>
          <w:lang w:val="en-GB"/>
        </w:rPr>
        <w:noBreakHyphen/>
        <w:t>state C</w:t>
      </w:r>
      <w:r w:rsidRPr="00A808AC">
        <w:rPr>
          <w:sz w:val="22"/>
          <w:szCs w:val="22"/>
          <w:vertAlign w:val="subscript"/>
          <w:lang w:val="en-GB"/>
        </w:rPr>
        <w:t>min</w:t>
      </w:r>
      <w:r w:rsidRPr="00A808AC">
        <w:rPr>
          <w:sz w:val="22"/>
          <w:szCs w:val="22"/>
          <w:lang w:val="en-GB"/>
        </w:rPr>
        <w:t xml:space="preserve"> values as those obtained with a dose of 150 mg</w:t>
      </w:r>
      <w:r w:rsidR="00B171E6">
        <w:rPr>
          <w:sz w:val="22"/>
          <w:szCs w:val="22"/>
          <w:lang w:val="en-GB"/>
        </w:rPr>
        <w:t> </w:t>
      </w:r>
      <w:r w:rsidRPr="00A808AC">
        <w:rPr>
          <w:sz w:val="22"/>
          <w:szCs w:val="22"/>
          <w:lang w:val="en-GB"/>
        </w:rPr>
        <w:t xml:space="preserve">q12h </w:t>
      </w:r>
      <w:r w:rsidRPr="00A808AC">
        <w:rPr>
          <w:sz w:val="22"/>
          <w:szCs w:val="22"/>
          <w:lang w:val="en-GB"/>
        </w:rPr>
        <w:t xml:space="preserve">in adults without hepatic impairment. </w:t>
      </w:r>
    </w:p>
    <w:p w14:paraId="5B3ACA4C" w14:textId="77777777" w:rsidR="00771D6C" w:rsidRDefault="00771D6C" w:rsidP="000D02CF">
      <w:pPr>
        <w:pStyle w:val="labeltext"/>
        <w:rPr>
          <w:sz w:val="22"/>
          <w:szCs w:val="22"/>
          <w:lang w:val="en-GB"/>
        </w:rPr>
      </w:pPr>
    </w:p>
    <w:p w14:paraId="796F9DB9" w14:textId="6AF5E980" w:rsidR="00B37045" w:rsidRDefault="005A3D7D" w:rsidP="00771D6C">
      <w:pPr>
        <w:rPr>
          <w:lang w:val="en-US"/>
        </w:rPr>
      </w:pPr>
      <w:r w:rsidRPr="00B37045">
        <w:rPr>
          <w:lang w:val="en-US"/>
        </w:rPr>
        <w:t xml:space="preserve">In subjects with moderately impaired hepatic function (Child Pugh Class B, score 7 to 9), ivacaftor AUC increased approximately by 50% following multiple doses for 10 days of either tezacaftor and ivacaftor or of ivacaftor, tezacaftor and elexacaftor. </w:t>
      </w:r>
    </w:p>
    <w:p w14:paraId="4A02B36C" w14:textId="77777777" w:rsidR="00B37045" w:rsidRPr="000A093B" w:rsidRDefault="00B37045" w:rsidP="000A093B">
      <w:pPr>
        <w:rPr>
          <w:lang w:val="en-US"/>
        </w:rPr>
      </w:pPr>
    </w:p>
    <w:p w14:paraId="64AA21C1" w14:textId="3817A44E" w:rsidR="00771D6C" w:rsidRDefault="005A3D7D" w:rsidP="00771D6C">
      <w:pPr>
        <w:pStyle w:val="labeltext"/>
        <w:rPr>
          <w:sz w:val="22"/>
          <w:szCs w:val="22"/>
        </w:rPr>
      </w:pPr>
      <w:r w:rsidRPr="00771D6C">
        <w:rPr>
          <w:sz w:val="22"/>
          <w:szCs w:val="22"/>
        </w:rPr>
        <w:t>Th</w:t>
      </w:r>
      <w:r w:rsidRPr="00771D6C">
        <w:rPr>
          <w:sz w:val="22"/>
          <w:szCs w:val="22"/>
        </w:rPr>
        <w:t>e impact of severe hepatic impairment (Child Pugh Class C, score 10 to15) on the pharmacokinetics of ivacaftor</w:t>
      </w:r>
      <w:r w:rsidR="000F0737">
        <w:rPr>
          <w:sz w:val="22"/>
          <w:szCs w:val="22"/>
        </w:rPr>
        <w:t xml:space="preserve"> as</w:t>
      </w:r>
      <w:r w:rsidRPr="00771D6C">
        <w:rPr>
          <w:sz w:val="22"/>
          <w:szCs w:val="22"/>
        </w:rPr>
        <w:t xml:space="preserve"> monotherapy or in</w:t>
      </w:r>
      <w:r w:rsidR="000F0737">
        <w:rPr>
          <w:sz w:val="22"/>
          <w:szCs w:val="22"/>
        </w:rPr>
        <w:t xml:space="preserve"> a</w:t>
      </w:r>
      <w:r w:rsidRPr="00771D6C">
        <w:rPr>
          <w:sz w:val="22"/>
          <w:szCs w:val="22"/>
        </w:rPr>
        <w:t xml:space="preserve"> combination </w:t>
      </w:r>
      <w:r w:rsidR="000F0737">
        <w:rPr>
          <w:sz w:val="22"/>
          <w:szCs w:val="22"/>
        </w:rPr>
        <w:t xml:space="preserve">regimen </w:t>
      </w:r>
      <w:r w:rsidRPr="00771D6C">
        <w:rPr>
          <w:sz w:val="22"/>
          <w:szCs w:val="22"/>
        </w:rPr>
        <w:t xml:space="preserve">with tezacaftor/ivacaftor </w:t>
      </w:r>
      <w:r w:rsidR="000F0737">
        <w:rPr>
          <w:sz w:val="22"/>
          <w:szCs w:val="22"/>
        </w:rPr>
        <w:t xml:space="preserve">or ivacaftor/tezacaftor/elexacaftor </w:t>
      </w:r>
      <w:r w:rsidR="00F44D61">
        <w:rPr>
          <w:sz w:val="22"/>
          <w:szCs w:val="22"/>
        </w:rPr>
        <w:t>has</w:t>
      </w:r>
      <w:r w:rsidR="00F44D61" w:rsidRPr="00771D6C">
        <w:rPr>
          <w:sz w:val="22"/>
          <w:szCs w:val="22"/>
        </w:rPr>
        <w:t xml:space="preserve"> </w:t>
      </w:r>
      <w:r w:rsidRPr="00771D6C">
        <w:rPr>
          <w:sz w:val="22"/>
          <w:szCs w:val="22"/>
        </w:rPr>
        <w:t>not been studied. The magnitude of i</w:t>
      </w:r>
      <w:r w:rsidRPr="00771D6C">
        <w:rPr>
          <w:sz w:val="22"/>
          <w:szCs w:val="22"/>
        </w:rPr>
        <w:t xml:space="preserve">ncrease in exposure in these patients is unknown but is expected to be higher than that observed in patients with moderate hepatic impairment. </w:t>
      </w:r>
    </w:p>
    <w:p w14:paraId="6DDDDC0D" w14:textId="77777777" w:rsidR="00771D6C" w:rsidRDefault="00771D6C" w:rsidP="00771D6C">
      <w:pPr>
        <w:pStyle w:val="labeltext"/>
        <w:rPr>
          <w:sz w:val="22"/>
          <w:szCs w:val="22"/>
        </w:rPr>
      </w:pPr>
    </w:p>
    <w:p w14:paraId="734FD0FC" w14:textId="77777777" w:rsidR="0021671A" w:rsidRDefault="005A3D7D" w:rsidP="00771D6C">
      <w:pPr>
        <w:pStyle w:val="labeltext"/>
        <w:rPr>
          <w:sz w:val="22"/>
          <w:szCs w:val="22"/>
        </w:rPr>
      </w:pPr>
      <w:r>
        <w:rPr>
          <w:sz w:val="22"/>
          <w:szCs w:val="22"/>
        </w:rPr>
        <w:t xml:space="preserve">For guidance on appropriate use and dose modification see Table </w:t>
      </w:r>
      <w:r w:rsidR="002628B5">
        <w:rPr>
          <w:sz w:val="22"/>
          <w:szCs w:val="22"/>
        </w:rPr>
        <w:t>3</w:t>
      </w:r>
      <w:r>
        <w:rPr>
          <w:sz w:val="22"/>
          <w:szCs w:val="22"/>
        </w:rPr>
        <w:t xml:space="preserve"> in section 4.2.</w:t>
      </w:r>
    </w:p>
    <w:bookmarkEnd w:id="8"/>
    <w:p w14:paraId="581153E6" w14:textId="77777777" w:rsidR="002021C5" w:rsidRPr="000A093B" w:rsidRDefault="002021C5" w:rsidP="000D02CF">
      <w:pPr>
        <w:pStyle w:val="labeltext"/>
        <w:rPr>
          <w:sz w:val="22"/>
        </w:rPr>
      </w:pPr>
    </w:p>
    <w:p w14:paraId="2BCC7E3D" w14:textId="77777777" w:rsidR="00F976E8" w:rsidRDefault="005A3D7D" w:rsidP="000A093B">
      <w:pPr>
        <w:pStyle w:val="labeltext"/>
        <w:keepNext/>
        <w:rPr>
          <w:i/>
          <w:sz w:val="22"/>
          <w:lang w:val="en-GB"/>
        </w:rPr>
      </w:pPr>
      <w:r w:rsidRPr="007B0741">
        <w:rPr>
          <w:i/>
          <w:sz w:val="22"/>
          <w:lang w:val="en-GB"/>
        </w:rPr>
        <w:t>Renal impairment</w:t>
      </w:r>
    </w:p>
    <w:p w14:paraId="5F13C246" w14:textId="77777777" w:rsidR="0021671A" w:rsidRPr="007B0741" w:rsidRDefault="0021671A" w:rsidP="000A093B">
      <w:pPr>
        <w:pStyle w:val="labeltext"/>
        <w:keepNext/>
        <w:rPr>
          <w:i/>
          <w:sz w:val="22"/>
          <w:lang w:val="en-GB"/>
        </w:rPr>
      </w:pPr>
    </w:p>
    <w:p w14:paraId="1410E8A6" w14:textId="2A6B389A" w:rsidR="00771D6C" w:rsidRDefault="005A3D7D" w:rsidP="000A093B">
      <w:pPr>
        <w:pStyle w:val="labeltext"/>
        <w:keepNext/>
        <w:rPr>
          <w:sz w:val="22"/>
          <w:szCs w:val="22"/>
          <w:lang w:val="en-GB"/>
        </w:rPr>
      </w:pPr>
      <w:r w:rsidRPr="00A808AC">
        <w:rPr>
          <w:sz w:val="22"/>
          <w:szCs w:val="22"/>
          <w:lang w:val="en-GB"/>
        </w:rPr>
        <w:t>Pharmacokinetic studies have not been performed with ivacaftor in patients with renal impairment</w:t>
      </w:r>
      <w:r w:rsidR="00506CEC">
        <w:rPr>
          <w:sz w:val="22"/>
          <w:szCs w:val="22"/>
          <w:lang w:val="en-GB"/>
        </w:rPr>
        <w:t>, either as monotherapy or in a combination regimen with tezacaftor/ivacaftor</w:t>
      </w:r>
      <w:r w:rsidR="00903451">
        <w:rPr>
          <w:sz w:val="22"/>
          <w:szCs w:val="22"/>
          <w:lang w:val="en-GB"/>
        </w:rPr>
        <w:t xml:space="preserve"> </w:t>
      </w:r>
      <w:r w:rsidR="00903451">
        <w:t xml:space="preserve">or </w:t>
      </w:r>
      <w:r w:rsidR="0021671A">
        <w:t xml:space="preserve">with </w:t>
      </w:r>
      <w:r w:rsidR="0021671A">
        <w:rPr>
          <w:sz w:val="22"/>
          <w:szCs w:val="22"/>
          <w:lang w:val="en-GB"/>
        </w:rPr>
        <w:t>ivacaftor/tezacaftor/elexacaftor</w:t>
      </w:r>
      <w:r w:rsidRPr="00A808AC">
        <w:rPr>
          <w:sz w:val="22"/>
          <w:szCs w:val="22"/>
          <w:lang w:val="en-GB"/>
        </w:rPr>
        <w:t>. In a human pharmacokinetic study</w:t>
      </w:r>
      <w:r w:rsidR="00506CEC">
        <w:rPr>
          <w:sz w:val="22"/>
          <w:szCs w:val="22"/>
          <w:lang w:val="en-GB"/>
        </w:rPr>
        <w:t xml:space="preserve"> with ivacaftor monotherapy</w:t>
      </w:r>
      <w:r w:rsidRPr="00A808AC">
        <w:rPr>
          <w:sz w:val="22"/>
          <w:szCs w:val="22"/>
          <w:lang w:val="en-GB"/>
        </w:rPr>
        <w:t>, there was minimal elimination of ivacaftor and its metabolites in urine (only 6.6% of total radioactivity was recovered in the urine). There was negligible urinary excretion of ivacaftor as unchanged parent (less than 0.01% following a</w:t>
      </w:r>
      <w:r w:rsidRPr="00A808AC">
        <w:rPr>
          <w:sz w:val="22"/>
          <w:szCs w:val="22"/>
          <w:lang w:val="en-GB"/>
        </w:rPr>
        <w:t xml:space="preserve"> single oral dose of 500 mg). </w:t>
      </w:r>
    </w:p>
    <w:p w14:paraId="67B9ED63" w14:textId="77777777" w:rsidR="00771D6C" w:rsidRDefault="00771D6C" w:rsidP="000D02CF">
      <w:pPr>
        <w:pStyle w:val="labeltext"/>
        <w:rPr>
          <w:sz w:val="22"/>
          <w:szCs w:val="22"/>
          <w:lang w:val="en-GB"/>
        </w:rPr>
      </w:pPr>
    </w:p>
    <w:p w14:paraId="62D4DAEF" w14:textId="77777777" w:rsidR="00F976E8" w:rsidRPr="00A808AC" w:rsidRDefault="005A3D7D" w:rsidP="000D02CF">
      <w:pPr>
        <w:pStyle w:val="labeltext"/>
        <w:rPr>
          <w:sz w:val="22"/>
          <w:szCs w:val="22"/>
          <w:lang w:val="en-GB"/>
        </w:rPr>
      </w:pPr>
      <w:r>
        <w:rPr>
          <w:sz w:val="22"/>
          <w:szCs w:val="22"/>
          <w:lang w:val="en-GB"/>
        </w:rPr>
        <w:t>N</w:t>
      </w:r>
      <w:r w:rsidR="00EA039D" w:rsidRPr="00A808AC">
        <w:rPr>
          <w:sz w:val="22"/>
          <w:szCs w:val="22"/>
          <w:lang w:val="en-GB"/>
        </w:rPr>
        <w:t xml:space="preserve">o dose adjustments are recommended for mild and moderate renal impairment. </w:t>
      </w:r>
      <w:r>
        <w:rPr>
          <w:sz w:val="22"/>
          <w:szCs w:val="22"/>
          <w:lang w:val="en-GB"/>
        </w:rPr>
        <w:t>C</w:t>
      </w:r>
      <w:r w:rsidR="00EA039D" w:rsidRPr="00A808AC">
        <w:rPr>
          <w:sz w:val="22"/>
          <w:szCs w:val="22"/>
          <w:lang w:val="en-GB"/>
        </w:rPr>
        <w:t>aution is recommended when administering ivacaftor</w:t>
      </w:r>
      <w:r w:rsidR="00DD0028">
        <w:rPr>
          <w:sz w:val="22"/>
          <w:szCs w:val="22"/>
          <w:lang w:val="en-GB"/>
        </w:rPr>
        <w:t xml:space="preserve">, either as monotherapy or in </w:t>
      </w:r>
      <w:r w:rsidR="0021671A">
        <w:rPr>
          <w:sz w:val="22"/>
          <w:szCs w:val="22"/>
          <w:lang w:val="en-GB"/>
        </w:rPr>
        <w:t xml:space="preserve">a </w:t>
      </w:r>
      <w:r w:rsidR="00DD0028">
        <w:rPr>
          <w:sz w:val="22"/>
          <w:szCs w:val="22"/>
          <w:lang w:val="en-GB"/>
        </w:rPr>
        <w:t>combination with tezacaftor</w:t>
      </w:r>
      <w:r w:rsidR="0021671A">
        <w:rPr>
          <w:sz w:val="22"/>
          <w:szCs w:val="22"/>
          <w:lang w:val="en-GB"/>
        </w:rPr>
        <w:t>/ivacaftor or with ivacaftor/tezacaftor/elexacaftor</w:t>
      </w:r>
      <w:r w:rsidR="00DD0028">
        <w:rPr>
          <w:sz w:val="22"/>
          <w:szCs w:val="22"/>
          <w:lang w:val="en-GB"/>
        </w:rPr>
        <w:t>,</w:t>
      </w:r>
      <w:r w:rsidR="00EA039D" w:rsidRPr="00A808AC">
        <w:rPr>
          <w:sz w:val="22"/>
          <w:szCs w:val="22"/>
          <w:lang w:val="en-GB"/>
        </w:rPr>
        <w:t xml:space="preserve"> to patients with severe renal impairment (creatinine clearance less than or equal to 30 mL/min) or end</w:t>
      </w:r>
      <w:r w:rsidR="00EA039D" w:rsidRPr="00A808AC">
        <w:rPr>
          <w:sz w:val="22"/>
          <w:szCs w:val="22"/>
          <w:lang w:val="en-GB"/>
        </w:rPr>
        <w:noBreakHyphen/>
        <w:t>stage renal disease (see sections 4.2 and 4.4).</w:t>
      </w:r>
    </w:p>
    <w:p w14:paraId="1ADFF937" w14:textId="77777777" w:rsidR="00771D6C" w:rsidRDefault="00771D6C" w:rsidP="000D02CF">
      <w:pPr>
        <w:pStyle w:val="labeltext"/>
        <w:rPr>
          <w:iCs/>
          <w:sz w:val="22"/>
          <w:szCs w:val="22"/>
          <w:lang w:val="en-GB"/>
        </w:rPr>
      </w:pPr>
    </w:p>
    <w:p w14:paraId="1D686629" w14:textId="77777777" w:rsidR="008B184A" w:rsidRDefault="005A3D7D" w:rsidP="000A093B">
      <w:pPr>
        <w:pStyle w:val="labeltext"/>
        <w:keepNext/>
        <w:rPr>
          <w:i/>
          <w:sz w:val="22"/>
          <w:lang w:val="en-GB"/>
        </w:rPr>
      </w:pPr>
      <w:r w:rsidRPr="007B0741">
        <w:rPr>
          <w:i/>
          <w:sz w:val="22"/>
          <w:lang w:val="en-GB"/>
        </w:rPr>
        <w:t>Race</w:t>
      </w:r>
    </w:p>
    <w:p w14:paraId="4923E8B1" w14:textId="77777777" w:rsidR="00987822" w:rsidRPr="007B0741" w:rsidRDefault="00987822" w:rsidP="000A093B">
      <w:pPr>
        <w:pStyle w:val="labeltext"/>
        <w:keepNext/>
        <w:rPr>
          <w:i/>
          <w:sz w:val="22"/>
          <w:lang w:val="en-GB"/>
        </w:rPr>
      </w:pPr>
    </w:p>
    <w:p w14:paraId="01A2B82E" w14:textId="77777777" w:rsidR="008B184A" w:rsidRPr="007F1682" w:rsidRDefault="005A3D7D" w:rsidP="000A093B">
      <w:pPr>
        <w:pStyle w:val="labeltext"/>
        <w:keepNext/>
        <w:rPr>
          <w:iCs/>
          <w:sz w:val="22"/>
          <w:szCs w:val="22"/>
          <w:lang w:val="en-GB"/>
        </w:rPr>
      </w:pPr>
      <w:r w:rsidRPr="007F1682">
        <w:rPr>
          <w:iCs/>
          <w:sz w:val="22"/>
          <w:szCs w:val="22"/>
          <w:lang w:val="en-GB"/>
        </w:rPr>
        <w:t>Race had no clinically meaningful effect on the PK of ivacaftor in white (n</w:t>
      </w:r>
      <w:r w:rsidR="00B171E6">
        <w:rPr>
          <w:iCs/>
          <w:sz w:val="22"/>
          <w:szCs w:val="22"/>
          <w:lang w:val="en-GB"/>
        </w:rPr>
        <w:t> = </w:t>
      </w:r>
      <w:r w:rsidRPr="007F1682">
        <w:rPr>
          <w:iCs/>
          <w:sz w:val="22"/>
          <w:szCs w:val="22"/>
          <w:lang w:val="en-GB"/>
        </w:rPr>
        <w:t>379) and non-white (n</w:t>
      </w:r>
      <w:r w:rsidR="00B171E6">
        <w:rPr>
          <w:iCs/>
          <w:sz w:val="22"/>
          <w:szCs w:val="22"/>
          <w:lang w:val="en-GB"/>
        </w:rPr>
        <w:t> = </w:t>
      </w:r>
      <w:r w:rsidRPr="007F1682">
        <w:rPr>
          <w:iCs/>
          <w:sz w:val="22"/>
          <w:szCs w:val="22"/>
          <w:lang w:val="en-GB"/>
        </w:rPr>
        <w:t>29) patients based on a population PK analysis.</w:t>
      </w:r>
    </w:p>
    <w:p w14:paraId="5A806313" w14:textId="77777777" w:rsidR="008B184A" w:rsidRPr="007F1682" w:rsidRDefault="008B184A" w:rsidP="008B184A">
      <w:pPr>
        <w:pStyle w:val="labeltext"/>
        <w:rPr>
          <w:iCs/>
          <w:sz w:val="22"/>
          <w:szCs w:val="22"/>
          <w:lang w:val="en-GB"/>
        </w:rPr>
      </w:pPr>
    </w:p>
    <w:p w14:paraId="0A65A9BF" w14:textId="77777777" w:rsidR="008B184A" w:rsidRDefault="005A3D7D" w:rsidP="000A093B">
      <w:pPr>
        <w:pStyle w:val="labeltext"/>
        <w:keepNext/>
        <w:rPr>
          <w:i/>
          <w:sz w:val="22"/>
          <w:lang w:val="en-GB"/>
        </w:rPr>
      </w:pPr>
      <w:r w:rsidRPr="007B0741">
        <w:rPr>
          <w:i/>
          <w:sz w:val="22"/>
          <w:lang w:val="en-GB"/>
        </w:rPr>
        <w:t>Gender</w:t>
      </w:r>
    </w:p>
    <w:p w14:paraId="792DBB28" w14:textId="77777777" w:rsidR="00987822" w:rsidRPr="007B0741" w:rsidRDefault="00987822" w:rsidP="000A093B">
      <w:pPr>
        <w:pStyle w:val="labeltext"/>
        <w:keepNext/>
        <w:rPr>
          <w:i/>
          <w:sz w:val="22"/>
          <w:lang w:val="en-GB"/>
        </w:rPr>
      </w:pPr>
    </w:p>
    <w:p w14:paraId="6A71E544" w14:textId="77777777" w:rsidR="008B184A" w:rsidRPr="007F1682" w:rsidRDefault="005A3D7D" w:rsidP="000A093B">
      <w:pPr>
        <w:pStyle w:val="labeltext"/>
        <w:keepNext/>
        <w:rPr>
          <w:iCs/>
          <w:sz w:val="22"/>
          <w:szCs w:val="22"/>
          <w:lang w:val="en-GB"/>
        </w:rPr>
      </w:pPr>
      <w:r w:rsidRPr="007F1682">
        <w:rPr>
          <w:iCs/>
          <w:sz w:val="22"/>
          <w:szCs w:val="22"/>
          <w:lang w:val="en-GB"/>
        </w:rPr>
        <w:t>The pharmacokinetic parameters of ivacaftor</w:t>
      </w:r>
      <w:r w:rsidR="00D773F5">
        <w:rPr>
          <w:iCs/>
          <w:sz w:val="22"/>
          <w:szCs w:val="22"/>
          <w:lang w:val="en-GB"/>
        </w:rPr>
        <w:t>, either as monotherapy or in combination with tezacaftor</w:t>
      </w:r>
      <w:r w:rsidR="00903451">
        <w:rPr>
          <w:iCs/>
          <w:sz w:val="22"/>
          <w:szCs w:val="22"/>
          <w:lang w:val="en-GB"/>
        </w:rPr>
        <w:t xml:space="preserve">/ivacaftor </w:t>
      </w:r>
      <w:r w:rsidR="00903451" w:rsidRPr="00226987">
        <w:rPr>
          <w:iCs/>
          <w:sz w:val="22"/>
          <w:szCs w:val="22"/>
          <w:lang w:val="en-GB"/>
        </w:rPr>
        <w:t xml:space="preserve">or </w:t>
      </w:r>
      <w:r w:rsidR="0021671A">
        <w:rPr>
          <w:iCs/>
          <w:sz w:val="22"/>
          <w:szCs w:val="22"/>
          <w:lang w:val="en-GB"/>
        </w:rPr>
        <w:t>ivacaftor/tezacaftor/elexacaftor</w:t>
      </w:r>
      <w:r w:rsidR="00D773F5">
        <w:rPr>
          <w:iCs/>
          <w:sz w:val="22"/>
          <w:szCs w:val="22"/>
          <w:lang w:val="en-GB"/>
        </w:rPr>
        <w:t>,</w:t>
      </w:r>
      <w:r w:rsidRPr="007F1682">
        <w:rPr>
          <w:iCs/>
          <w:sz w:val="22"/>
          <w:szCs w:val="22"/>
          <w:lang w:val="en-GB"/>
        </w:rPr>
        <w:t xml:space="preserve"> are similar in males and fe</w:t>
      </w:r>
      <w:r w:rsidRPr="007F1682">
        <w:rPr>
          <w:iCs/>
          <w:sz w:val="22"/>
          <w:szCs w:val="22"/>
          <w:lang w:val="en-GB"/>
        </w:rPr>
        <w:t>males.</w:t>
      </w:r>
    </w:p>
    <w:p w14:paraId="2E7545BC" w14:textId="77777777" w:rsidR="008B184A" w:rsidRPr="007F1682" w:rsidRDefault="008B184A" w:rsidP="008B184A">
      <w:pPr>
        <w:pStyle w:val="labeltext"/>
        <w:rPr>
          <w:iCs/>
          <w:sz w:val="22"/>
          <w:szCs w:val="22"/>
          <w:lang w:val="en-GB"/>
        </w:rPr>
      </w:pPr>
    </w:p>
    <w:p w14:paraId="64010394" w14:textId="77777777" w:rsidR="008B184A" w:rsidRDefault="005A3D7D" w:rsidP="000A093B">
      <w:pPr>
        <w:pStyle w:val="labeltext"/>
        <w:keepNext/>
        <w:rPr>
          <w:i/>
          <w:sz w:val="22"/>
          <w:lang w:val="en-GB"/>
        </w:rPr>
      </w:pPr>
      <w:r w:rsidRPr="007B0741">
        <w:rPr>
          <w:i/>
          <w:sz w:val="22"/>
          <w:lang w:val="en-GB"/>
        </w:rPr>
        <w:t>Elderly</w:t>
      </w:r>
    </w:p>
    <w:p w14:paraId="15F32D25" w14:textId="77777777" w:rsidR="00987822" w:rsidRPr="007B0741" w:rsidRDefault="00987822" w:rsidP="000A093B">
      <w:pPr>
        <w:pStyle w:val="labeltext"/>
        <w:keepNext/>
        <w:rPr>
          <w:i/>
          <w:sz w:val="22"/>
          <w:lang w:val="en-GB"/>
        </w:rPr>
      </w:pPr>
    </w:p>
    <w:p w14:paraId="2D1798E5" w14:textId="6E672C88" w:rsidR="008B184A" w:rsidRPr="007F1682" w:rsidRDefault="005A3D7D" w:rsidP="000A093B">
      <w:pPr>
        <w:pStyle w:val="labeltext"/>
        <w:keepNext/>
        <w:rPr>
          <w:iCs/>
          <w:sz w:val="22"/>
          <w:szCs w:val="22"/>
          <w:lang w:val="en-GB"/>
        </w:rPr>
      </w:pPr>
      <w:r w:rsidRPr="007F1682">
        <w:rPr>
          <w:iCs/>
          <w:sz w:val="22"/>
          <w:szCs w:val="22"/>
          <w:lang w:val="en-GB"/>
        </w:rPr>
        <w:t xml:space="preserve">Clinical studies of </w:t>
      </w:r>
      <w:r w:rsidR="00B85907">
        <w:rPr>
          <w:iCs/>
          <w:sz w:val="22"/>
          <w:szCs w:val="22"/>
          <w:lang w:val="en-GB"/>
        </w:rPr>
        <w:t>ivacaftor monotherapy</w:t>
      </w:r>
      <w:r w:rsidRPr="007F1682">
        <w:rPr>
          <w:iCs/>
          <w:sz w:val="22"/>
          <w:szCs w:val="22"/>
          <w:lang w:val="en-GB"/>
        </w:rPr>
        <w:t xml:space="preserve"> did not include sufficient numbers of patients age</w:t>
      </w:r>
      <w:r w:rsidR="0021671A">
        <w:rPr>
          <w:iCs/>
          <w:sz w:val="22"/>
          <w:szCs w:val="22"/>
          <w:lang w:val="en-GB"/>
        </w:rPr>
        <w:t>d</w:t>
      </w:r>
      <w:r w:rsidRPr="007F1682">
        <w:rPr>
          <w:iCs/>
          <w:sz w:val="22"/>
          <w:szCs w:val="22"/>
          <w:lang w:val="en-GB"/>
        </w:rPr>
        <w:t xml:space="preserve"> 65</w:t>
      </w:r>
      <w:r w:rsidR="00E07500">
        <w:rPr>
          <w:iCs/>
          <w:sz w:val="22"/>
          <w:szCs w:val="22"/>
          <w:lang w:val="en-GB"/>
        </w:rPr>
        <w:t> </w:t>
      </w:r>
      <w:r w:rsidRPr="007F1682">
        <w:rPr>
          <w:iCs/>
          <w:sz w:val="22"/>
          <w:szCs w:val="22"/>
          <w:lang w:val="en-GB"/>
        </w:rPr>
        <w:t xml:space="preserve">years and older to determine whether </w:t>
      </w:r>
      <w:r w:rsidR="008C562B" w:rsidRPr="008C562B">
        <w:rPr>
          <w:iCs/>
          <w:sz w:val="22"/>
          <w:szCs w:val="22"/>
          <w:lang w:val="en-GB"/>
        </w:rPr>
        <w:t>pharmacokinetic parameters are similar or</w:t>
      </w:r>
      <w:r w:rsidR="008C562B">
        <w:rPr>
          <w:iCs/>
          <w:sz w:val="22"/>
          <w:szCs w:val="22"/>
          <w:lang w:val="en-GB"/>
        </w:rPr>
        <w:t xml:space="preserve"> not to those in younger adults</w:t>
      </w:r>
      <w:r w:rsidRPr="007F1682">
        <w:rPr>
          <w:iCs/>
          <w:sz w:val="22"/>
          <w:szCs w:val="22"/>
          <w:lang w:val="en-GB"/>
        </w:rPr>
        <w:t>.</w:t>
      </w:r>
    </w:p>
    <w:p w14:paraId="7D51425C" w14:textId="77777777" w:rsidR="00693144" w:rsidRPr="007F1682" w:rsidRDefault="00693144" w:rsidP="008B184A">
      <w:pPr>
        <w:pStyle w:val="labeltext"/>
        <w:rPr>
          <w:iCs/>
          <w:sz w:val="22"/>
          <w:szCs w:val="22"/>
          <w:lang w:val="en-GB"/>
        </w:rPr>
      </w:pPr>
    </w:p>
    <w:p w14:paraId="316BB3F7" w14:textId="5F1751E7" w:rsidR="005233B6" w:rsidRPr="00E238A9" w:rsidRDefault="005A3D7D" w:rsidP="000A093B">
      <w:pPr>
        <w:numPr>
          <w:ilvl w:val="12"/>
          <w:numId w:val="0"/>
        </w:numPr>
        <w:spacing w:line="240" w:lineRule="auto"/>
        <w:ind w:right="-2"/>
      </w:pPr>
      <w:r w:rsidRPr="00E238A9">
        <w:t xml:space="preserve">The pharmacokinetic parameters of </w:t>
      </w:r>
      <w:r w:rsidR="00550C48" w:rsidRPr="00E238A9">
        <w:t xml:space="preserve">ivacaftor in combination with </w:t>
      </w:r>
      <w:r w:rsidRPr="00E238A9">
        <w:t>tezacaftor in the elderly patients (65</w:t>
      </w:r>
      <w:r w:rsidR="00E07500" w:rsidRPr="002418BD">
        <w:noBreakHyphen/>
      </w:r>
      <w:r w:rsidRPr="002418BD">
        <w:t>72</w:t>
      </w:r>
      <w:r w:rsidR="00E07500" w:rsidRPr="002418BD">
        <w:t> </w:t>
      </w:r>
      <w:r w:rsidRPr="002418BD">
        <w:t xml:space="preserve">years) are comparable to those in younger adults. </w:t>
      </w:r>
      <w:r w:rsidR="00FB0465">
        <w:rPr>
          <w:iCs/>
        </w:rPr>
        <w:t xml:space="preserve">No patients aged 65 years and older were included in the clinical studies of </w:t>
      </w:r>
      <w:r w:rsidR="0021671A">
        <w:t>ivacaftor/tezacaftor/elexacaftor</w:t>
      </w:r>
      <w:r>
        <w:t xml:space="preserve"> </w:t>
      </w:r>
      <w:r w:rsidR="00FB0465">
        <w:t xml:space="preserve">and therefore it cannot be </w:t>
      </w:r>
      <w:r w:rsidRPr="00D14543">
        <w:rPr>
          <w:lang w:val="en-US"/>
        </w:rPr>
        <w:t>determine</w:t>
      </w:r>
      <w:r w:rsidR="00FB0465">
        <w:rPr>
          <w:lang w:val="en-US"/>
        </w:rPr>
        <w:t>d</w:t>
      </w:r>
      <w:r w:rsidRPr="00D14543">
        <w:rPr>
          <w:lang w:val="en-US"/>
        </w:rPr>
        <w:t xml:space="preserve"> whether </w:t>
      </w:r>
      <w:r w:rsidR="0021671A">
        <w:rPr>
          <w:lang w:val="en-US"/>
        </w:rPr>
        <w:t xml:space="preserve">pharmacokinetic parameters are similar or not to those in </w:t>
      </w:r>
      <w:r w:rsidRPr="00D14543">
        <w:rPr>
          <w:lang w:val="en-US"/>
        </w:rPr>
        <w:t>younger</w:t>
      </w:r>
      <w:r>
        <w:rPr>
          <w:lang w:val="en-US"/>
        </w:rPr>
        <w:t xml:space="preserve"> </w:t>
      </w:r>
      <w:r w:rsidRPr="00D14543">
        <w:rPr>
          <w:lang w:val="en-US"/>
        </w:rPr>
        <w:t>adults</w:t>
      </w:r>
      <w:r>
        <w:t>.</w:t>
      </w:r>
    </w:p>
    <w:p w14:paraId="0BE3DDFB" w14:textId="77777777" w:rsidR="008B184A" w:rsidRPr="00A808AC" w:rsidRDefault="008B184A" w:rsidP="000D02CF">
      <w:pPr>
        <w:pStyle w:val="labeltext"/>
        <w:rPr>
          <w:iCs/>
          <w:sz w:val="22"/>
          <w:szCs w:val="22"/>
          <w:lang w:val="en-GB"/>
        </w:rPr>
      </w:pPr>
    </w:p>
    <w:p w14:paraId="3FC79218" w14:textId="77777777" w:rsidR="00F976E8" w:rsidRDefault="005A3D7D" w:rsidP="00095957">
      <w:pPr>
        <w:pStyle w:val="labeltextheading"/>
        <w:rPr>
          <w:i w:val="0"/>
          <w:iCs w:val="0"/>
          <w:sz w:val="22"/>
          <w:szCs w:val="22"/>
          <w:u w:val="single"/>
          <w:lang w:val="en-GB"/>
        </w:rPr>
      </w:pPr>
      <w:r w:rsidRPr="00A808AC">
        <w:rPr>
          <w:i w:val="0"/>
          <w:iCs w:val="0"/>
          <w:sz w:val="22"/>
          <w:szCs w:val="22"/>
          <w:u w:val="single"/>
          <w:lang w:val="en-GB"/>
        </w:rPr>
        <w:t>Paediatric population</w:t>
      </w:r>
    </w:p>
    <w:p w14:paraId="663C6720" w14:textId="77777777" w:rsidR="00B309E2" w:rsidRPr="00A808AC" w:rsidRDefault="00B309E2" w:rsidP="00095957">
      <w:pPr>
        <w:pStyle w:val="labeltextheading"/>
        <w:rPr>
          <w:i w:val="0"/>
          <w:iCs w:val="0"/>
          <w:sz w:val="22"/>
          <w:szCs w:val="22"/>
          <w:u w:val="single"/>
          <w:lang w:val="en-GB"/>
        </w:rPr>
      </w:pPr>
    </w:p>
    <w:p w14:paraId="364D309C" w14:textId="0049ECEF" w:rsidR="00F976E8" w:rsidRPr="00A808AC" w:rsidRDefault="005A3D7D" w:rsidP="000A093B">
      <w:pPr>
        <w:keepNext/>
        <w:spacing w:line="240" w:lineRule="auto"/>
        <w:rPr>
          <w:lang w:val="en-US"/>
        </w:rPr>
      </w:pPr>
      <w:r w:rsidRPr="00A808AC">
        <w:rPr>
          <w:lang w:val="en-US"/>
        </w:rPr>
        <w:t>Predicted ivacaftor exposure</w:t>
      </w:r>
      <w:r w:rsidR="00087262" w:rsidRPr="00A808AC">
        <w:rPr>
          <w:lang w:val="en-US"/>
        </w:rPr>
        <w:t xml:space="preserve"> </w:t>
      </w:r>
      <w:r w:rsidRPr="00A808AC">
        <w:rPr>
          <w:lang w:val="en-US"/>
        </w:rPr>
        <w:t xml:space="preserve">based on observed ivacaftor concentrations in </w:t>
      </w:r>
      <w:r w:rsidR="00BA40DB">
        <w:rPr>
          <w:lang w:val="en-US"/>
        </w:rPr>
        <w:t>p</w:t>
      </w:r>
      <w:r w:rsidRPr="00A808AC">
        <w:rPr>
          <w:lang w:val="en-US"/>
        </w:rPr>
        <w:t xml:space="preserve">hase 2 and 3 studies </w:t>
      </w:r>
      <w:r w:rsidR="00E1017C" w:rsidRPr="00A808AC">
        <w:rPr>
          <w:lang w:val="en-US"/>
        </w:rPr>
        <w:t xml:space="preserve">as determined using population PK analysis </w:t>
      </w:r>
      <w:r w:rsidRPr="00A808AC">
        <w:rPr>
          <w:lang w:val="en-US"/>
        </w:rPr>
        <w:t xml:space="preserve">is presented by age group in </w:t>
      </w:r>
      <w:r w:rsidR="003D374D" w:rsidRPr="00A808AC">
        <w:rPr>
          <w:lang w:val="en-US"/>
        </w:rPr>
        <w:t>Table</w:t>
      </w:r>
      <w:r w:rsidR="003D374D">
        <w:rPr>
          <w:lang w:val="en-US"/>
        </w:rPr>
        <w:t> </w:t>
      </w:r>
      <w:r w:rsidR="002F0872">
        <w:rPr>
          <w:lang w:val="en-US"/>
        </w:rPr>
        <w:t>9</w:t>
      </w:r>
      <w:r w:rsidRPr="00A808AC">
        <w:rPr>
          <w:lang w:val="en-US"/>
        </w:rPr>
        <w:t>.</w:t>
      </w:r>
    </w:p>
    <w:p w14:paraId="4A4E9F6C" w14:textId="77777777" w:rsidR="00F976E8" w:rsidRPr="00A808AC" w:rsidRDefault="00F976E8" w:rsidP="002B5107">
      <w:pPr>
        <w:spacing w:line="240" w:lineRule="auto"/>
        <w:rPr>
          <w:lang w:val="en-US"/>
        </w:rPr>
      </w:pPr>
    </w:p>
    <w:p w14:paraId="4546C867" w14:textId="559B1EBE" w:rsidR="006C332B" w:rsidRDefault="005A3D7D" w:rsidP="000A093B">
      <w:pPr>
        <w:keepNext/>
        <w:spacing w:after="120" w:line="240" w:lineRule="auto"/>
        <w:rPr>
          <w:b/>
          <w:bCs/>
          <w:lang w:val="en-US"/>
        </w:rPr>
      </w:pPr>
      <w:r w:rsidRPr="00A808AC">
        <w:rPr>
          <w:b/>
          <w:bCs/>
          <w:lang w:val="en-US"/>
        </w:rPr>
        <w:t>Table </w:t>
      </w:r>
      <w:r w:rsidR="002F0872">
        <w:rPr>
          <w:b/>
          <w:bCs/>
          <w:lang w:val="en-US"/>
        </w:rPr>
        <w:t>9</w:t>
      </w:r>
      <w:r>
        <w:rPr>
          <w:b/>
          <w:bCs/>
          <w:lang w:val="en-US"/>
        </w:rPr>
        <w:t>:</w:t>
      </w:r>
      <w:r w:rsidRPr="00A808AC">
        <w:rPr>
          <w:b/>
          <w:bCs/>
          <w:lang w:val="en-US"/>
        </w:rPr>
        <w:t xml:space="preserve"> Mean (SD) ivacaftor exposure by age group</w:t>
      </w:r>
    </w:p>
    <w:tbl>
      <w:tblPr>
        <w:tblW w:w="5074" w:type="pct"/>
        <w:tblInd w:w="107" w:type="dxa"/>
        <w:tblLook w:val="04A0" w:firstRow="1" w:lastRow="0" w:firstColumn="1" w:lastColumn="0" w:noHBand="0" w:noVBand="1"/>
      </w:tblPr>
      <w:tblGrid>
        <w:gridCol w:w="5133"/>
        <w:gridCol w:w="1378"/>
        <w:gridCol w:w="1206"/>
        <w:gridCol w:w="1492"/>
      </w:tblGrid>
      <w:tr w:rsidR="00476058" w14:paraId="2A1C0855" w14:textId="77777777" w:rsidTr="0012118D">
        <w:trPr>
          <w:trHeight w:val="478"/>
        </w:trPr>
        <w:tc>
          <w:tcPr>
            <w:tcW w:w="2787" w:type="pct"/>
            <w:tcBorders>
              <w:top w:val="single" w:sz="4" w:space="0" w:color="auto"/>
              <w:left w:val="single" w:sz="4" w:space="0" w:color="auto"/>
              <w:bottom w:val="single" w:sz="4" w:space="0" w:color="auto"/>
              <w:right w:val="single" w:sz="4" w:space="0" w:color="auto"/>
            </w:tcBorders>
            <w:vAlign w:val="center"/>
            <w:hideMark/>
          </w:tcPr>
          <w:p w14:paraId="4782ECE9" w14:textId="77777777" w:rsidR="002752C8" w:rsidRPr="00203E18" w:rsidRDefault="005A3D7D" w:rsidP="000A093B">
            <w:pPr>
              <w:keepNext/>
              <w:spacing w:after="120" w:line="240" w:lineRule="auto"/>
              <w:jc w:val="center"/>
              <w:rPr>
                <w:b/>
                <w:lang w:val="en-US"/>
              </w:rPr>
            </w:pPr>
            <w:r w:rsidRPr="00203E18">
              <w:rPr>
                <w:b/>
                <w:lang w:val="en-US"/>
              </w:rPr>
              <w:t>Age group</w:t>
            </w:r>
          </w:p>
        </w:tc>
        <w:tc>
          <w:tcPr>
            <w:tcW w:w="748" w:type="pct"/>
            <w:tcBorders>
              <w:top w:val="single" w:sz="4" w:space="0" w:color="auto"/>
              <w:left w:val="single" w:sz="4" w:space="0" w:color="auto"/>
              <w:bottom w:val="single" w:sz="4" w:space="0" w:color="auto"/>
              <w:right w:val="single" w:sz="4" w:space="0" w:color="auto"/>
            </w:tcBorders>
            <w:vAlign w:val="center"/>
            <w:hideMark/>
          </w:tcPr>
          <w:p w14:paraId="04C78A27" w14:textId="77777777" w:rsidR="002752C8" w:rsidRPr="00203E18" w:rsidRDefault="005A3D7D" w:rsidP="000A093B">
            <w:pPr>
              <w:keepNext/>
              <w:spacing w:after="120" w:line="240" w:lineRule="auto"/>
              <w:jc w:val="center"/>
              <w:rPr>
                <w:b/>
                <w:lang w:val="en-US"/>
              </w:rPr>
            </w:pPr>
            <w:r w:rsidRPr="00203E18">
              <w:rPr>
                <w:b/>
                <w:lang w:val="en-US"/>
              </w:rPr>
              <w:t>Dose</w:t>
            </w:r>
          </w:p>
        </w:tc>
        <w:tc>
          <w:tcPr>
            <w:tcW w:w="655" w:type="pct"/>
            <w:tcBorders>
              <w:top w:val="single" w:sz="4" w:space="0" w:color="auto"/>
              <w:left w:val="single" w:sz="4" w:space="0" w:color="auto"/>
              <w:bottom w:val="single" w:sz="4" w:space="0" w:color="auto"/>
              <w:right w:val="single" w:sz="4" w:space="0" w:color="auto"/>
            </w:tcBorders>
            <w:vAlign w:val="center"/>
            <w:hideMark/>
          </w:tcPr>
          <w:p w14:paraId="760BB608" w14:textId="77777777" w:rsidR="002752C8" w:rsidRPr="00203E18" w:rsidRDefault="005A3D7D" w:rsidP="000A093B">
            <w:pPr>
              <w:keepNext/>
              <w:spacing w:after="120" w:line="240" w:lineRule="auto"/>
              <w:jc w:val="center"/>
              <w:rPr>
                <w:b/>
                <w:lang w:val="en-US"/>
              </w:rPr>
            </w:pPr>
            <w:r w:rsidRPr="00203E18">
              <w:rPr>
                <w:b/>
                <w:lang w:val="en-US"/>
              </w:rPr>
              <w:t>C</w:t>
            </w:r>
            <w:r w:rsidRPr="00203E18">
              <w:rPr>
                <w:b/>
                <w:vertAlign w:val="subscript"/>
                <w:lang w:val="en-US"/>
              </w:rPr>
              <w:t>min, ss</w:t>
            </w:r>
            <w:r w:rsidRPr="00203E18">
              <w:rPr>
                <w:b/>
                <w:lang w:val="en-US"/>
              </w:rPr>
              <w:t xml:space="preserve"> (ng/mL)</w:t>
            </w:r>
          </w:p>
        </w:tc>
        <w:tc>
          <w:tcPr>
            <w:tcW w:w="810" w:type="pct"/>
            <w:tcBorders>
              <w:top w:val="single" w:sz="4" w:space="0" w:color="auto"/>
              <w:left w:val="single" w:sz="4" w:space="0" w:color="auto"/>
              <w:bottom w:val="single" w:sz="4" w:space="0" w:color="auto"/>
              <w:right w:val="single" w:sz="4" w:space="0" w:color="auto"/>
            </w:tcBorders>
            <w:vAlign w:val="center"/>
            <w:hideMark/>
          </w:tcPr>
          <w:p w14:paraId="3A535621" w14:textId="77777777" w:rsidR="002752C8" w:rsidRPr="000A093B" w:rsidRDefault="005A3D7D" w:rsidP="000A093B">
            <w:pPr>
              <w:keepNext/>
              <w:spacing w:after="120" w:line="240" w:lineRule="auto"/>
              <w:jc w:val="center"/>
              <w:rPr>
                <w:b/>
                <w:vertAlign w:val="subscript"/>
                <w:lang w:val="pt-PT"/>
              </w:rPr>
            </w:pPr>
            <w:r w:rsidRPr="000A093B">
              <w:rPr>
                <w:b/>
                <w:lang w:val="pt-PT"/>
              </w:rPr>
              <w:t>AUC</w:t>
            </w:r>
            <w:r w:rsidRPr="00203E18">
              <w:rPr>
                <w:b/>
                <w:vertAlign w:val="subscript"/>
              </w:rPr>
              <w:t>τ</w:t>
            </w:r>
            <w:r w:rsidRPr="000A093B">
              <w:rPr>
                <w:b/>
                <w:vertAlign w:val="subscript"/>
                <w:lang w:val="pt-PT"/>
              </w:rPr>
              <w:t>, ss</w:t>
            </w:r>
            <w:r w:rsidRPr="000A093B">
              <w:rPr>
                <w:b/>
                <w:lang w:val="pt-PT"/>
              </w:rPr>
              <w:t xml:space="preserve"> (ng</w:t>
            </w:r>
            <w:r w:rsidR="00707198" w:rsidRPr="000A093B">
              <w:rPr>
                <w:b/>
                <w:lang w:val="pt-PT"/>
              </w:rPr>
              <w:t>*</w:t>
            </w:r>
            <w:r w:rsidRPr="000A093B">
              <w:rPr>
                <w:b/>
                <w:lang w:val="pt-PT"/>
              </w:rPr>
              <w:t>h/mL)</w:t>
            </w:r>
          </w:p>
        </w:tc>
      </w:tr>
      <w:tr w:rsidR="00476058" w14:paraId="4AA38424" w14:textId="77777777" w:rsidTr="001211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380"/>
        </w:trPr>
        <w:tc>
          <w:tcPr>
            <w:tcW w:w="278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0785E47" w14:textId="77777777" w:rsidR="00947C3D" w:rsidRPr="00E909E9" w:rsidRDefault="005A3D7D" w:rsidP="006878A4">
            <w:pPr>
              <w:keepNext/>
              <w:keepLines/>
              <w:spacing w:after="120"/>
              <w:rPr>
                <w:lang w:val="en-US"/>
              </w:rPr>
            </w:pPr>
            <w:r w:rsidRPr="00E909E9">
              <w:rPr>
                <w:lang w:val="en-US"/>
              </w:rPr>
              <w:t>6 months to less than 12 months (5 kg to &lt;</w:t>
            </w:r>
            <w:r>
              <w:rPr>
                <w:lang w:val="en-US"/>
              </w:rPr>
              <w:t> </w:t>
            </w:r>
            <w:r w:rsidRPr="00E909E9">
              <w:rPr>
                <w:lang w:val="en-US"/>
              </w:rPr>
              <w:t>7 kg)</w:t>
            </w:r>
            <w:r>
              <w:rPr>
                <w:rStyle w:val="CommentReference"/>
              </w:rPr>
              <w:t> </w:t>
            </w:r>
            <w:r>
              <w:rPr>
                <w:vertAlign w:val="superscript"/>
                <w:lang w:val="en-US"/>
              </w:rPr>
              <w:t>*</w:t>
            </w:r>
          </w:p>
        </w:tc>
        <w:tc>
          <w:tcPr>
            <w:tcW w:w="7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4C58283" w14:textId="77777777" w:rsidR="00947C3D" w:rsidRPr="00E909E9" w:rsidRDefault="005A3D7D" w:rsidP="006878A4">
            <w:pPr>
              <w:keepNext/>
              <w:keepLines/>
              <w:spacing w:after="120"/>
              <w:rPr>
                <w:lang w:val="en-US"/>
              </w:rPr>
            </w:pPr>
            <w:r w:rsidRPr="00E909E9">
              <w:rPr>
                <w:lang w:val="en-US"/>
              </w:rPr>
              <w:t>25 mg q12h</w:t>
            </w:r>
          </w:p>
        </w:tc>
        <w:tc>
          <w:tcPr>
            <w:tcW w:w="6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82CC8AF" w14:textId="77777777" w:rsidR="00947C3D" w:rsidRPr="00E41634" w:rsidRDefault="005A3D7D" w:rsidP="006878A4">
            <w:pPr>
              <w:keepNext/>
              <w:keepLines/>
              <w:spacing w:after="120"/>
              <w:rPr>
                <w:lang w:val="en-US"/>
              </w:rPr>
            </w:pPr>
            <w:r w:rsidRPr="00E41634">
              <w:t>336</w:t>
            </w:r>
          </w:p>
        </w:tc>
        <w:tc>
          <w:tcPr>
            <w:tcW w:w="8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91BCD65" w14:textId="77777777" w:rsidR="00947C3D" w:rsidRPr="00E41634" w:rsidRDefault="005A3D7D" w:rsidP="006878A4">
            <w:pPr>
              <w:keepNext/>
              <w:keepLines/>
              <w:spacing w:after="120"/>
              <w:rPr>
                <w:lang w:val="en-US"/>
              </w:rPr>
            </w:pPr>
            <w:r w:rsidRPr="00E41634">
              <w:t>5410</w:t>
            </w:r>
          </w:p>
        </w:tc>
      </w:tr>
      <w:tr w:rsidR="00476058" w14:paraId="11577A8A" w14:textId="77777777" w:rsidTr="001211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380"/>
        </w:trPr>
        <w:tc>
          <w:tcPr>
            <w:tcW w:w="278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E113ADB" w14:textId="77777777" w:rsidR="00947C3D" w:rsidRPr="00E909E9" w:rsidRDefault="005A3D7D" w:rsidP="006878A4">
            <w:pPr>
              <w:keepNext/>
              <w:keepLines/>
              <w:spacing w:after="120"/>
              <w:rPr>
                <w:lang w:val="en-US"/>
              </w:rPr>
            </w:pPr>
            <w:r w:rsidRPr="00E909E9">
              <w:rPr>
                <w:lang w:val="en-US"/>
              </w:rPr>
              <w:t>6 months to less than 12 months (7 kg to &lt;</w:t>
            </w:r>
            <w:r>
              <w:rPr>
                <w:lang w:val="en-US"/>
              </w:rPr>
              <w:t> </w:t>
            </w:r>
            <w:r w:rsidRPr="00E909E9">
              <w:rPr>
                <w:lang w:val="en-US"/>
              </w:rPr>
              <w:t>14 kg)</w:t>
            </w:r>
          </w:p>
        </w:tc>
        <w:tc>
          <w:tcPr>
            <w:tcW w:w="748"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60BE555" w14:textId="77777777" w:rsidR="00947C3D" w:rsidRPr="00E909E9" w:rsidRDefault="005A3D7D" w:rsidP="006878A4">
            <w:pPr>
              <w:keepNext/>
              <w:keepLines/>
              <w:spacing w:after="120"/>
              <w:rPr>
                <w:lang w:val="en-US"/>
              </w:rPr>
            </w:pPr>
            <w:r w:rsidRPr="00E909E9">
              <w:rPr>
                <w:lang w:val="en-US"/>
              </w:rPr>
              <w:t>50 mg q12h</w:t>
            </w:r>
          </w:p>
        </w:tc>
        <w:tc>
          <w:tcPr>
            <w:tcW w:w="655"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169DECC" w14:textId="77777777" w:rsidR="00947C3D" w:rsidRPr="00E41634" w:rsidRDefault="005A3D7D" w:rsidP="006878A4">
            <w:pPr>
              <w:keepNext/>
              <w:keepLines/>
              <w:spacing w:after="120"/>
              <w:rPr>
                <w:lang w:val="en-US"/>
              </w:rPr>
            </w:pPr>
            <w:r w:rsidRPr="00E41634">
              <w:t>508 (252)</w:t>
            </w:r>
          </w:p>
        </w:tc>
        <w:tc>
          <w:tcPr>
            <w:tcW w:w="8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59507C3" w14:textId="77777777" w:rsidR="00947C3D" w:rsidRPr="00E41634" w:rsidRDefault="005A3D7D" w:rsidP="006878A4">
            <w:pPr>
              <w:keepNext/>
              <w:keepLines/>
              <w:spacing w:after="120"/>
              <w:rPr>
                <w:lang w:val="en-US"/>
              </w:rPr>
            </w:pPr>
            <w:r w:rsidRPr="00E41634">
              <w:t>9140 (4200)</w:t>
            </w:r>
          </w:p>
        </w:tc>
      </w:tr>
      <w:tr w:rsidR="00476058" w14:paraId="23E0C5CD" w14:textId="77777777" w:rsidTr="001211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Ex>
        <w:trPr>
          <w:trHeight w:val="380"/>
        </w:trPr>
        <w:tc>
          <w:tcPr>
            <w:tcW w:w="2787" w:type="pct"/>
            <w:tcMar>
              <w:top w:w="0" w:type="dxa"/>
              <w:left w:w="108" w:type="dxa"/>
              <w:bottom w:w="0" w:type="dxa"/>
              <w:right w:w="108" w:type="dxa"/>
            </w:tcMar>
          </w:tcPr>
          <w:p w14:paraId="26DAD1C6" w14:textId="08858351" w:rsidR="002752C8" w:rsidRPr="00E909E9" w:rsidRDefault="005A3D7D">
            <w:pPr>
              <w:pStyle w:val="labeltext"/>
              <w:keepNext/>
              <w:rPr>
                <w:sz w:val="22"/>
                <w:szCs w:val="22"/>
              </w:rPr>
            </w:pPr>
            <w:r w:rsidRPr="00E909E9">
              <w:rPr>
                <w:sz w:val="22"/>
                <w:szCs w:val="22"/>
              </w:rPr>
              <w:t>12 months to less than 24 months</w:t>
            </w:r>
            <w:r w:rsidR="00CA3260">
              <w:rPr>
                <w:sz w:val="22"/>
                <w:szCs w:val="22"/>
              </w:rPr>
              <w:t xml:space="preserve"> </w:t>
            </w:r>
            <w:r w:rsidRPr="00E909E9">
              <w:rPr>
                <w:sz w:val="22"/>
                <w:szCs w:val="22"/>
              </w:rPr>
              <w:t>(7 kg to &lt; 14 kg)</w:t>
            </w:r>
          </w:p>
        </w:tc>
        <w:tc>
          <w:tcPr>
            <w:tcW w:w="748" w:type="pct"/>
            <w:tcMar>
              <w:top w:w="0" w:type="dxa"/>
              <w:left w:w="108" w:type="dxa"/>
              <w:bottom w:w="0" w:type="dxa"/>
              <w:right w:w="108" w:type="dxa"/>
            </w:tcMar>
          </w:tcPr>
          <w:p w14:paraId="33AE50E7" w14:textId="77777777" w:rsidR="002752C8" w:rsidRPr="00E909E9" w:rsidRDefault="005A3D7D" w:rsidP="006878A4">
            <w:pPr>
              <w:pStyle w:val="labeltext"/>
              <w:keepNext/>
              <w:rPr>
                <w:sz w:val="22"/>
                <w:szCs w:val="22"/>
              </w:rPr>
            </w:pPr>
            <w:r w:rsidRPr="00E909E9">
              <w:rPr>
                <w:sz w:val="22"/>
                <w:szCs w:val="22"/>
              </w:rPr>
              <w:t>50 mg q12h</w:t>
            </w:r>
          </w:p>
        </w:tc>
        <w:tc>
          <w:tcPr>
            <w:tcW w:w="655" w:type="pct"/>
            <w:tcMar>
              <w:top w:w="0" w:type="dxa"/>
              <w:left w:w="108" w:type="dxa"/>
              <w:bottom w:w="0" w:type="dxa"/>
              <w:right w:w="108" w:type="dxa"/>
            </w:tcMar>
          </w:tcPr>
          <w:p w14:paraId="41627BB2" w14:textId="77777777" w:rsidR="002752C8" w:rsidRPr="00E909E9" w:rsidRDefault="005A3D7D" w:rsidP="006878A4">
            <w:pPr>
              <w:pStyle w:val="labeltext"/>
              <w:keepNext/>
              <w:rPr>
                <w:sz w:val="22"/>
                <w:szCs w:val="22"/>
              </w:rPr>
            </w:pPr>
            <w:r w:rsidRPr="00E909E9">
              <w:rPr>
                <w:sz w:val="22"/>
                <w:szCs w:val="22"/>
              </w:rPr>
              <w:t>440 (212)</w:t>
            </w:r>
          </w:p>
        </w:tc>
        <w:tc>
          <w:tcPr>
            <w:tcW w:w="810" w:type="pct"/>
            <w:tcMar>
              <w:top w:w="0" w:type="dxa"/>
              <w:left w:w="108" w:type="dxa"/>
              <w:bottom w:w="0" w:type="dxa"/>
              <w:right w:w="108" w:type="dxa"/>
            </w:tcMar>
          </w:tcPr>
          <w:p w14:paraId="7A3023F7" w14:textId="77777777" w:rsidR="002752C8" w:rsidRPr="00E909E9" w:rsidRDefault="005A3D7D" w:rsidP="006878A4">
            <w:pPr>
              <w:pStyle w:val="labeltext"/>
              <w:keepNext/>
              <w:rPr>
                <w:sz w:val="22"/>
                <w:szCs w:val="22"/>
              </w:rPr>
            </w:pPr>
            <w:r w:rsidRPr="00E909E9">
              <w:rPr>
                <w:sz w:val="22"/>
                <w:szCs w:val="22"/>
              </w:rPr>
              <w:t>9050 (3050)</w:t>
            </w:r>
          </w:p>
        </w:tc>
      </w:tr>
      <w:tr w:rsidR="00476058" w14:paraId="25E84D8B" w14:textId="77777777" w:rsidTr="001211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Ex>
        <w:trPr>
          <w:trHeight w:val="380"/>
        </w:trPr>
        <w:tc>
          <w:tcPr>
            <w:tcW w:w="2787" w:type="pct"/>
            <w:tcMar>
              <w:top w:w="0" w:type="dxa"/>
              <w:left w:w="108" w:type="dxa"/>
              <w:bottom w:w="0" w:type="dxa"/>
              <w:right w:w="108" w:type="dxa"/>
            </w:tcMar>
          </w:tcPr>
          <w:p w14:paraId="047CBFAD" w14:textId="050B7DB7" w:rsidR="002752C8" w:rsidRPr="00E909E9" w:rsidRDefault="005A3D7D">
            <w:pPr>
              <w:pStyle w:val="labeltext"/>
              <w:keepNext/>
              <w:rPr>
                <w:sz w:val="22"/>
                <w:szCs w:val="22"/>
              </w:rPr>
            </w:pPr>
            <w:r w:rsidRPr="00E909E9">
              <w:rPr>
                <w:sz w:val="22"/>
                <w:szCs w:val="22"/>
              </w:rPr>
              <w:t>12 months to less than 24 months</w:t>
            </w:r>
            <w:r w:rsidR="00CA3260">
              <w:rPr>
                <w:sz w:val="22"/>
                <w:szCs w:val="22"/>
              </w:rPr>
              <w:t xml:space="preserve"> </w:t>
            </w:r>
            <w:r w:rsidRPr="00E909E9">
              <w:rPr>
                <w:rFonts w:hint="eastAsia"/>
                <w:sz w:val="22"/>
                <w:szCs w:val="22"/>
              </w:rPr>
              <w:t>(</w:t>
            </w:r>
            <w:r w:rsidRPr="00E909E9">
              <w:rPr>
                <w:rFonts w:hint="eastAsia"/>
                <w:sz w:val="22"/>
                <w:szCs w:val="22"/>
              </w:rPr>
              <w:t>≥</w:t>
            </w:r>
            <w:r w:rsidRPr="00E909E9">
              <w:rPr>
                <w:sz w:val="22"/>
                <w:szCs w:val="22"/>
              </w:rPr>
              <w:t> </w:t>
            </w:r>
            <w:r w:rsidRPr="00E909E9">
              <w:rPr>
                <w:rFonts w:hint="eastAsia"/>
                <w:sz w:val="22"/>
                <w:szCs w:val="22"/>
              </w:rPr>
              <w:t>14 kg to &lt;</w:t>
            </w:r>
            <w:r w:rsidRPr="00E909E9">
              <w:rPr>
                <w:sz w:val="22"/>
                <w:szCs w:val="22"/>
              </w:rPr>
              <w:t> </w:t>
            </w:r>
            <w:r w:rsidRPr="00E909E9">
              <w:rPr>
                <w:rFonts w:hint="eastAsia"/>
                <w:sz w:val="22"/>
                <w:szCs w:val="22"/>
              </w:rPr>
              <w:t>25 kg</w:t>
            </w:r>
            <w:r w:rsidRPr="00E909E9">
              <w:rPr>
                <w:sz w:val="22"/>
                <w:szCs w:val="22"/>
              </w:rPr>
              <w:t>)</w:t>
            </w:r>
          </w:p>
        </w:tc>
        <w:tc>
          <w:tcPr>
            <w:tcW w:w="748" w:type="pct"/>
            <w:tcMar>
              <w:top w:w="0" w:type="dxa"/>
              <w:left w:w="108" w:type="dxa"/>
              <w:bottom w:w="0" w:type="dxa"/>
              <w:right w:w="108" w:type="dxa"/>
            </w:tcMar>
          </w:tcPr>
          <w:p w14:paraId="40D207AC" w14:textId="77777777" w:rsidR="002752C8" w:rsidRPr="00E909E9" w:rsidRDefault="005A3D7D" w:rsidP="006878A4">
            <w:pPr>
              <w:pStyle w:val="labeltext"/>
              <w:keepNext/>
              <w:rPr>
                <w:sz w:val="22"/>
                <w:szCs w:val="22"/>
              </w:rPr>
            </w:pPr>
            <w:r w:rsidRPr="00E909E9">
              <w:rPr>
                <w:sz w:val="22"/>
                <w:szCs w:val="22"/>
              </w:rPr>
              <w:t>75 mg q12h</w:t>
            </w:r>
          </w:p>
        </w:tc>
        <w:tc>
          <w:tcPr>
            <w:tcW w:w="655" w:type="pct"/>
            <w:tcMar>
              <w:top w:w="0" w:type="dxa"/>
              <w:left w:w="108" w:type="dxa"/>
              <w:bottom w:w="0" w:type="dxa"/>
              <w:right w:w="108" w:type="dxa"/>
            </w:tcMar>
          </w:tcPr>
          <w:p w14:paraId="547D1CD2" w14:textId="77777777" w:rsidR="002752C8" w:rsidRPr="00E909E9" w:rsidRDefault="005A3D7D" w:rsidP="006878A4">
            <w:pPr>
              <w:pStyle w:val="labeltext"/>
              <w:keepNext/>
              <w:rPr>
                <w:sz w:val="22"/>
                <w:szCs w:val="22"/>
              </w:rPr>
            </w:pPr>
            <w:r w:rsidRPr="00E909E9">
              <w:rPr>
                <w:sz w:val="22"/>
                <w:szCs w:val="22"/>
              </w:rPr>
              <w:t>451 (125)</w:t>
            </w:r>
          </w:p>
        </w:tc>
        <w:tc>
          <w:tcPr>
            <w:tcW w:w="810" w:type="pct"/>
            <w:tcMar>
              <w:top w:w="0" w:type="dxa"/>
              <w:left w:w="108" w:type="dxa"/>
              <w:bottom w:w="0" w:type="dxa"/>
              <w:right w:w="108" w:type="dxa"/>
            </w:tcMar>
          </w:tcPr>
          <w:p w14:paraId="5EC77BE1" w14:textId="77777777" w:rsidR="002752C8" w:rsidRPr="00E909E9" w:rsidRDefault="005A3D7D" w:rsidP="006878A4">
            <w:pPr>
              <w:pStyle w:val="labeltext"/>
              <w:keepNext/>
              <w:rPr>
                <w:sz w:val="22"/>
                <w:szCs w:val="22"/>
              </w:rPr>
            </w:pPr>
            <w:r w:rsidRPr="00E909E9">
              <w:rPr>
                <w:sz w:val="22"/>
                <w:szCs w:val="22"/>
              </w:rPr>
              <w:t>9600 (1800)</w:t>
            </w:r>
          </w:p>
        </w:tc>
      </w:tr>
      <w:tr w:rsidR="00476058" w14:paraId="3DE3716C" w14:textId="77777777" w:rsidTr="001211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380"/>
        </w:trPr>
        <w:tc>
          <w:tcPr>
            <w:tcW w:w="2787" w:type="pct"/>
            <w:tcMar>
              <w:top w:w="0" w:type="dxa"/>
              <w:left w:w="108" w:type="dxa"/>
              <w:bottom w:w="0" w:type="dxa"/>
              <w:right w:w="108" w:type="dxa"/>
            </w:tcMar>
            <w:hideMark/>
          </w:tcPr>
          <w:p w14:paraId="28DE142A" w14:textId="24E28D4E" w:rsidR="002752C8" w:rsidRPr="00E909E9" w:rsidRDefault="005A3D7D">
            <w:pPr>
              <w:keepNext/>
              <w:spacing w:line="240" w:lineRule="auto"/>
              <w:rPr>
                <w:lang w:val="en-US"/>
              </w:rPr>
            </w:pPr>
            <w:r w:rsidRPr="00E909E9">
              <w:rPr>
                <w:lang w:val="en-US"/>
              </w:rPr>
              <w:t>2</w:t>
            </w:r>
            <w:r w:rsidRPr="00E909E9">
              <w:rPr>
                <w:lang w:val="en-US"/>
              </w:rPr>
              <w:noBreakHyphen/>
              <w:t xml:space="preserve"> to 5</w:t>
            </w:r>
            <w:r w:rsidRPr="00E909E9">
              <w:rPr>
                <w:lang w:val="en-US"/>
              </w:rPr>
              <w:noBreakHyphen/>
              <w:t>year-olds</w:t>
            </w:r>
            <w:r w:rsidR="00CA3260">
              <w:rPr>
                <w:lang w:val="en-US"/>
              </w:rPr>
              <w:t xml:space="preserve"> </w:t>
            </w:r>
            <w:r w:rsidRPr="00E909E9">
              <w:rPr>
                <w:lang w:val="en-US"/>
              </w:rPr>
              <w:t>(&lt; 14 kg)</w:t>
            </w:r>
          </w:p>
        </w:tc>
        <w:tc>
          <w:tcPr>
            <w:tcW w:w="748" w:type="pct"/>
            <w:tcMar>
              <w:top w:w="0" w:type="dxa"/>
              <w:left w:w="108" w:type="dxa"/>
              <w:bottom w:w="0" w:type="dxa"/>
              <w:right w:w="108" w:type="dxa"/>
            </w:tcMar>
            <w:hideMark/>
          </w:tcPr>
          <w:p w14:paraId="6AB85191" w14:textId="77777777" w:rsidR="002752C8" w:rsidRPr="00E909E9" w:rsidRDefault="005A3D7D" w:rsidP="006878A4">
            <w:pPr>
              <w:keepNext/>
              <w:spacing w:line="240" w:lineRule="auto"/>
              <w:rPr>
                <w:lang w:val="en-US"/>
              </w:rPr>
            </w:pPr>
            <w:r w:rsidRPr="00E909E9">
              <w:rPr>
                <w:lang w:val="en-US"/>
              </w:rPr>
              <w:t>50 mg q12h</w:t>
            </w:r>
          </w:p>
        </w:tc>
        <w:tc>
          <w:tcPr>
            <w:tcW w:w="655" w:type="pct"/>
            <w:tcMar>
              <w:top w:w="0" w:type="dxa"/>
              <w:left w:w="108" w:type="dxa"/>
              <w:bottom w:w="0" w:type="dxa"/>
              <w:right w:w="108" w:type="dxa"/>
            </w:tcMar>
            <w:hideMark/>
          </w:tcPr>
          <w:p w14:paraId="3C1E1E5D" w14:textId="77777777" w:rsidR="002752C8" w:rsidRPr="00E909E9" w:rsidRDefault="005A3D7D" w:rsidP="006878A4">
            <w:pPr>
              <w:keepNext/>
              <w:spacing w:line="240" w:lineRule="auto"/>
              <w:rPr>
                <w:lang w:val="en-US"/>
              </w:rPr>
            </w:pPr>
            <w:r w:rsidRPr="00E909E9">
              <w:rPr>
                <w:lang w:val="en-US"/>
              </w:rPr>
              <w:t>577 (317)</w:t>
            </w:r>
          </w:p>
        </w:tc>
        <w:tc>
          <w:tcPr>
            <w:tcW w:w="810" w:type="pct"/>
            <w:tcMar>
              <w:top w:w="0" w:type="dxa"/>
              <w:left w:w="108" w:type="dxa"/>
              <w:bottom w:w="0" w:type="dxa"/>
              <w:right w:w="108" w:type="dxa"/>
            </w:tcMar>
            <w:hideMark/>
          </w:tcPr>
          <w:p w14:paraId="6A7FA4D5" w14:textId="77777777" w:rsidR="002752C8" w:rsidRPr="00E909E9" w:rsidRDefault="005A3D7D" w:rsidP="006878A4">
            <w:pPr>
              <w:keepNext/>
              <w:spacing w:line="240" w:lineRule="auto"/>
              <w:rPr>
                <w:lang w:val="en-US"/>
              </w:rPr>
            </w:pPr>
            <w:r w:rsidRPr="00E909E9">
              <w:rPr>
                <w:lang w:val="en-US"/>
              </w:rPr>
              <w:t>10500 (4260)</w:t>
            </w:r>
          </w:p>
        </w:tc>
      </w:tr>
      <w:tr w:rsidR="00476058" w14:paraId="34D0706C" w14:textId="77777777" w:rsidTr="001211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380"/>
        </w:trPr>
        <w:tc>
          <w:tcPr>
            <w:tcW w:w="2787" w:type="pct"/>
            <w:tcMar>
              <w:top w:w="0" w:type="dxa"/>
              <w:left w:w="108" w:type="dxa"/>
              <w:bottom w:w="0" w:type="dxa"/>
              <w:right w:w="108" w:type="dxa"/>
            </w:tcMar>
            <w:hideMark/>
          </w:tcPr>
          <w:p w14:paraId="11D38C88" w14:textId="2253A92D" w:rsidR="002752C8" w:rsidRPr="00E909E9" w:rsidRDefault="005A3D7D">
            <w:pPr>
              <w:spacing w:line="240" w:lineRule="auto"/>
              <w:rPr>
                <w:lang w:val="en-US"/>
              </w:rPr>
            </w:pPr>
            <w:r w:rsidRPr="00E909E9">
              <w:rPr>
                <w:lang w:val="en-US"/>
              </w:rPr>
              <w:t>2</w:t>
            </w:r>
            <w:r w:rsidRPr="00E909E9">
              <w:rPr>
                <w:lang w:val="en-US"/>
              </w:rPr>
              <w:noBreakHyphen/>
              <w:t xml:space="preserve"> to 5</w:t>
            </w:r>
            <w:r w:rsidRPr="00E909E9">
              <w:rPr>
                <w:lang w:val="en-US"/>
              </w:rPr>
              <w:noBreakHyphen/>
              <w:t>year-olds</w:t>
            </w:r>
            <w:r w:rsidR="00CA3260">
              <w:rPr>
                <w:lang w:val="en-US"/>
              </w:rPr>
              <w:t xml:space="preserve"> </w:t>
            </w:r>
            <w:r w:rsidRPr="00E909E9">
              <w:rPr>
                <w:lang w:val="en-US"/>
              </w:rPr>
              <w:t>(≥ 14 kg to &lt; 25 kg)</w:t>
            </w:r>
          </w:p>
        </w:tc>
        <w:tc>
          <w:tcPr>
            <w:tcW w:w="748" w:type="pct"/>
            <w:tcMar>
              <w:top w:w="0" w:type="dxa"/>
              <w:left w:w="108" w:type="dxa"/>
              <w:bottom w:w="0" w:type="dxa"/>
              <w:right w:w="108" w:type="dxa"/>
            </w:tcMar>
            <w:hideMark/>
          </w:tcPr>
          <w:p w14:paraId="7BC2EB2F" w14:textId="77777777" w:rsidR="002752C8" w:rsidRPr="00E909E9" w:rsidRDefault="005A3D7D" w:rsidP="006878A4">
            <w:pPr>
              <w:spacing w:line="240" w:lineRule="auto"/>
              <w:rPr>
                <w:lang w:val="en-US"/>
              </w:rPr>
            </w:pPr>
            <w:r w:rsidRPr="00E909E9">
              <w:rPr>
                <w:lang w:val="en-US"/>
              </w:rPr>
              <w:t>75 mg q12h</w:t>
            </w:r>
          </w:p>
        </w:tc>
        <w:tc>
          <w:tcPr>
            <w:tcW w:w="655" w:type="pct"/>
            <w:tcMar>
              <w:top w:w="0" w:type="dxa"/>
              <w:left w:w="108" w:type="dxa"/>
              <w:bottom w:w="0" w:type="dxa"/>
              <w:right w:w="108" w:type="dxa"/>
            </w:tcMar>
            <w:hideMark/>
          </w:tcPr>
          <w:p w14:paraId="7FC56999" w14:textId="77777777" w:rsidR="002752C8" w:rsidRPr="00E909E9" w:rsidRDefault="005A3D7D" w:rsidP="006878A4">
            <w:pPr>
              <w:spacing w:line="240" w:lineRule="auto"/>
              <w:rPr>
                <w:lang w:val="en-US"/>
              </w:rPr>
            </w:pPr>
            <w:r w:rsidRPr="00E909E9">
              <w:rPr>
                <w:lang w:val="en-US"/>
              </w:rPr>
              <w:t>629 (296)</w:t>
            </w:r>
          </w:p>
        </w:tc>
        <w:tc>
          <w:tcPr>
            <w:tcW w:w="810" w:type="pct"/>
            <w:tcMar>
              <w:top w:w="0" w:type="dxa"/>
              <w:left w:w="108" w:type="dxa"/>
              <w:bottom w:w="0" w:type="dxa"/>
              <w:right w:w="108" w:type="dxa"/>
            </w:tcMar>
            <w:hideMark/>
          </w:tcPr>
          <w:p w14:paraId="537118C7" w14:textId="77777777" w:rsidR="002752C8" w:rsidRPr="00E909E9" w:rsidRDefault="005A3D7D" w:rsidP="006878A4">
            <w:pPr>
              <w:spacing w:line="240" w:lineRule="auto"/>
              <w:rPr>
                <w:lang w:val="en-US"/>
              </w:rPr>
            </w:pPr>
            <w:r w:rsidRPr="00E909E9">
              <w:rPr>
                <w:lang w:val="en-US"/>
              </w:rPr>
              <w:t>11300 (3820)</w:t>
            </w:r>
          </w:p>
        </w:tc>
      </w:tr>
      <w:tr w:rsidR="00476058" w14:paraId="1C7D88E6" w14:textId="77777777" w:rsidTr="001211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380"/>
        </w:trPr>
        <w:tc>
          <w:tcPr>
            <w:tcW w:w="2787" w:type="pct"/>
            <w:tcMar>
              <w:top w:w="0" w:type="dxa"/>
              <w:left w:w="108" w:type="dxa"/>
              <w:bottom w:w="0" w:type="dxa"/>
              <w:right w:w="108" w:type="dxa"/>
            </w:tcMar>
          </w:tcPr>
          <w:p w14:paraId="2BDA1BA4" w14:textId="7E8DF3E4" w:rsidR="002752C8" w:rsidRPr="00E909E9" w:rsidRDefault="005A3D7D">
            <w:pPr>
              <w:spacing w:line="240" w:lineRule="auto"/>
              <w:rPr>
                <w:lang w:val="en-US"/>
              </w:rPr>
            </w:pPr>
            <w:r w:rsidRPr="00E909E9">
              <w:rPr>
                <w:lang w:val="en-US"/>
              </w:rPr>
              <w:t>6</w:t>
            </w:r>
            <w:r w:rsidRPr="00E909E9">
              <w:rPr>
                <w:lang w:val="en-US"/>
              </w:rPr>
              <w:noBreakHyphen/>
            </w:r>
            <w:r w:rsidR="00CB7840">
              <w:rPr>
                <w:lang w:val="en-US"/>
              </w:rPr>
              <w:t xml:space="preserve"> </w:t>
            </w:r>
            <w:r w:rsidRPr="00E909E9">
              <w:rPr>
                <w:lang w:val="en-US"/>
              </w:rPr>
              <w:t>to 11</w:t>
            </w:r>
            <w:r w:rsidRPr="00E909E9">
              <w:rPr>
                <w:lang w:val="en-US"/>
              </w:rPr>
              <w:noBreakHyphen/>
              <w:t>year-olds </w:t>
            </w:r>
            <w:r>
              <w:rPr>
                <w:vertAlign w:val="superscript"/>
                <w:lang w:val="en-US"/>
              </w:rPr>
              <w:t>†</w:t>
            </w:r>
            <w:r w:rsidR="00CA3260">
              <w:rPr>
                <w:lang w:val="en-US"/>
              </w:rPr>
              <w:t xml:space="preserve"> </w:t>
            </w:r>
            <w:r w:rsidRPr="00E909E9">
              <w:rPr>
                <w:lang w:val="en-US"/>
              </w:rPr>
              <w:t>(≥ 14 kg to &lt; 25 kg)</w:t>
            </w:r>
          </w:p>
        </w:tc>
        <w:tc>
          <w:tcPr>
            <w:tcW w:w="748" w:type="pct"/>
            <w:tcMar>
              <w:top w:w="0" w:type="dxa"/>
              <w:left w:w="108" w:type="dxa"/>
              <w:bottom w:w="0" w:type="dxa"/>
              <w:right w:w="108" w:type="dxa"/>
            </w:tcMar>
          </w:tcPr>
          <w:p w14:paraId="69632184" w14:textId="77777777" w:rsidR="002752C8" w:rsidRPr="00E909E9" w:rsidRDefault="005A3D7D" w:rsidP="006878A4">
            <w:pPr>
              <w:spacing w:line="240" w:lineRule="auto"/>
              <w:rPr>
                <w:lang w:val="en-US"/>
              </w:rPr>
            </w:pPr>
            <w:r w:rsidRPr="00E909E9">
              <w:rPr>
                <w:lang w:val="en-US"/>
              </w:rPr>
              <w:t>75 mg q12h</w:t>
            </w:r>
          </w:p>
        </w:tc>
        <w:tc>
          <w:tcPr>
            <w:tcW w:w="655" w:type="pct"/>
            <w:tcMar>
              <w:top w:w="0" w:type="dxa"/>
              <w:left w:w="108" w:type="dxa"/>
              <w:bottom w:w="0" w:type="dxa"/>
              <w:right w:w="108" w:type="dxa"/>
            </w:tcMar>
          </w:tcPr>
          <w:p w14:paraId="1B09B4F9" w14:textId="77777777" w:rsidR="002752C8" w:rsidRPr="00E909E9" w:rsidRDefault="005A3D7D" w:rsidP="006878A4">
            <w:pPr>
              <w:spacing w:line="240" w:lineRule="auto"/>
              <w:rPr>
                <w:lang w:val="en-US"/>
              </w:rPr>
            </w:pPr>
            <w:r w:rsidRPr="00E909E9">
              <w:rPr>
                <w:lang w:val="en-US"/>
              </w:rPr>
              <w:t>641 (329)</w:t>
            </w:r>
          </w:p>
        </w:tc>
        <w:tc>
          <w:tcPr>
            <w:tcW w:w="810" w:type="pct"/>
            <w:tcMar>
              <w:top w:w="0" w:type="dxa"/>
              <w:left w:w="108" w:type="dxa"/>
              <w:bottom w:w="0" w:type="dxa"/>
              <w:right w:w="108" w:type="dxa"/>
            </w:tcMar>
          </w:tcPr>
          <w:p w14:paraId="5E707D23" w14:textId="77777777" w:rsidR="002752C8" w:rsidRPr="00E909E9" w:rsidRDefault="005A3D7D" w:rsidP="006878A4">
            <w:pPr>
              <w:spacing w:line="240" w:lineRule="auto"/>
              <w:rPr>
                <w:lang w:val="en-US"/>
              </w:rPr>
            </w:pPr>
            <w:r w:rsidRPr="00E909E9">
              <w:rPr>
                <w:lang w:val="en-US"/>
              </w:rPr>
              <w:t>10760 (4470)</w:t>
            </w:r>
          </w:p>
        </w:tc>
      </w:tr>
      <w:tr w:rsidR="00476058" w14:paraId="0582168D" w14:textId="77777777" w:rsidTr="001211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380"/>
        </w:trPr>
        <w:tc>
          <w:tcPr>
            <w:tcW w:w="2787" w:type="pct"/>
            <w:tcMar>
              <w:top w:w="0" w:type="dxa"/>
              <w:left w:w="108" w:type="dxa"/>
              <w:bottom w:w="0" w:type="dxa"/>
              <w:right w:w="108" w:type="dxa"/>
            </w:tcMar>
            <w:hideMark/>
          </w:tcPr>
          <w:p w14:paraId="02EBA4A8" w14:textId="26D27C26" w:rsidR="002752C8" w:rsidRPr="00E909E9" w:rsidRDefault="005A3D7D">
            <w:pPr>
              <w:spacing w:line="240" w:lineRule="auto"/>
              <w:rPr>
                <w:lang w:val="en-US"/>
              </w:rPr>
            </w:pPr>
            <w:r w:rsidRPr="00E909E9">
              <w:rPr>
                <w:lang w:val="en-US"/>
              </w:rPr>
              <w:t>6</w:t>
            </w:r>
            <w:r w:rsidRPr="00E909E9">
              <w:rPr>
                <w:lang w:val="en-US"/>
              </w:rPr>
              <w:noBreakHyphen/>
              <w:t xml:space="preserve"> to 11</w:t>
            </w:r>
            <w:r w:rsidRPr="00E909E9">
              <w:rPr>
                <w:lang w:val="en-US"/>
              </w:rPr>
              <w:noBreakHyphen/>
              <w:t>year-olds </w:t>
            </w:r>
            <w:r>
              <w:rPr>
                <w:vertAlign w:val="superscript"/>
                <w:lang w:val="en-US"/>
              </w:rPr>
              <w:t>†</w:t>
            </w:r>
            <w:r w:rsidR="00CA3260">
              <w:rPr>
                <w:lang w:val="en-US"/>
              </w:rPr>
              <w:t xml:space="preserve"> </w:t>
            </w:r>
            <w:r w:rsidRPr="00E909E9">
              <w:rPr>
                <w:lang w:val="en-US"/>
              </w:rPr>
              <w:t>(≥ 25 kg)</w:t>
            </w:r>
          </w:p>
        </w:tc>
        <w:tc>
          <w:tcPr>
            <w:tcW w:w="748" w:type="pct"/>
            <w:tcMar>
              <w:top w:w="0" w:type="dxa"/>
              <w:left w:w="108" w:type="dxa"/>
              <w:bottom w:w="0" w:type="dxa"/>
              <w:right w:w="108" w:type="dxa"/>
            </w:tcMar>
            <w:hideMark/>
          </w:tcPr>
          <w:p w14:paraId="2518673F" w14:textId="77777777" w:rsidR="002752C8" w:rsidRPr="00E909E9" w:rsidRDefault="005A3D7D" w:rsidP="006878A4">
            <w:pPr>
              <w:spacing w:line="240" w:lineRule="auto"/>
              <w:rPr>
                <w:lang w:val="en-US"/>
              </w:rPr>
            </w:pPr>
            <w:r w:rsidRPr="00E909E9">
              <w:rPr>
                <w:lang w:val="en-US"/>
              </w:rPr>
              <w:t>150 mg q12h</w:t>
            </w:r>
          </w:p>
        </w:tc>
        <w:tc>
          <w:tcPr>
            <w:tcW w:w="655" w:type="pct"/>
            <w:tcMar>
              <w:top w:w="0" w:type="dxa"/>
              <w:left w:w="108" w:type="dxa"/>
              <w:bottom w:w="0" w:type="dxa"/>
              <w:right w:w="108" w:type="dxa"/>
            </w:tcMar>
          </w:tcPr>
          <w:p w14:paraId="343DA7CB" w14:textId="77777777" w:rsidR="002752C8" w:rsidRPr="00E909E9" w:rsidRDefault="005A3D7D" w:rsidP="006878A4">
            <w:pPr>
              <w:spacing w:line="240" w:lineRule="auto"/>
              <w:rPr>
                <w:lang w:val="en-US"/>
              </w:rPr>
            </w:pPr>
            <w:r w:rsidRPr="00E909E9">
              <w:rPr>
                <w:lang w:val="en-US"/>
              </w:rPr>
              <w:t>958 (546)</w:t>
            </w:r>
          </w:p>
        </w:tc>
        <w:tc>
          <w:tcPr>
            <w:tcW w:w="810" w:type="pct"/>
            <w:tcMar>
              <w:top w:w="0" w:type="dxa"/>
              <w:left w:w="108" w:type="dxa"/>
              <w:bottom w:w="0" w:type="dxa"/>
              <w:right w:w="108" w:type="dxa"/>
            </w:tcMar>
          </w:tcPr>
          <w:p w14:paraId="3C5AE14D" w14:textId="77777777" w:rsidR="002752C8" w:rsidRPr="00E909E9" w:rsidRDefault="005A3D7D" w:rsidP="006878A4">
            <w:pPr>
              <w:spacing w:line="240" w:lineRule="auto"/>
              <w:rPr>
                <w:lang w:val="en-US"/>
              </w:rPr>
            </w:pPr>
            <w:r w:rsidRPr="00E909E9">
              <w:rPr>
                <w:lang w:val="en-US"/>
              </w:rPr>
              <w:t>15300 (7340)</w:t>
            </w:r>
          </w:p>
        </w:tc>
      </w:tr>
      <w:tr w:rsidR="00476058" w14:paraId="65934762" w14:textId="77777777" w:rsidTr="001211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380"/>
        </w:trPr>
        <w:tc>
          <w:tcPr>
            <w:tcW w:w="2787" w:type="pct"/>
            <w:tcMar>
              <w:top w:w="0" w:type="dxa"/>
              <w:left w:w="108" w:type="dxa"/>
              <w:bottom w:w="0" w:type="dxa"/>
              <w:right w:w="108" w:type="dxa"/>
            </w:tcMar>
            <w:hideMark/>
          </w:tcPr>
          <w:p w14:paraId="6AA7CEF3" w14:textId="568A8AE2" w:rsidR="002752C8" w:rsidRPr="00E909E9" w:rsidRDefault="005A3D7D" w:rsidP="006878A4">
            <w:pPr>
              <w:spacing w:line="240" w:lineRule="auto"/>
              <w:rPr>
                <w:lang w:val="en-US"/>
              </w:rPr>
            </w:pPr>
            <w:r w:rsidRPr="00E909E9">
              <w:rPr>
                <w:lang w:val="en-US"/>
              </w:rPr>
              <w:t>12</w:t>
            </w:r>
            <w:r w:rsidRPr="00E909E9">
              <w:rPr>
                <w:lang w:val="en-US"/>
              </w:rPr>
              <w:noBreakHyphen/>
              <w:t xml:space="preserve"> to 17</w:t>
            </w:r>
            <w:r w:rsidRPr="00E909E9">
              <w:rPr>
                <w:lang w:val="en-US"/>
              </w:rPr>
              <w:noBreakHyphen/>
              <w:t>year-olds</w:t>
            </w:r>
            <w:r w:rsidR="00CA3260">
              <w:rPr>
                <w:lang w:val="en-US"/>
              </w:rPr>
              <w:t xml:space="preserve"> </w:t>
            </w:r>
          </w:p>
        </w:tc>
        <w:tc>
          <w:tcPr>
            <w:tcW w:w="748" w:type="pct"/>
            <w:tcMar>
              <w:top w:w="0" w:type="dxa"/>
              <w:left w:w="108" w:type="dxa"/>
              <w:bottom w:w="0" w:type="dxa"/>
              <w:right w:w="108" w:type="dxa"/>
            </w:tcMar>
            <w:hideMark/>
          </w:tcPr>
          <w:p w14:paraId="42BB352A" w14:textId="77777777" w:rsidR="002752C8" w:rsidRPr="00E909E9" w:rsidRDefault="005A3D7D" w:rsidP="006878A4">
            <w:pPr>
              <w:spacing w:line="240" w:lineRule="auto"/>
              <w:rPr>
                <w:lang w:val="en-US"/>
              </w:rPr>
            </w:pPr>
            <w:r w:rsidRPr="00E909E9">
              <w:rPr>
                <w:lang w:val="en-US"/>
              </w:rPr>
              <w:t>150 mg q12h</w:t>
            </w:r>
          </w:p>
        </w:tc>
        <w:tc>
          <w:tcPr>
            <w:tcW w:w="655" w:type="pct"/>
            <w:tcMar>
              <w:top w:w="0" w:type="dxa"/>
              <w:left w:w="108" w:type="dxa"/>
              <w:bottom w:w="0" w:type="dxa"/>
              <w:right w:w="108" w:type="dxa"/>
            </w:tcMar>
            <w:hideMark/>
          </w:tcPr>
          <w:p w14:paraId="22F373E3" w14:textId="77777777" w:rsidR="002752C8" w:rsidRPr="00E909E9" w:rsidRDefault="005A3D7D" w:rsidP="006878A4">
            <w:pPr>
              <w:spacing w:line="240" w:lineRule="auto"/>
              <w:rPr>
                <w:lang w:val="en-US"/>
              </w:rPr>
            </w:pPr>
            <w:r w:rsidRPr="00E909E9">
              <w:rPr>
                <w:lang w:val="en-US"/>
              </w:rPr>
              <w:t>564 (242)</w:t>
            </w:r>
          </w:p>
        </w:tc>
        <w:tc>
          <w:tcPr>
            <w:tcW w:w="810" w:type="pct"/>
            <w:tcMar>
              <w:top w:w="0" w:type="dxa"/>
              <w:left w:w="108" w:type="dxa"/>
              <w:bottom w:w="0" w:type="dxa"/>
              <w:right w:w="108" w:type="dxa"/>
            </w:tcMar>
            <w:hideMark/>
          </w:tcPr>
          <w:p w14:paraId="70B186F5" w14:textId="77777777" w:rsidR="002752C8" w:rsidRPr="00E909E9" w:rsidRDefault="005A3D7D" w:rsidP="006878A4">
            <w:pPr>
              <w:spacing w:line="240" w:lineRule="auto"/>
              <w:rPr>
                <w:lang w:val="en-US"/>
              </w:rPr>
            </w:pPr>
            <w:r w:rsidRPr="00E909E9">
              <w:rPr>
                <w:lang w:val="en-US"/>
              </w:rPr>
              <w:t>9240 (3420)</w:t>
            </w:r>
          </w:p>
        </w:tc>
      </w:tr>
      <w:tr w:rsidR="00476058" w14:paraId="5BCE7CAE" w14:textId="77777777" w:rsidTr="001211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380"/>
        </w:trPr>
        <w:tc>
          <w:tcPr>
            <w:tcW w:w="2787" w:type="pct"/>
            <w:tcMar>
              <w:top w:w="0" w:type="dxa"/>
              <w:left w:w="108" w:type="dxa"/>
              <w:bottom w:w="0" w:type="dxa"/>
              <w:right w:w="108" w:type="dxa"/>
            </w:tcMar>
            <w:hideMark/>
          </w:tcPr>
          <w:p w14:paraId="5E266779" w14:textId="1BFEDEAA" w:rsidR="002752C8" w:rsidRPr="00E909E9" w:rsidRDefault="005A3D7D" w:rsidP="000A093B">
            <w:pPr>
              <w:keepNext/>
              <w:spacing w:line="240" w:lineRule="auto"/>
              <w:rPr>
                <w:lang w:val="en-US"/>
              </w:rPr>
            </w:pPr>
            <w:r w:rsidRPr="00E909E9">
              <w:rPr>
                <w:lang w:val="en-US"/>
              </w:rPr>
              <w:t>Adults (≥ 18 years old)</w:t>
            </w:r>
            <w:r w:rsidR="00CA3260">
              <w:rPr>
                <w:lang w:val="en-US"/>
              </w:rPr>
              <w:t xml:space="preserve"> </w:t>
            </w:r>
          </w:p>
        </w:tc>
        <w:tc>
          <w:tcPr>
            <w:tcW w:w="748" w:type="pct"/>
            <w:tcMar>
              <w:top w:w="0" w:type="dxa"/>
              <w:left w:w="108" w:type="dxa"/>
              <w:bottom w:w="0" w:type="dxa"/>
              <w:right w:w="108" w:type="dxa"/>
            </w:tcMar>
            <w:hideMark/>
          </w:tcPr>
          <w:p w14:paraId="025C63E1" w14:textId="77777777" w:rsidR="002752C8" w:rsidRPr="00E909E9" w:rsidRDefault="005A3D7D" w:rsidP="000A093B">
            <w:pPr>
              <w:keepNext/>
              <w:spacing w:line="240" w:lineRule="auto"/>
              <w:rPr>
                <w:lang w:val="en-US"/>
              </w:rPr>
            </w:pPr>
            <w:r w:rsidRPr="00E909E9">
              <w:rPr>
                <w:lang w:val="en-US"/>
              </w:rPr>
              <w:t>150 mg q12h</w:t>
            </w:r>
          </w:p>
        </w:tc>
        <w:tc>
          <w:tcPr>
            <w:tcW w:w="655" w:type="pct"/>
            <w:tcMar>
              <w:top w:w="0" w:type="dxa"/>
              <w:left w:w="108" w:type="dxa"/>
              <w:bottom w:w="0" w:type="dxa"/>
              <w:right w:w="108" w:type="dxa"/>
            </w:tcMar>
            <w:hideMark/>
          </w:tcPr>
          <w:p w14:paraId="2D7056D4" w14:textId="77777777" w:rsidR="002752C8" w:rsidRPr="00E909E9" w:rsidRDefault="005A3D7D" w:rsidP="000A093B">
            <w:pPr>
              <w:keepNext/>
              <w:spacing w:line="240" w:lineRule="auto"/>
              <w:rPr>
                <w:lang w:val="en-US"/>
              </w:rPr>
            </w:pPr>
            <w:r w:rsidRPr="00E909E9">
              <w:rPr>
                <w:lang w:val="en-US"/>
              </w:rPr>
              <w:t>701 (317)</w:t>
            </w:r>
          </w:p>
        </w:tc>
        <w:tc>
          <w:tcPr>
            <w:tcW w:w="810" w:type="pct"/>
            <w:tcMar>
              <w:top w:w="0" w:type="dxa"/>
              <w:left w:w="108" w:type="dxa"/>
              <w:bottom w:w="0" w:type="dxa"/>
              <w:right w:w="108" w:type="dxa"/>
            </w:tcMar>
            <w:hideMark/>
          </w:tcPr>
          <w:p w14:paraId="49BFBD50" w14:textId="77777777" w:rsidR="002752C8" w:rsidRPr="00E909E9" w:rsidRDefault="005A3D7D" w:rsidP="000A093B">
            <w:pPr>
              <w:keepNext/>
              <w:spacing w:line="240" w:lineRule="auto"/>
              <w:rPr>
                <w:lang w:val="en-US"/>
              </w:rPr>
            </w:pPr>
            <w:r w:rsidRPr="00E909E9">
              <w:rPr>
                <w:lang w:val="en-US"/>
              </w:rPr>
              <w:t>10700 (4100)</w:t>
            </w:r>
          </w:p>
        </w:tc>
      </w:tr>
    </w:tbl>
    <w:p w14:paraId="1B91F827" w14:textId="77777777" w:rsidR="00A76AB5" w:rsidRPr="003B10D7" w:rsidRDefault="005A3D7D" w:rsidP="000A093B">
      <w:pPr>
        <w:keepNext/>
        <w:tabs>
          <w:tab w:val="clear" w:pos="567"/>
        </w:tabs>
        <w:spacing w:before="120" w:line="240" w:lineRule="auto"/>
        <w:ind w:left="288" w:hanging="288"/>
        <w:rPr>
          <w:bCs/>
          <w:sz w:val="18"/>
          <w:szCs w:val="18"/>
          <w:lang w:val="en-US"/>
        </w:rPr>
      </w:pPr>
      <w:r w:rsidRPr="00A76AB5">
        <w:rPr>
          <w:bCs/>
          <w:sz w:val="18"/>
          <w:szCs w:val="18"/>
          <w:vertAlign w:val="superscript"/>
          <w:lang w:val="en-US"/>
        </w:rPr>
        <w:t>*</w:t>
      </w:r>
      <w:r w:rsidR="00491009">
        <w:rPr>
          <w:bCs/>
          <w:sz w:val="18"/>
          <w:szCs w:val="18"/>
          <w:lang w:val="en-US"/>
        </w:rPr>
        <w:tab/>
      </w:r>
      <w:r w:rsidRPr="001A08E5">
        <w:rPr>
          <w:bCs/>
          <w:sz w:val="18"/>
          <w:szCs w:val="18"/>
          <w:lang w:val="en-US"/>
        </w:rPr>
        <w:t>Values based on data from a single patient</w:t>
      </w:r>
      <w:r w:rsidR="00825E51">
        <w:rPr>
          <w:bCs/>
          <w:sz w:val="18"/>
          <w:szCs w:val="18"/>
          <w:lang w:val="en-US"/>
        </w:rPr>
        <w:t>; s</w:t>
      </w:r>
      <w:r>
        <w:rPr>
          <w:bCs/>
          <w:sz w:val="18"/>
          <w:szCs w:val="18"/>
          <w:lang w:val="en-US"/>
        </w:rPr>
        <w:t>tandard deviation not reported.</w:t>
      </w:r>
    </w:p>
    <w:p w14:paraId="49E9BAF2" w14:textId="77777777" w:rsidR="00F976E8" w:rsidRDefault="005A3D7D" w:rsidP="000A093B">
      <w:pPr>
        <w:keepNext/>
        <w:tabs>
          <w:tab w:val="clear" w:pos="567"/>
        </w:tabs>
        <w:spacing w:line="240" w:lineRule="auto"/>
        <w:ind w:left="288" w:hanging="288"/>
        <w:rPr>
          <w:bCs/>
          <w:sz w:val="18"/>
          <w:szCs w:val="18"/>
          <w:lang w:val="en-US"/>
        </w:rPr>
      </w:pPr>
      <w:r w:rsidRPr="00F812DF">
        <w:rPr>
          <w:position w:val="6"/>
          <w:sz w:val="18"/>
          <w:szCs w:val="18"/>
          <w:vertAlign w:val="superscript"/>
        </w:rPr>
        <w:t>†</w:t>
      </w:r>
      <w:r w:rsidR="00491009">
        <w:rPr>
          <w:bCs/>
          <w:sz w:val="18"/>
          <w:szCs w:val="18"/>
          <w:lang w:val="en-US"/>
        </w:rPr>
        <w:tab/>
      </w:r>
      <w:r w:rsidR="008B3767" w:rsidRPr="003B10D7">
        <w:rPr>
          <w:bCs/>
          <w:sz w:val="18"/>
          <w:szCs w:val="18"/>
          <w:lang w:val="en-US"/>
        </w:rPr>
        <w:t>Exposures in 6</w:t>
      </w:r>
      <w:r w:rsidR="008B3767" w:rsidRPr="003B10D7">
        <w:rPr>
          <w:bCs/>
          <w:sz w:val="18"/>
          <w:szCs w:val="18"/>
          <w:lang w:val="en-US"/>
        </w:rPr>
        <w:noBreakHyphen/>
        <w:t xml:space="preserve"> to 11</w:t>
      </w:r>
      <w:r w:rsidR="008B3767" w:rsidRPr="003B10D7">
        <w:rPr>
          <w:bCs/>
          <w:sz w:val="18"/>
          <w:szCs w:val="18"/>
          <w:lang w:val="en-US"/>
        </w:rPr>
        <w:noBreakHyphen/>
        <w:t>year</w:t>
      </w:r>
      <w:r w:rsidR="008B3767" w:rsidRPr="003B10D7">
        <w:rPr>
          <w:bCs/>
          <w:sz w:val="18"/>
          <w:szCs w:val="18"/>
          <w:lang w:val="en-US"/>
        </w:rPr>
        <w:noBreakHyphen/>
        <w:t>olds are predictions based on simulations from the population PK model using data obtained for this age group.</w:t>
      </w:r>
    </w:p>
    <w:p w14:paraId="26B5BA65" w14:textId="77777777" w:rsidR="00F976E8" w:rsidRDefault="00F976E8" w:rsidP="008F4AF3">
      <w:pPr>
        <w:spacing w:line="240" w:lineRule="auto"/>
      </w:pPr>
    </w:p>
    <w:p w14:paraId="24BC7E6C" w14:textId="5CAC5C64" w:rsidR="008B184A" w:rsidRPr="00F0401C" w:rsidRDefault="005A3D7D" w:rsidP="00ED1D45">
      <w:pPr>
        <w:spacing w:line="240" w:lineRule="auto"/>
      </w:pPr>
      <w:r w:rsidRPr="002B56F9">
        <w:t xml:space="preserve">The pharmacokinetic parameters of ivacaftor in combination with tezacaftor </w:t>
      </w:r>
      <w:r w:rsidR="00FB0465">
        <w:t xml:space="preserve">and with tezacaftor/elexacaftor </w:t>
      </w:r>
      <w:r w:rsidRPr="002B56F9">
        <w:t>in adolescent patients (12</w:t>
      </w:r>
      <w:r w:rsidR="00CB48C3">
        <w:t> </w:t>
      </w:r>
      <w:r w:rsidRPr="002B56F9">
        <w:t xml:space="preserve">to </w:t>
      </w:r>
      <w:r w:rsidR="00325C9B" w:rsidRPr="002B56F9">
        <w:t>17-year-olds</w:t>
      </w:r>
      <w:r w:rsidRPr="002B56F9">
        <w:t xml:space="preserve">) are </w:t>
      </w:r>
      <w:r w:rsidR="00216FAA">
        <w:t>similar</w:t>
      </w:r>
      <w:r w:rsidR="00216FAA" w:rsidRPr="002B56F9">
        <w:t xml:space="preserve"> </w:t>
      </w:r>
      <w:r w:rsidRPr="002B56F9">
        <w:t xml:space="preserve">to </w:t>
      </w:r>
      <w:r w:rsidR="00216FAA">
        <w:t>that of</w:t>
      </w:r>
      <w:r w:rsidRPr="002B56F9">
        <w:t xml:space="preserve"> adult</w:t>
      </w:r>
      <w:r w:rsidR="00216FAA">
        <w:t xml:space="preserve"> patients</w:t>
      </w:r>
      <w:r w:rsidRPr="002B56F9">
        <w:t xml:space="preserve"> (see Table</w:t>
      </w:r>
      <w:r w:rsidR="00BC01B3">
        <w:t> </w:t>
      </w:r>
      <w:r w:rsidR="002F0872">
        <w:t>10</w:t>
      </w:r>
      <w:r w:rsidRPr="002B56F9">
        <w:t>).</w:t>
      </w:r>
    </w:p>
    <w:p w14:paraId="6E4AC4E1" w14:textId="77777777" w:rsidR="008B184A" w:rsidRPr="00E909E9" w:rsidRDefault="008B184A" w:rsidP="008B184A"/>
    <w:p w14:paraId="456FEF2A" w14:textId="5B614A7C" w:rsidR="008B184A" w:rsidRDefault="005A3D7D">
      <w:pPr>
        <w:keepNext/>
        <w:tabs>
          <w:tab w:val="clear" w:pos="567"/>
        </w:tabs>
        <w:spacing w:after="120" w:line="240" w:lineRule="auto"/>
        <w:rPr>
          <w:rFonts w:eastAsia="Calibri"/>
          <w:b/>
          <w:bCs/>
          <w:lang w:val="en-US" w:eastAsia="nl-NL"/>
        </w:rPr>
      </w:pPr>
      <w:r>
        <w:rPr>
          <w:rFonts w:eastAsia="Calibri"/>
          <w:b/>
          <w:bCs/>
          <w:lang w:val="en-US" w:eastAsia="nl-NL"/>
        </w:rPr>
        <w:t>Table </w:t>
      </w:r>
      <w:r w:rsidR="002F0872">
        <w:rPr>
          <w:rFonts w:eastAsia="Calibri"/>
          <w:b/>
          <w:bCs/>
          <w:lang w:val="en-US" w:eastAsia="nl-NL"/>
        </w:rPr>
        <w:t>10</w:t>
      </w:r>
      <w:r w:rsidR="00216FAA">
        <w:rPr>
          <w:rFonts w:eastAsia="Calibri"/>
          <w:b/>
          <w:bCs/>
          <w:lang w:val="en-US" w:eastAsia="nl-NL"/>
        </w:rPr>
        <w:t>:</w:t>
      </w:r>
      <w:r>
        <w:rPr>
          <w:rFonts w:eastAsia="Calibri"/>
          <w:b/>
          <w:bCs/>
          <w:lang w:val="en-US" w:eastAsia="nl-NL"/>
        </w:rPr>
        <w:t xml:space="preserve"> Mean (SD) of ivacaftor exposure when use</w:t>
      </w:r>
      <w:r>
        <w:rPr>
          <w:rFonts w:eastAsia="Calibri"/>
          <w:b/>
          <w:bCs/>
          <w:lang w:val="en-US" w:eastAsia="nl-NL"/>
        </w:rPr>
        <w:t>d in combination with tezacaftor</w:t>
      </w:r>
      <w:r w:rsidR="00216FAA">
        <w:rPr>
          <w:rFonts w:eastAsia="Calibri"/>
          <w:b/>
          <w:bCs/>
          <w:lang w:val="en-US" w:eastAsia="nl-NL"/>
        </w:rPr>
        <w:t xml:space="preserve"> and in combination with tezacaftor/elexacaftor</w:t>
      </w:r>
      <w:r>
        <w:rPr>
          <w:rFonts w:eastAsia="Calibri"/>
          <w:b/>
          <w:bCs/>
          <w:lang w:val="en-US" w:eastAsia="nl-NL"/>
        </w:rPr>
        <w:t>, by age group</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3"/>
        <w:gridCol w:w="2551"/>
        <w:gridCol w:w="2977"/>
      </w:tblGrid>
      <w:tr w:rsidR="00476058" w14:paraId="072F7BB9" w14:textId="77777777" w:rsidTr="00E66F6D">
        <w:trPr>
          <w:trHeight w:val="531"/>
        </w:trPr>
        <w:tc>
          <w:tcPr>
            <w:tcW w:w="2044" w:type="pct"/>
            <w:vAlign w:val="center"/>
            <w:hideMark/>
          </w:tcPr>
          <w:p w14:paraId="1EA65B0E" w14:textId="77777777" w:rsidR="002418BD" w:rsidRDefault="005A3D7D">
            <w:pPr>
              <w:keepNext/>
              <w:tabs>
                <w:tab w:val="clear" w:pos="567"/>
                <w:tab w:val="left" w:pos="720"/>
              </w:tabs>
              <w:spacing w:line="240" w:lineRule="auto"/>
              <w:jc w:val="center"/>
              <w:rPr>
                <w:rFonts w:eastAsia="Calibri"/>
                <w:b/>
                <w:bCs/>
                <w:lang w:eastAsia="nl-NL"/>
              </w:rPr>
            </w:pPr>
            <w:r>
              <w:rPr>
                <w:rFonts w:eastAsia="Calibri"/>
                <w:b/>
                <w:bCs/>
                <w:lang w:eastAsia="nl-NL"/>
              </w:rPr>
              <w:t>Age group</w:t>
            </w:r>
          </w:p>
        </w:tc>
        <w:tc>
          <w:tcPr>
            <w:tcW w:w="1364" w:type="pct"/>
            <w:vAlign w:val="center"/>
            <w:hideMark/>
          </w:tcPr>
          <w:p w14:paraId="6EFFE3CD" w14:textId="77777777" w:rsidR="002418BD" w:rsidRDefault="005A3D7D">
            <w:pPr>
              <w:keepNext/>
              <w:tabs>
                <w:tab w:val="clear" w:pos="567"/>
              </w:tabs>
              <w:spacing w:line="240" w:lineRule="auto"/>
              <w:jc w:val="center"/>
              <w:rPr>
                <w:rFonts w:eastAsia="Calibri"/>
                <w:b/>
                <w:bCs/>
                <w:lang w:eastAsia="nl-NL"/>
              </w:rPr>
            </w:pPr>
            <w:r>
              <w:rPr>
                <w:rFonts w:eastAsia="Calibri"/>
                <w:b/>
                <w:bCs/>
                <w:lang w:eastAsia="nl-NL"/>
              </w:rPr>
              <w:t>Dose</w:t>
            </w:r>
          </w:p>
        </w:tc>
        <w:tc>
          <w:tcPr>
            <w:tcW w:w="1592" w:type="pct"/>
            <w:vAlign w:val="center"/>
          </w:tcPr>
          <w:p w14:paraId="69D326C2" w14:textId="77777777" w:rsidR="002418BD" w:rsidRDefault="005A3D7D">
            <w:pPr>
              <w:keepNext/>
              <w:tabs>
                <w:tab w:val="clear" w:pos="567"/>
                <w:tab w:val="left" w:pos="720"/>
              </w:tabs>
              <w:spacing w:line="240" w:lineRule="auto"/>
              <w:jc w:val="center"/>
              <w:rPr>
                <w:rFonts w:eastAsia="Calibri"/>
                <w:b/>
                <w:bCs/>
                <w:lang w:eastAsia="nl-NL"/>
              </w:rPr>
            </w:pPr>
            <w:r>
              <w:rPr>
                <w:rFonts w:eastAsia="Calibri"/>
                <w:b/>
                <w:bCs/>
                <w:lang w:eastAsia="nl-NL"/>
              </w:rPr>
              <w:t>Ivacaftor Mean (SD)</w:t>
            </w:r>
          </w:p>
          <w:p w14:paraId="6482C0E8" w14:textId="77777777" w:rsidR="002418BD" w:rsidRDefault="005A3D7D">
            <w:pPr>
              <w:keepNext/>
              <w:tabs>
                <w:tab w:val="clear" w:pos="567"/>
                <w:tab w:val="left" w:pos="720"/>
              </w:tabs>
              <w:spacing w:line="240" w:lineRule="auto"/>
              <w:jc w:val="center"/>
              <w:rPr>
                <w:rFonts w:eastAsia="Calibri"/>
                <w:b/>
                <w:bCs/>
                <w:lang w:eastAsia="nl-NL"/>
              </w:rPr>
            </w:pPr>
            <w:r>
              <w:rPr>
                <w:rFonts w:eastAsia="Calibri"/>
                <w:b/>
                <w:bCs/>
                <w:lang w:eastAsia="nl-NL"/>
              </w:rPr>
              <w:t>AUC</w:t>
            </w:r>
            <w:r w:rsidRPr="001442DF">
              <w:rPr>
                <w:rFonts w:eastAsia="Calibri"/>
                <w:b/>
                <w:bCs/>
                <w:vertAlign w:val="subscript"/>
                <w:lang w:eastAsia="nl-NL"/>
              </w:rPr>
              <w:t>0-12h</w:t>
            </w:r>
            <w:r>
              <w:rPr>
                <w:rFonts w:eastAsia="Calibri"/>
                <w:b/>
                <w:bCs/>
                <w:lang w:eastAsia="nl-NL"/>
              </w:rPr>
              <w:t>,ss (ng*h/mL)</w:t>
            </w:r>
          </w:p>
        </w:tc>
      </w:tr>
      <w:tr w:rsidR="00476058" w14:paraId="5B32F79E" w14:textId="77777777" w:rsidTr="00E66F6D">
        <w:trPr>
          <w:trHeight w:val="260"/>
        </w:trPr>
        <w:tc>
          <w:tcPr>
            <w:tcW w:w="2044" w:type="pct"/>
            <w:vAlign w:val="center"/>
            <w:hideMark/>
          </w:tcPr>
          <w:p w14:paraId="43AA09DA" w14:textId="77777777" w:rsidR="002418BD" w:rsidRPr="001442DF" w:rsidRDefault="005A3D7D" w:rsidP="000A093B">
            <w:pPr>
              <w:keepNext/>
              <w:tabs>
                <w:tab w:val="clear" w:pos="567"/>
                <w:tab w:val="left" w:pos="720"/>
              </w:tabs>
              <w:spacing w:line="240" w:lineRule="auto"/>
              <w:ind w:left="90"/>
              <w:rPr>
                <w:rFonts w:eastAsia="Calibri"/>
                <w:lang w:eastAsia="nl-NL"/>
              </w:rPr>
            </w:pPr>
            <w:r>
              <w:rPr>
                <w:rFonts w:eastAsia="Calibri"/>
                <w:lang w:eastAsia="nl-NL"/>
              </w:rPr>
              <w:t xml:space="preserve">Adolescent patients (12 to &lt;18 years) </w:t>
            </w:r>
          </w:p>
          <w:p w14:paraId="6D48B906" w14:textId="77777777" w:rsidR="002418BD" w:rsidRPr="001442DF" w:rsidRDefault="005A3D7D" w:rsidP="000A093B">
            <w:pPr>
              <w:keepNext/>
              <w:tabs>
                <w:tab w:val="clear" w:pos="567"/>
                <w:tab w:val="left" w:pos="720"/>
              </w:tabs>
              <w:spacing w:line="240" w:lineRule="auto"/>
              <w:ind w:left="90"/>
              <w:rPr>
                <w:rFonts w:eastAsia="Calibri"/>
                <w:lang w:eastAsia="nl-NL"/>
              </w:rPr>
            </w:pPr>
            <w:r w:rsidRPr="001442DF">
              <w:rPr>
                <w:rFonts w:eastAsia="Calibri"/>
                <w:lang w:eastAsia="nl-NL"/>
              </w:rPr>
              <w:t>n = 97</w:t>
            </w:r>
          </w:p>
        </w:tc>
        <w:tc>
          <w:tcPr>
            <w:tcW w:w="1364" w:type="pct"/>
            <w:vMerge w:val="restart"/>
            <w:vAlign w:val="center"/>
            <w:hideMark/>
          </w:tcPr>
          <w:p w14:paraId="19EF0A4D" w14:textId="77777777" w:rsidR="002418BD" w:rsidRPr="001442DF" w:rsidRDefault="005A3D7D" w:rsidP="000A093B">
            <w:pPr>
              <w:keepNext/>
              <w:tabs>
                <w:tab w:val="clear" w:pos="567"/>
                <w:tab w:val="left" w:pos="720"/>
              </w:tabs>
              <w:spacing w:line="240" w:lineRule="auto"/>
              <w:jc w:val="center"/>
              <w:rPr>
                <w:rFonts w:eastAsia="Calibri"/>
                <w:lang w:val="pt-PT" w:eastAsia="nl-NL"/>
              </w:rPr>
            </w:pPr>
            <w:r w:rsidRPr="001442DF">
              <w:rPr>
                <w:rFonts w:eastAsia="Calibri"/>
                <w:lang w:val="pt-PT" w:eastAsia="nl-NL"/>
              </w:rPr>
              <w:t xml:space="preserve">tezacaftor 100 mg qd/ </w:t>
            </w:r>
            <w:r>
              <w:rPr>
                <w:rFonts w:eastAsia="Calibri"/>
                <w:lang w:val="pt-PT" w:eastAsia="nl-NL"/>
              </w:rPr>
              <w:br/>
            </w:r>
            <w:r w:rsidRPr="001442DF">
              <w:rPr>
                <w:rFonts w:eastAsia="Calibri"/>
                <w:lang w:val="pt-PT" w:eastAsia="nl-NL"/>
              </w:rPr>
              <w:t>ivacaftor 150 mg q12h</w:t>
            </w:r>
          </w:p>
        </w:tc>
        <w:tc>
          <w:tcPr>
            <w:tcW w:w="1592" w:type="pct"/>
            <w:vAlign w:val="center"/>
          </w:tcPr>
          <w:p w14:paraId="026AEDD7" w14:textId="77777777" w:rsidR="002418BD" w:rsidRPr="001442DF" w:rsidRDefault="005A3D7D" w:rsidP="000A093B">
            <w:pPr>
              <w:keepNext/>
              <w:tabs>
                <w:tab w:val="clear" w:pos="567"/>
                <w:tab w:val="left" w:pos="720"/>
              </w:tabs>
              <w:spacing w:line="240" w:lineRule="auto"/>
              <w:jc w:val="center"/>
              <w:rPr>
                <w:rFonts w:eastAsia="Calibri"/>
                <w:lang w:eastAsia="nl-NL"/>
              </w:rPr>
            </w:pPr>
            <w:r w:rsidRPr="001442DF">
              <w:rPr>
                <w:rFonts w:eastAsia="Calibri"/>
                <w:lang w:eastAsia="nl-NL"/>
              </w:rPr>
              <w:t xml:space="preserve">11400 </w:t>
            </w:r>
            <w:r w:rsidRPr="001442DF">
              <w:rPr>
                <w:rFonts w:eastAsia="Calibri"/>
                <w:lang w:eastAsia="nl-NL"/>
              </w:rPr>
              <w:t>(5500)</w:t>
            </w:r>
          </w:p>
        </w:tc>
      </w:tr>
      <w:tr w:rsidR="00476058" w14:paraId="3CA39662" w14:textId="77777777" w:rsidTr="00E66F6D">
        <w:trPr>
          <w:trHeight w:val="260"/>
        </w:trPr>
        <w:tc>
          <w:tcPr>
            <w:tcW w:w="2044" w:type="pct"/>
            <w:vAlign w:val="center"/>
            <w:hideMark/>
          </w:tcPr>
          <w:p w14:paraId="4D52502D" w14:textId="77777777" w:rsidR="002418BD" w:rsidRPr="001442DF" w:rsidRDefault="005A3D7D" w:rsidP="000A093B">
            <w:pPr>
              <w:keepNext/>
              <w:tabs>
                <w:tab w:val="clear" w:pos="567"/>
                <w:tab w:val="left" w:pos="720"/>
              </w:tabs>
              <w:spacing w:line="240" w:lineRule="auto"/>
              <w:ind w:left="90"/>
              <w:rPr>
                <w:lang w:val="en-US"/>
              </w:rPr>
            </w:pPr>
            <w:r w:rsidRPr="001442DF">
              <w:rPr>
                <w:lang w:val="en-US"/>
              </w:rPr>
              <w:t>Adult</w:t>
            </w:r>
            <w:r>
              <w:rPr>
                <w:lang w:val="en-US"/>
              </w:rPr>
              <w:t xml:space="preserve"> patients</w:t>
            </w:r>
            <w:r w:rsidRPr="001442DF">
              <w:rPr>
                <w:lang w:val="en-US"/>
              </w:rPr>
              <w:t xml:space="preserve"> (≥ 18 years)</w:t>
            </w:r>
          </w:p>
          <w:p w14:paraId="69DAAEC7" w14:textId="77777777" w:rsidR="002418BD" w:rsidRPr="001442DF" w:rsidRDefault="005A3D7D" w:rsidP="000A093B">
            <w:pPr>
              <w:keepNext/>
              <w:tabs>
                <w:tab w:val="clear" w:pos="567"/>
                <w:tab w:val="left" w:pos="720"/>
              </w:tabs>
              <w:spacing w:line="240" w:lineRule="auto"/>
              <w:ind w:left="90"/>
              <w:rPr>
                <w:rFonts w:eastAsia="Calibri"/>
                <w:lang w:eastAsia="nl-NL"/>
              </w:rPr>
            </w:pPr>
            <w:r w:rsidRPr="001442DF">
              <w:rPr>
                <w:rFonts w:eastAsia="Calibri"/>
                <w:lang w:eastAsia="nl-NL"/>
              </w:rPr>
              <w:t>n = 389</w:t>
            </w:r>
          </w:p>
        </w:tc>
        <w:tc>
          <w:tcPr>
            <w:tcW w:w="1364" w:type="pct"/>
            <w:vMerge/>
            <w:vAlign w:val="center"/>
            <w:hideMark/>
          </w:tcPr>
          <w:p w14:paraId="056FFFBC" w14:textId="77777777" w:rsidR="002418BD" w:rsidRPr="001442DF" w:rsidRDefault="002418BD" w:rsidP="000A093B">
            <w:pPr>
              <w:keepNext/>
              <w:tabs>
                <w:tab w:val="clear" w:pos="567"/>
                <w:tab w:val="left" w:pos="720"/>
              </w:tabs>
              <w:spacing w:line="240" w:lineRule="auto"/>
              <w:jc w:val="center"/>
              <w:rPr>
                <w:rFonts w:eastAsia="Calibri"/>
                <w:lang w:val="pt-PT" w:eastAsia="nl-NL"/>
              </w:rPr>
            </w:pPr>
          </w:p>
        </w:tc>
        <w:tc>
          <w:tcPr>
            <w:tcW w:w="1592" w:type="pct"/>
            <w:vAlign w:val="center"/>
          </w:tcPr>
          <w:p w14:paraId="34B270F1" w14:textId="77777777" w:rsidR="002418BD" w:rsidRPr="001442DF" w:rsidRDefault="005A3D7D" w:rsidP="000A093B">
            <w:pPr>
              <w:keepNext/>
              <w:tabs>
                <w:tab w:val="clear" w:pos="567"/>
                <w:tab w:val="left" w:pos="720"/>
              </w:tabs>
              <w:spacing w:line="240" w:lineRule="auto"/>
              <w:jc w:val="center"/>
              <w:rPr>
                <w:rFonts w:eastAsia="Calibri"/>
                <w:lang w:eastAsia="nl-NL"/>
              </w:rPr>
            </w:pPr>
            <w:r w:rsidRPr="001442DF">
              <w:rPr>
                <w:rFonts w:eastAsia="Calibri"/>
                <w:lang w:eastAsia="nl-NL"/>
              </w:rPr>
              <w:t>11400 (4140)</w:t>
            </w:r>
          </w:p>
        </w:tc>
      </w:tr>
      <w:tr w:rsidR="00476058" w14:paraId="03A2DC9B" w14:textId="77777777" w:rsidTr="00E66F6D">
        <w:trPr>
          <w:trHeight w:val="260"/>
        </w:trPr>
        <w:tc>
          <w:tcPr>
            <w:tcW w:w="2044" w:type="pct"/>
            <w:vAlign w:val="center"/>
          </w:tcPr>
          <w:p w14:paraId="6ACCF65B" w14:textId="77777777" w:rsidR="002418BD" w:rsidRDefault="005A3D7D" w:rsidP="000A093B">
            <w:pPr>
              <w:keepNext/>
              <w:tabs>
                <w:tab w:val="clear" w:pos="567"/>
                <w:tab w:val="left" w:pos="720"/>
              </w:tabs>
              <w:spacing w:line="240" w:lineRule="auto"/>
              <w:ind w:left="90"/>
              <w:rPr>
                <w:rFonts w:eastAsia="Calibri"/>
                <w:lang w:val="en-US"/>
              </w:rPr>
            </w:pPr>
            <w:r w:rsidRPr="001442DF">
              <w:rPr>
                <w:rFonts w:eastAsia="Calibri"/>
                <w:lang w:val="en-US"/>
              </w:rPr>
              <w:t>Adolescent patients (12 to &lt;18 years)</w:t>
            </w:r>
          </w:p>
          <w:p w14:paraId="5413E935" w14:textId="77777777" w:rsidR="002418BD" w:rsidRPr="001442DF" w:rsidRDefault="005A3D7D" w:rsidP="000A093B">
            <w:pPr>
              <w:keepNext/>
              <w:tabs>
                <w:tab w:val="clear" w:pos="567"/>
                <w:tab w:val="left" w:pos="720"/>
              </w:tabs>
              <w:spacing w:line="240" w:lineRule="auto"/>
              <w:ind w:left="90"/>
              <w:rPr>
                <w:lang w:val="en-US"/>
              </w:rPr>
            </w:pPr>
            <w:r>
              <w:rPr>
                <w:lang w:val="en-US"/>
              </w:rPr>
              <w:t>n = 69</w:t>
            </w:r>
          </w:p>
        </w:tc>
        <w:tc>
          <w:tcPr>
            <w:tcW w:w="1364" w:type="pct"/>
            <w:vMerge w:val="restart"/>
            <w:vAlign w:val="center"/>
          </w:tcPr>
          <w:p w14:paraId="1AE682AD" w14:textId="77777777" w:rsidR="002418BD" w:rsidRPr="001442DF" w:rsidRDefault="005A3D7D" w:rsidP="000A093B">
            <w:pPr>
              <w:keepNext/>
              <w:tabs>
                <w:tab w:val="clear" w:pos="567"/>
                <w:tab w:val="left" w:pos="720"/>
              </w:tabs>
              <w:spacing w:line="240" w:lineRule="auto"/>
              <w:jc w:val="center"/>
              <w:rPr>
                <w:rFonts w:eastAsia="Calibri"/>
                <w:lang w:val="pt-PT" w:eastAsia="nl-NL"/>
              </w:rPr>
            </w:pPr>
            <w:r w:rsidRPr="001442DF">
              <w:rPr>
                <w:rFonts w:eastAsia="Calibri"/>
                <w:lang w:val="en-US"/>
              </w:rPr>
              <w:t>elexacaftor 200 mg qd/</w:t>
            </w:r>
            <w:r>
              <w:rPr>
                <w:rFonts w:eastAsia="Calibri"/>
                <w:lang w:val="en-US"/>
              </w:rPr>
              <w:br/>
            </w:r>
            <w:r w:rsidRPr="001442DF">
              <w:rPr>
                <w:rFonts w:eastAsia="Calibri"/>
                <w:lang w:val="en-US"/>
              </w:rPr>
              <w:t>tezacaftor 100 mg qd/</w:t>
            </w:r>
            <w:r>
              <w:rPr>
                <w:rFonts w:eastAsia="Calibri"/>
                <w:lang w:val="en-US"/>
              </w:rPr>
              <w:br/>
            </w:r>
            <w:r w:rsidRPr="001442DF">
              <w:rPr>
                <w:rFonts w:eastAsia="Calibri"/>
                <w:lang w:val="en-US"/>
              </w:rPr>
              <w:t>ivacaftor 150 mg q12h</w:t>
            </w:r>
          </w:p>
        </w:tc>
        <w:tc>
          <w:tcPr>
            <w:tcW w:w="1592" w:type="pct"/>
            <w:vAlign w:val="center"/>
          </w:tcPr>
          <w:p w14:paraId="182FFA52" w14:textId="77777777" w:rsidR="002418BD" w:rsidRPr="001442DF" w:rsidRDefault="005A3D7D" w:rsidP="000A093B">
            <w:pPr>
              <w:keepNext/>
              <w:tabs>
                <w:tab w:val="clear" w:pos="567"/>
                <w:tab w:val="left" w:pos="720"/>
              </w:tabs>
              <w:spacing w:line="240" w:lineRule="auto"/>
              <w:jc w:val="center"/>
              <w:rPr>
                <w:rFonts w:eastAsia="Calibri"/>
                <w:lang w:eastAsia="nl-NL"/>
              </w:rPr>
            </w:pPr>
            <w:r w:rsidRPr="001442DF">
              <w:rPr>
                <w:bCs/>
                <w:lang w:val="en-US"/>
              </w:rPr>
              <w:t>106</w:t>
            </w:r>
            <w:r>
              <w:rPr>
                <w:bCs/>
                <w:lang w:val="en-US"/>
              </w:rPr>
              <w:t>00</w:t>
            </w:r>
            <w:r w:rsidRPr="001442DF">
              <w:rPr>
                <w:bCs/>
                <w:lang w:val="en-US"/>
              </w:rPr>
              <w:t xml:space="preserve"> (335</w:t>
            </w:r>
            <w:r>
              <w:rPr>
                <w:bCs/>
                <w:lang w:val="en-US"/>
              </w:rPr>
              <w:t>0</w:t>
            </w:r>
            <w:r w:rsidRPr="001442DF">
              <w:rPr>
                <w:bCs/>
                <w:lang w:val="en-US"/>
              </w:rPr>
              <w:t>)</w:t>
            </w:r>
          </w:p>
        </w:tc>
      </w:tr>
      <w:tr w:rsidR="00476058" w14:paraId="469E4C4E" w14:textId="77777777" w:rsidTr="00E66F6D">
        <w:trPr>
          <w:trHeight w:val="260"/>
        </w:trPr>
        <w:tc>
          <w:tcPr>
            <w:tcW w:w="2044" w:type="pct"/>
            <w:vAlign w:val="center"/>
          </w:tcPr>
          <w:p w14:paraId="19F5DE5C" w14:textId="77777777" w:rsidR="002418BD" w:rsidRDefault="005A3D7D" w:rsidP="000A093B">
            <w:pPr>
              <w:keepNext/>
              <w:tabs>
                <w:tab w:val="clear" w:pos="567"/>
                <w:tab w:val="left" w:pos="720"/>
              </w:tabs>
              <w:spacing w:line="240" w:lineRule="auto"/>
              <w:ind w:left="90"/>
              <w:rPr>
                <w:rFonts w:eastAsia="Calibri"/>
                <w:lang w:val="en-US"/>
              </w:rPr>
            </w:pPr>
            <w:r w:rsidRPr="001442DF">
              <w:rPr>
                <w:rFonts w:eastAsia="Calibri"/>
                <w:lang w:val="en-US"/>
              </w:rPr>
              <w:t>Adult patients (≥18 years)</w:t>
            </w:r>
          </w:p>
          <w:p w14:paraId="08601DCE" w14:textId="77777777" w:rsidR="002418BD" w:rsidRPr="001442DF" w:rsidRDefault="005A3D7D" w:rsidP="000A093B">
            <w:pPr>
              <w:keepNext/>
              <w:tabs>
                <w:tab w:val="clear" w:pos="567"/>
                <w:tab w:val="left" w:pos="720"/>
              </w:tabs>
              <w:spacing w:line="240" w:lineRule="auto"/>
              <w:ind w:left="90"/>
              <w:rPr>
                <w:lang w:val="en-US"/>
              </w:rPr>
            </w:pPr>
            <w:r>
              <w:rPr>
                <w:rFonts w:eastAsia="Calibri"/>
                <w:lang w:val="en-US"/>
              </w:rPr>
              <w:t>n = 186</w:t>
            </w:r>
          </w:p>
        </w:tc>
        <w:tc>
          <w:tcPr>
            <w:tcW w:w="1364" w:type="pct"/>
            <w:vMerge/>
            <w:vAlign w:val="center"/>
          </w:tcPr>
          <w:p w14:paraId="6A642C05" w14:textId="77777777" w:rsidR="002418BD" w:rsidRPr="001442DF" w:rsidRDefault="002418BD" w:rsidP="000A093B">
            <w:pPr>
              <w:keepNext/>
              <w:tabs>
                <w:tab w:val="clear" w:pos="567"/>
                <w:tab w:val="left" w:pos="720"/>
              </w:tabs>
              <w:spacing w:line="240" w:lineRule="auto"/>
              <w:jc w:val="center"/>
              <w:rPr>
                <w:rFonts w:eastAsia="Calibri"/>
                <w:lang w:val="pt-PT" w:eastAsia="nl-NL"/>
              </w:rPr>
            </w:pPr>
          </w:p>
        </w:tc>
        <w:tc>
          <w:tcPr>
            <w:tcW w:w="1592" w:type="pct"/>
            <w:vAlign w:val="center"/>
          </w:tcPr>
          <w:p w14:paraId="1FF9A0E6" w14:textId="77777777" w:rsidR="002418BD" w:rsidRPr="001442DF" w:rsidRDefault="005A3D7D" w:rsidP="000A093B">
            <w:pPr>
              <w:keepNext/>
              <w:tabs>
                <w:tab w:val="clear" w:pos="567"/>
                <w:tab w:val="left" w:pos="720"/>
              </w:tabs>
              <w:spacing w:line="240" w:lineRule="auto"/>
              <w:jc w:val="center"/>
              <w:rPr>
                <w:rFonts w:eastAsia="Calibri"/>
                <w:lang w:eastAsia="nl-NL"/>
              </w:rPr>
            </w:pPr>
            <w:r w:rsidRPr="001442DF">
              <w:rPr>
                <w:bCs/>
                <w:lang w:val="en-US"/>
              </w:rPr>
              <w:t>121</w:t>
            </w:r>
            <w:r>
              <w:rPr>
                <w:bCs/>
                <w:lang w:val="en-US"/>
              </w:rPr>
              <w:t>00</w:t>
            </w:r>
            <w:r w:rsidRPr="001442DF">
              <w:rPr>
                <w:bCs/>
                <w:lang w:val="en-US"/>
              </w:rPr>
              <w:t xml:space="preserve"> (417</w:t>
            </w:r>
            <w:r>
              <w:rPr>
                <w:bCs/>
                <w:lang w:val="en-US"/>
              </w:rPr>
              <w:t>0</w:t>
            </w:r>
            <w:r w:rsidRPr="001442DF">
              <w:rPr>
                <w:bCs/>
                <w:lang w:val="en-US"/>
              </w:rPr>
              <w:t>)</w:t>
            </w:r>
          </w:p>
        </w:tc>
      </w:tr>
    </w:tbl>
    <w:p w14:paraId="5DCB9387" w14:textId="77777777" w:rsidR="00B45699" w:rsidRPr="00A808AC" w:rsidRDefault="00B45699" w:rsidP="000D02CF">
      <w:pPr>
        <w:spacing w:line="240" w:lineRule="auto"/>
      </w:pPr>
    </w:p>
    <w:p w14:paraId="65E78D90" w14:textId="77777777" w:rsidR="00F976E8" w:rsidRPr="00A808AC" w:rsidRDefault="005A3D7D" w:rsidP="00C72ED2">
      <w:pPr>
        <w:keepNext/>
        <w:keepLines/>
        <w:suppressLineNumbers/>
        <w:spacing w:line="240" w:lineRule="auto"/>
        <w:outlineLvl w:val="1"/>
      </w:pPr>
      <w:r w:rsidRPr="00CF556B">
        <w:rPr>
          <w:b/>
          <w:bCs/>
        </w:rPr>
        <w:t>5.3</w:t>
      </w:r>
      <w:r w:rsidRPr="00CF556B">
        <w:rPr>
          <w:b/>
          <w:bCs/>
        </w:rPr>
        <w:tab/>
      </w:r>
      <w:r w:rsidRPr="00CF556B">
        <w:rPr>
          <w:b/>
          <w:bCs/>
        </w:rPr>
        <w:t>Preclinical safety data</w:t>
      </w:r>
    </w:p>
    <w:p w14:paraId="7F2EC040" w14:textId="77777777" w:rsidR="00F976E8" w:rsidRPr="00A808AC" w:rsidRDefault="00F976E8" w:rsidP="00C72ED2">
      <w:pPr>
        <w:keepNext/>
        <w:keepLines/>
        <w:spacing w:line="240" w:lineRule="auto"/>
      </w:pPr>
    </w:p>
    <w:p w14:paraId="3F924984" w14:textId="77777777" w:rsidR="00443228" w:rsidRPr="00F11863" w:rsidRDefault="005A3D7D" w:rsidP="00C72ED2">
      <w:pPr>
        <w:keepNext/>
        <w:keepLines/>
      </w:pPr>
      <w:r w:rsidRPr="00F11863">
        <w:t>Non-clinical data reveal no special hazard for humans based on conventional studies of safety pharmacology, repeated dose toxicity, genotoxicity, and carcinogenic potential.</w:t>
      </w:r>
    </w:p>
    <w:p w14:paraId="6A1B26F1" w14:textId="77777777" w:rsidR="00443228" w:rsidRPr="00F11863" w:rsidRDefault="00443228" w:rsidP="00443228"/>
    <w:p w14:paraId="2EB1CB29" w14:textId="77777777" w:rsidR="00A85360" w:rsidRPr="008B6996" w:rsidRDefault="005A3D7D" w:rsidP="000A093B">
      <w:pPr>
        <w:keepNext/>
        <w:rPr>
          <w:u w:val="single"/>
        </w:rPr>
      </w:pPr>
      <w:r w:rsidRPr="008B6996">
        <w:rPr>
          <w:u w:val="single"/>
        </w:rPr>
        <w:t>Pregnancy and fertility</w:t>
      </w:r>
    </w:p>
    <w:p w14:paraId="75CBB50A" w14:textId="77777777" w:rsidR="00B309E2" w:rsidRPr="00A85360" w:rsidRDefault="00B309E2" w:rsidP="000A093B">
      <w:pPr>
        <w:keepNext/>
        <w:rPr>
          <w:i/>
        </w:rPr>
      </w:pPr>
    </w:p>
    <w:p w14:paraId="22ED35F9" w14:textId="77777777" w:rsidR="00443228" w:rsidRPr="00F11863" w:rsidRDefault="005A3D7D" w:rsidP="000A093B">
      <w:pPr>
        <w:keepNext/>
      </w:pPr>
      <w:r w:rsidRPr="00F11863">
        <w:t>Ivacaftor was associated with s</w:t>
      </w:r>
      <w:r w:rsidRPr="00F11863">
        <w:t>light decreases of the seminal vesicle weights, a decrease of overall fertility index and number of pregnancies in females mated with treated males and significant reductions in number of corpora lutea and implantation sites with subsequent reductions in t</w:t>
      </w:r>
      <w:r w:rsidRPr="00F11863">
        <w:t>he average litter size and average number of viable embryos per litter in treated females. The No</w:t>
      </w:r>
      <w:r>
        <w:noBreakHyphen/>
      </w:r>
      <w:r w:rsidRPr="00F11863">
        <w:t>Observed</w:t>
      </w:r>
      <w:r>
        <w:noBreakHyphen/>
      </w:r>
      <w:r w:rsidRPr="00F11863">
        <w:t>Adverse</w:t>
      </w:r>
      <w:r>
        <w:noBreakHyphen/>
      </w:r>
      <w:r w:rsidRPr="00F11863">
        <w:t>Effect</w:t>
      </w:r>
      <w:r>
        <w:noBreakHyphen/>
      </w:r>
      <w:r w:rsidRPr="00F11863">
        <w:t>Level (NOAEL) for fertility findings</w:t>
      </w:r>
      <w:r>
        <w:t xml:space="preserve"> provides an exposure level of approximately 4 </w:t>
      </w:r>
      <w:r w:rsidRPr="00F11863">
        <w:t>times the systemic exposure of ivacaftor and its me</w:t>
      </w:r>
      <w:r w:rsidRPr="00F11863">
        <w:t xml:space="preserve">tabolites when administered as </w:t>
      </w:r>
      <w:r>
        <w:t xml:space="preserve">ivacaftor monotherapy </w:t>
      </w:r>
      <w:r w:rsidRPr="00F11863">
        <w:t xml:space="preserve">in adult humans at the maximum recommended human dose (MRHD). </w:t>
      </w:r>
      <w:r w:rsidR="00A85360" w:rsidRPr="00F11863">
        <w:t>Placental transfer of ivacaftor was observed in pregnant rats and rabbits.</w:t>
      </w:r>
    </w:p>
    <w:p w14:paraId="013C5652" w14:textId="77777777" w:rsidR="00443228" w:rsidRPr="00F11863" w:rsidRDefault="00443228" w:rsidP="00443228"/>
    <w:p w14:paraId="02C8387F" w14:textId="77777777" w:rsidR="00A85360" w:rsidRPr="008B6996" w:rsidRDefault="005A3D7D" w:rsidP="000A093B">
      <w:pPr>
        <w:keepNext/>
        <w:rPr>
          <w:u w:val="single"/>
        </w:rPr>
      </w:pPr>
      <w:r w:rsidRPr="008B6996">
        <w:rPr>
          <w:u w:val="single"/>
        </w:rPr>
        <w:t>Peri</w:t>
      </w:r>
      <w:r w:rsidRPr="007B0741">
        <w:rPr>
          <w:u w:val="single"/>
        </w:rPr>
        <w:noBreakHyphen/>
        <w:t xml:space="preserve"> and post</w:t>
      </w:r>
      <w:r w:rsidRPr="007B0741">
        <w:rPr>
          <w:u w:val="single"/>
        </w:rPr>
        <w:noBreakHyphen/>
        <w:t xml:space="preserve">natal </w:t>
      </w:r>
      <w:r w:rsidRPr="008B6996">
        <w:rPr>
          <w:u w:val="single"/>
        </w:rPr>
        <w:t>development</w:t>
      </w:r>
    </w:p>
    <w:p w14:paraId="562C1629" w14:textId="77777777" w:rsidR="00B309E2" w:rsidRPr="008B6996" w:rsidRDefault="00B309E2" w:rsidP="000A093B">
      <w:pPr>
        <w:keepNext/>
      </w:pPr>
    </w:p>
    <w:p w14:paraId="745B06CE" w14:textId="77777777" w:rsidR="00443228" w:rsidRPr="00F11863" w:rsidRDefault="005A3D7D" w:rsidP="000A093B">
      <w:pPr>
        <w:keepNext/>
      </w:pPr>
      <w:r>
        <w:t>I</w:t>
      </w:r>
      <w:r w:rsidRPr="00F11863">
        <w:t xml:space="preserve">vacaftor decreased </w:t>
      </w:r>
      <w:r w:rsidRPr="00F11863">
        <w:t>survival and lactation indices and caused a reduction in pup body weights. The NOAEL for viability and growth in the offspring provides an exposure l</w:t>
      </w:r>
      <w:r>
        <w:t xml:space="preserve">evel </w:t>
      </w:r>
      <w:r w:rsidR="000406BD">
        <w:t xml:space="preserve">of </w:t>
      </w:r>
      <w:r>
        <w:t>approximately 3 </w:t>
      </w:r>
      <w:r w:rsidRPr="00F11863">
        <w:t xml:space="preserve">times the systemic exposure of ivacaftor and its metabolites when administered as </w:t>
      </w:r>
      <w:r>
        <w:t>i</w:t>
      </w:r>
      <w:r>
        <w:t xml:space="preserve">vacaftor monotherapy </w:t>
      </w:r>
      <w:r w:rsidRPr="00F11863">
        <w:t xml:space="preserve">in adult humans at the MRHD. </w:t>
      </w:r>
    </w:p>
    <w:p w14:paraId="6321119B" w14:textId="77777777" w:rsidR="00443228" w:rsidRPr="00C2771F" w:rsidRDefault="00443228" w:rsidP="00443228"/>
    <w:p w14:paraId="06AD626B" w14:textId="77777777" w:rsidR="00A85360" w:rsidRPr="008B6996" w:rsidRDefault="005A3D7D" w:rsidP="000A093B">
      <w:pPr>
        <w:keepNext/>
        <w:rPr>
          <w:u w:val="single"/>
        </w:rPr>
      </w:pPr>
      <w:r w:rsidRPr="008B6996">
        <w:rPr>
          <w:u w:val="single"/>
        </w:rPr>
        <w:t>Juvenile animal</w:t>
      </w:r>
      <w:r w:rsidR="00B309E2" w:rsidRPr="008B6996">
        <w:rPr>
          <w:u w:val="single"/>
        </w:rPr>
        <w:t xml:space="preserve"> studies</w:t>
      </w:r>
    </w:p>
    <w:p w14:paraId="44A5670E" w14:textId="77777777" w:rsidR="00B309E2" w:rsidRPr="008B6996" w:rsidRDefault="00B309E2" w:rsidP="000A093B">
      <w:pPr>
        <w:keepNext/>
      </w:pPr>
    </w:p>
    <w:p w14:paraId="186F692B" w14:textId="77777777" w:rsidR="00443228" w:rsidRDefault="005A3D7D" w:rsidP="000A093B">
      <w:pPr>
        <w:keepNext/>
      </w:pPr>
      <w:r w:rsidRPr="00F11863">
        <w:t xml:space="preserve">Findings of cataracts were observed in juvenile rats dosed from postnatal </w:t>
      </w:r>
      <w:r w:rsidR="00E347A4">
        <w:t>d</w:t>
      </w:r>
      <w:r w:rsidRPr="00F11863">
        <w:t>ay</w:t>
      </w:r>
      <w:r>
        <w:t> </w:t>
      </w:r>
      <w:r w:rsidRPr="00F11863">
        <w:t>7 throug</w:t>
      </w:r>
      <w:r>
        <w:t>h 35 at ivacaftor exposure levels of 0.22 </w:t>
      </w:r>
      <w:r w:rsidRPr="00F11863">
        <w:t xml:space="preserve">times the MRHD based on systemic exposure of ivacaftor and its metabolites when administered as </w:t>
      </w:r>
      <w:r>
        <w:t>ivacaftor monotherapy</w:t>
      </w:r>
      <w:r w:rsidRPr="00F11863">
        <w:t>. This finding has not been observed in f</w:t>
      </w:r>
      <w:r w:rsidR="00121FD1">
        <w:t>o</w:t>
      </w:r>
      <w:r w:rsidRPr="00F11863">
        <w:t xml:space="preserve">etuses derived from rat dams treated with ivacaftor on gestation </w:t>
      </w:r>
      <w:r w:rsidR="00E347A4">
        <w:t>d</w:t>
      </w:r>
      <w:r w:rsidRPr="00F11863">
        <w:t>ays</w:t>
      </w:r>
      <w:r>
        <w:t> </w:t>
      </w:r>
      <w:r w:rsidRPr="00F11863">
        <w:t>7 to 17, in rat pups expose</w:t>
      </w:r>
      <w:r w:rsidRPr="00F11863">
        <w:t xml:space="preserve">d to ivacaftor through milk ingestion up to postnatal </w:t>
      </w:r>
      <w:r w:rsidR="00E347A4">
        <w:t>d</w:t>
      </w:r>
      <w:r w:rsidRPr="00F11863">
        <w:t>ay</w:t>
      </w:r>
      <w:r>
        <w:t> </w:t>
      </w:r>
      <w:r w:rsidRPr="00F11863">
        <w:t>20,</w:t>
      </w:r>
      <w:r>
        <w:t xml:space="preserve"> in 7</w:t>
      </w:r>
      <w:r>
        <w:noBreakHyphen/>
        <w:t>week old rats, nor in 3.5 to 5</w:t>
      </w:r>
      <w:r>
        <w:noBreakHyphen/>
      </w:r>
      <w:r w:rsidRPr="00F11863">
        <w:t>month old dogs treated with ivacaftor. The potential relevance of these findings in humans is unknown.</w:t>
      </w:r>
    </w:p>
    <w:p w14:paraId="05224B60" w14:textId="77777777" w:rsidR="00F976E8" w:rsidRPr="00A808AC" w:rsidRDefault="00F976E8" w:rsidP="000D02CF">
      <w:pPr>
        <w:widowControl w:val="0"/>
        <w:spacing w:line="240" w:lineRule="auto"/>
      </w:pPr>
    </w:p>
    <w:p w14:paraId="0FB2508F" w14:textId="77777777" w:rsidR="00F976E8" w:rsidRPr="00A808AC" w:rsidRDefault="00F976E8" w:rsidP="000D02CF">
      <w:pPr>
        <w:widowControl w:val="0"/>
        <w:spacing w:line="240" w:lineRule="auto"/>
        <w:rPr>
          <w:rFonts w:eastAsia="MS Mincho"/>
          <w:lang w:eastAsia="ja-JP"/>
        </w:rPr>
      </w:pPr>
    </w:p>
    <w:p w14:paraId="46C937A5" w14:textId="77777777" w:rsidR="00F976E8" w:rsidRPr="007B0741" w:rsidRDefault="005A3D7D" w:rsidP="00A0798C">
      <w:pPr>
        <w:pStyle w:val="Heading1"/>
        <w:spacing w:before="0" w:after="0" w:line="240" w:lineRule="auto"/>
        <w:rPr>
          <w:b w:val="0"/>
          <w:sz w:val="22"/>
          <w:szCs w:val="22"/>
        </w:rPr>
      </w:pPr>
      <w:r w:rsidRPr="00C83CF5">
        <w:rPr>
          <w:rFonts w:ascii="Times New Roman" w:hAnsi="Times New Roman"/>
          <w:sz w:val="22"/>
          <w:szCs w:val="22"/>
        </w:rPr>
        <w:t>6.</w:t>
      </w:r>
      <w:r w:rsidRPr="00C83CF5">
        <w:rPr>
          <w:rFonts w:ascii="Times New Roman" w:hAnsi="Times New Roman"/>
          <w:sz w:val="22"/>
          <w:szCs w:val="22"/>
        </w:rPr>
        <w:tab/>
        <w:t>PHARMACEUTICAL PARTICULARS</w:t>
      </w:r>
    </w:p>
    <w:p w14:paraId="30688989" w14:textId="77777777" w:rsidR="00F976E8" w:rsidRPr="008F4AF3" w:rsidRDefault="00F976E8" w:rsidP="000A093B">
      <w:pPr>
        <w:keepNext/>
        <w:spacing w:line="240" w:lineRule="auto"/>
      </w:pPr>
    </w:p>
    <w:p w14:paraId="35712962" w14:textId="77777777" w:rsidR="00F976E8" w:rsidRPr="00A808AC" w:rsidRDefault="005A3D7D" w:rsidP="000A093B">
      <w:pPr>
        <w:keepNext/>
        <w:suppressLineNumbers/>
        <w:spacing w:line="240" w:lineRule="auto"/>
        <w:ind w:left="567" w:hanging="567"/>
        <w:outlineLvl w:val="1"/>
      </w:pPr>
      <w:r w:rsidRPr="00A808AC">
        <w:rPr>
          <w:b/>
          <w:bCs/>
        </w:rPr>
        <w:t>6.1</w:t>
      </w:r>
      <w:r w:rsidRPr="00A808AC">
        <w:rPr>
          <w:b/>
          <w:bCs/>
        </w:rPr>
        <w:tab/>
        <w:t>List of excipients</w:t>
      </w:r>
    </w:p>
    <w:p w14:paraId="514D5B8F" w14:textId="77777777" w:rsidR="00F976E8" w:rsidRPr="00A808AC" w:rsidRDefault="00F976E8" w:rsidP="000A093B">
      <w:pPr>
        <w:keepNext/>
        <w:spacing w:line="240" w:lineRule="auto"/>
        <w:rPr>
          <w:iCs/>
        </w:rPr>
      </w:pPr>
    </w:p>
    <w:p w14:paraId="1FBE5751" w14:textId="77777777" w:rsidR="00F976E8" w:rsidRPr="007B0741" w:rsidRDefault="005A3D7D" w:rsidP="000A093B">
      <w:pPr>
        <w:keepNext/>
        <w:spacing w:line="240" w:lineRule="auto"/>
        <w:rPr>
          <w:u w:val="single"/>
        </w:rPr>
      </w:pPr>
      <w:r w:rsidRPr="007B0741">
        <w:rPr>
          <w:u w:val="single"/>
        </w:rPr>
        <w:t>Tablet core</w:t>
      </w:r>
    </w:p>
    <w:p w14:paraId="64287426" w14:textId="77777777" w:rsidR="00B309E2" w:rsidRPr="008B6996" w:rsidRDefault="00B309E2" w:rsidP="000A093B">
      <w:pPr>
        <w:keepNext/>
        <w:spacing w:line="240" w:lineRule="auto"/>
        <w:rPr>
          <w:iCs/>
          <w:u w:val="single"/>
        </w:rPr>
      </w:pPr>
    </w:p>
    <w:p w14:paraId="7EFCB8B5" w14:textId="77777777" w:rsidR="00F976E8" w:rsidRPr="00A808AC" w:rsidRDefault="005A3D7D" w:rsidP="000A093B">
      <w:pPr>
        <w:keepNext/>
        <w:spacing w:line="240" w:lineRule="auto"/>
        <w:rPr>
          <w:rFonts w:eastAsia="MS Mincho"/>
          <w:lang w:eastAsia="ja-JP"/>
        </w:rPr>
      </w:pPr>
      <w:r w:rsidRPr="00A808AC">
        <w:rPr>
          <w:rFonts w:eastAsia="MS Mincho"/>
          <w:lang w:eastAsia="ja-JP"/>
        </w:rPr>
        <w:t>Cellulose, microcrystalline</w:t>
      </w:r>
    </w:p>
    <w:p w14:paraId="4046EEF7" w14:textId="77777777" w:rsidR="00F976E8" w:rsidRPr="00A808AC" w:rsidRDefault="005A3D7D" w:rsidP="000A093B">
      <w:pPr>
        <w:keepNext/>
        <w:spacing w:line="240" w:lineRule="auto"/>
        <w:rPr>
          <w:rFonts w:eastAsia="MS Mincho"/>
          <w:lang w:eastAsia="ja-JP"/>
        </w:rPr>
      </w:pPr>
      <w:r w:rsidRPr="00A808AC">
        <w:rPr>
          <w:rFonts w:eastAsia="MS Mincho"/>
          <w:lang w:eastAsia="ja-JP"/>
        </w:rPr>
        <w:t>Lactose monohydrate</w:t>
      </w:r>
    </w:p>
    <w:p w14:paraId="7C4A5344" w14:textId="77777777" w:rsidR="00F976E8" w:rsidRPr="00A808AC" w:rsidRDefault="005A3D7D" w:rsidP="000A093B">
      <w:pPr>
        <w:keepNext/>
        <w:spacing w:line="240" w:lineRule="auto"/>
        <w:rPr>
          <w:rFonts w:eastAsia="MS Mincho"/>
          <w:lang w:eastAsia="ja-JP"/>
        </w:rPr>
      </w:pPr>
      <w:r w:rsidRPr="00A808AC">
        <w:rPr>
          <w:rFonts w:eastAsia="MS Mincho"/>
          <w:lang w:eastAsia="ja-JP"/>
        </w:rPr>
        <w:t>Hypromellose acetate succinate</w:t>
      </w:r>
    </w:p>
    <w:p w14:paraId="4A695A3A" w14:textId="77777777" w:rsidR="00F976E8" w:rsidRPr="000A093B" w:rsidRDefault="005A3D7D" w:rsidP="000A093B">
      <w:pPr>
        <w:keepNext/>
        <w:spacing w:line="240" w:lineRule="auto"/>
        <w:rPr>
          <w:lang w:val="it-IT"/>
        </w:rPr>
      </w:pPr>
      <w:r w:rsidRPr="000A093B">
        <w:rPr>
          <w:lang w:val="it-IT"/>
        </w:rPr>
        <w:t>Croscarmellose sodium</w:t>
      </w:r>
    </w:p>
    <w:p w14:paraId="46B74D18" w14:textId="77777777" w:rsidR="00F976E8" w:rsidRPr="000A093B" w:rsidRDefault="005A3D7D" w:rsidP="000A093B">
      <w:pPr>
        <w:keepNext/>
        <w:spacing w:line="240" w:lineRule="auto"/>
        <w:rPr>
          <w:lang w:val="it-IT"/>
        </w:rPr>
      </w:pPr>
      <w:r w:rsidRPr="000A093B">
        <w:rPr>
          <w:lang w:val="it-IT"/>
        </w:rPr>
        <w:t>Sodium laurilsulfate</w:t>
      </w:r>
      <w:r w:rsidR="00691636" w:rsidRPr="000A093B">
        <w:rPr>
          <w:lang w:val="it-IT"/>
        </w:rPr>
        <w:t xml:space="preserve"> (E487)</w:t>
      </w:r>
    </w:p>
    <w:p w14:paraId="01156C63" w14:textId="77777777" w:rsidR="00491009" w:rsidRPr="000A093B" w:rsidRDefault="005A3D7D" w:rsidP="000A093B">
      <w:pPr>
        <w:keepNext/>
        <w:spacing w:line="240" w:lineRule="auto"/>
        <w:rPr>
          <w:lang w:val="it-IT"/>
        </w:rPr>
      </w:pPr>
      <w:r w:rsidRPr="000A093B">
        <w:rPr>
          <w:lang w:val="it-IT"/>
        </w:rPr>
        <w:t>Silica, colloidal anhydrous</w:t>
      </w:r>
    </w:p>
    <w:p w14:paraId="2DEBBD33" w14:textId="77777777" w:rsidR="00F976E8" w:rsidRPr="000A093B" w:rsidRDefault="005A3D7D" w:rsidP="000A093B">
      <w:pPr>
        <w:keepNext/>
        <w:spacing w:line="240" w:lineRule="auto"/>
        <w:rPr>
          <w:lang w:val="it-IT"/>
        </w:rPr>
      </w:pPr>
      <w:r w:rsidRPr="000A093B">
        <w:rPr>
          <w:lang w:val="it-IT"/>
        </w:rPr>
        <w:t>Magnesium stearate</w:t>
      </w:r>
    </w:p>
    <w:p w14:paraId="47C61FF3" w14:textId="77777777" w:rsidR="00F976E8" w:rsidRPr="000A093B" w:rsidRDefault="00F976E8" w:rsidP="000D02CF">
      <w:pPr>
        <w:spacing w:line="240" w:lineRule="auto"/>
        <w:rPr>
          <w:lang w:val="it-IT"/>
        </w:rPr>
      </w:pPr>
    </w:p>
    <w:p w14:paraId="16C48B21" w14:textId="77777777" w:rsidR="00F976E8" w:rsidRPr="000A093B" w:rsidRDefault="005A3D7D" w:rsidP="000A093B">
      <w:pPr>
        <w:keepNext/>
        <w:spacing w:line="240" w:lineRule="auto"/>
        <w:rPr>
          <w:u w:val="single"/>
          <w:lang w:val="it-IT"/>
        </w:rPr>
      </w:pPr>
      <w:r w:rsidRPr="000A093B">
        <w:rPr>
          <w:u w:val="single"/>
          <w:lang w:val="it-IT"/>
        </w:rPr>
        <w:t>Tablet film coat</w:t>
      </w:r>
    </w:p>
    <w:p w14:paraId="0D1A24B1" w14:textId="77777777" w:rsidR="00B309E2" w:rsidRPr="000A093B" w:rsidRDefault="00B309E2" w:rsidP="000A093B">
      <w:pPr>
        <w:keepNext/>
        <w:spacing w:line="240" w:lineRule="auto"/>
        <w:rPr>
          <w:u w:val="single"/>
          <w:lang w:val="it-IT"/>
        </w:rPr>
      </w:pPr>
    </w:p>
    <w:p w14:paraId="3EFE5A84" w14:textId="77777777" w:rsidR="00F976E8" w:rsidRPr="000A093B" w:rsidRDefault="005A3D7D" w:rsidP="000A093B">
      <w:pPr>
        <w:keepNext/>
        <w:spacing w:line="240" w:lineRule="auto"/>
        <w:rPr>
          <w:lang w:val="it-IT"/>
        </w:rPr>
      </w:pPr>
      <w:r w:rsidRPr="000A093B">
        <w:rPr>
          <w:lang w:val="it-IT"/>
        </w:rPr>
        <w:t>Polyvinyl alcohol</w:t>
      </w:r>
    </w:p>
    <w:p w14:paraId="3EE346FB" w14:textId="77777777" w:rsidR="00F976E8" w:rsidRPr="000A093B" w:rsidRDefault="005A3D7D" w:rsidP="000A093B">
      <w:pPr>
        <w:keepNext/>
        <w:spacing w:line="240" w:lineRule="auto"/>
        <w:rPr>
          <w:lang w:val="it-IT"/>
        </w:rPr>
      </w:pPr>
      <w:r w:rsidRPr="000A093B">
        <w:rPr>
          <w:lang w:val="it-IT"/>
        </w:rPr>
        <w:t xml:space="preserve">Titanium dioxide </w:t>
      </w:r>
      <w:r w:rsidRPr="000A093B">
        <w:rPr>
          <w:lang w:val="it-IT"/>
        </w:rPr>
        <w:t>(E171)</w:t>
      </w:r>
    </w:p>
    <w:p w14:paraId="3026DA89" w14:textId="77777777" w:rsidR="00F976E8" w:rsidRPr="000A093B" w:rsidRDefault="005A3D7D" w:rsidP="000A093B">
      <w:pPr>
        <w:keepNext/>
        <w:spacing w:line="240" w:lineRule="auto"/>
        <w:rPr>
          <w:lang w:val="pt-PT"/>
        </w:rPr>
      </w:pPr>
      <w:r w:rsidRPr="000A093B">
        <w:rPr>
          <w:lang w:val="pt-PT"/>
        </w:rPr>
        <w:t>Macrogol</w:t>
      </w:r>
      <w:r w:rsidR="00087262" w:rsidRPr="000A093B">
        <w:rPr>
          <w:lang w:val="pt-PT"/>
        </w:rPr>
        <w:t xml:space="preserve"> </w:t>
      </w:r>
      <w:r w:rsidR="007D094D" w:rsidRPr="000A093B">
        <w:rPr>
          <w:lang w:val="pt-PT"/>
        </w:rPr>
        <w:t>(PEG 3350)</w:t>
      </w:r>
    </w:p>
    <w:p w14:paraId="5D9A7AF5" w14:textId="77777777" w:rsidR="00F976E8" w:rsidRPr="000A093B" w:rsidRDefault="005A3D7D" w:rsidP="000A093B">
      <w:pPr>
        <w:keepNext/>
        <w:spacing w:line="240" w:lineRule="auto"/>
        <w:rPr>
          <w:lang w:val="pt-PT"/>
        </w:rPr>
      </w:pPr>
      <w:r w:rsidRPr="000A093B">
        <w:rPr>
          <w:lang w:val="pt-PT"/>
        </w:rPr>
        <w:t>Talc</w:t>
      </w:r>
    </w:p>
    <w:p w14:paraId="0A6BE3E5" w14:textId="77777777" w:rsidR="00F976E8" w:rsidRPr="000A093B" w:rsidRDefault="005A3D7D" w:rsidP="000A093B">
      <w:pPr>
        <w:keepNext/>
        <w:spacing w:line="240" w:lineRule="auto"/>
        <w:rPr>
          <w:lang w:val="pt-PT"/>
        </w:rPr>
      </w:pPr>
      <w:r w:rsidRPr="000A093B">
        <w:rPr>
          <w:lang w:val="pt-PT"/>
        </w:rPr>
        <w:t>Indigo carmine alumin</w:t>
      </w:r>
      <w:r w:rsidR="006D6288" w:rsidRPr="000A093B">
        <w:rPr>
          <w:lang w:val="pt-PT"/>
        </w:rPr>
        <w:t>i</w:t>
      </w:r>
      <w:r w:rsidRPr="000A093B">
        <w:rPr>
          <w:lang w:val="pt-PT"/>
        </w:rPr>
        <w:t>um lake (E132)</w:t>
      </w:r>
    </w:p>
    <w:p w14:paraId="68128854" w14:textId="77777777" w:rsidR="00F976E8" w:rsidRPr="000A093B" w:rsidRDefault="005A3D7D" w:rsidP="000A093B">
      <w:pPr>
        <w:keepNext/>
        <w:spacing w:line="240" w:lineRule="auto"/>
        <w:rPr>
          <w:lang w:val="en-US"/>
        </w:rPr>
      </w:pPr>
      <w:r w:rsidRPr="000A093B">
        <w:rPr>
          <w:lang w:val="en-US"/>
        </w:rPr>
        <w:t>Carnauba wax</w:t>
      </w:r>
    </w:p>
    <w:p w14:paraId="2A04EAF0" w14:textId="77777777" w:rsidR="00F976E8" w:rsidRPr="000A093B" w:rsidRDefault="00F976E8" w:rsidP="000D02CF">
      <w:pPr>
        <w:spacing w:line="240" w:lineRule="auto"/>
        <w:rPr>
          <w:lang w:val="en-US"/>
        </w:rPr>
      </w:pPr>
    </w:p>
    <w:p w14:paraId="19B5CCA9" w14:textId="77777777" w:rsidR="00F976E8" w:rsidRPr="000A093B" w:rsidRDefault="005A3D7D" w:rsidP="000A093B">
      <w:pPr>
        <w:keepNext/>
        <w:spacing w:line="240" w:lineRule="auto"/>
        <w:rPr>
          <w:u w:val="single"/>
          <w:lang w:val="en-US"/>
        </w:rPr>
      </w:pPr>
      <w:r w:rsidRPr="000A093B">
        <w:rPr>
          <w:u w:val="single"/>
          <w:lang w:val="en-US"/>
        </w:rPr>
        <w:t>Printing ink</w:t>
      </w:r>
    </w:p>
    <w:p w14:paraId="6E793034" w14:textId="77777777" w:rsidR="00B309E2" w:rsidRPr="000A093B" w:rsidRDefault="00B309E2" w:rsidP="000A093B">
      <w:pPr>
        <w:keepNext/>
        <w:spacing w:line="240" w:lineRule="auto"/>
        <w:rPr>
          <w:u w:val="single"/>
          <w:lang w:val="en-US"/>
        </w:rPr>
      </w:pPr>
    </w:p>
    <w:p w14:paraId="3A3B3FAA" w14:textId="77777777" w:rsidR="00F976E8" w:rsidRPr="000A093B" w:rsidRDefault="005A3D7D" w:rsidP="000A093B">
      <w:pPr>
        <w:keepNext/>
        <w:spacing w:line="240" w:lineRule="auto"/>
        <w:rPr>
          <w:lang w:val="en-US"/>
        </w:rPr>
      </w:pPr>
      <w:r w:rsidRPr="000A093B">
        <w:rPr>
          <w:lang w:val="en-US"/>
        </w:rPr>
        <w:t>Shellac</w:t>
      </w:r>
    </w:p>
    <w:p w14:paraId="0E063181" w14:textId="77777777" w:rsidR="00F976E8" w:rsidRPr="000A093B" w:rsidRDefault="005A3D7D" w:rsidP="000A093B">
      <w:pPr>
        <w:keepNext/>
        <w:spacing w:line="240" w:lineRule="auto"/>
        <w:rPr>
          <w:lang w:val="en-US"/>
        </w:rPr>
      </w:pPr>
      <w:r w:rsidRPr="000A093B">
        <w:rPr>
          <w:lang w:val="en-US"/>
        </w:rPr>
        <w:t>Iron oxide black (E172)</w:t>
      </w:r>
    </w:p>
    <w:p w14:paraId="1EA5E60D" w14:textId="77777777" w:rsidR="00F976E8" w:rsidRPr="000A093B" w:rsidRDefault="005A3D7D" w:rsidP="000A093B">
      <w:pPr>
        <w:keepNext/>
        <w:spacing w:line="240" w:lineRule="auto"/>
        <w:rPr>
          <w:lang w:val="it-IT"/>
        </w:rPr>
      </w:pPr>
      <w:r w:rsidRPr="000A093B">
        <w:rPr>
          <w:lang w:val="it-IT"/>
        </w:rPr>
        <w:t>Propylene glycol</w:t>
      </w:r>
      <w:r w:rsidR="00691636" w:rsidRPr="000A093B">
        <w:rPr>
          <w:lang w:val="it-IT"/>
        </w:rPr>
        <w:t xml:space="preserve"> (E1520)</w:t>
      </w:r>
    </w:p>
    <w:p w14:paraId="5D773F70" w14:textId="77777777" w:rsidR="00F976E8" w:rsidRPr="000A093B" w:rsidRDefault="005A3D7D" w:rsidP="000D02CF">
      <w:pPr>
        <w:spacing w:line="240" w:lineRule="auto"/>
        <w:rPr>
          <w:lang w:val="it-IT"/>
        </w:rPr>
      </w:pPr>
      <w:r w:rsidRPr="000A093B">
        <w:rPr>
          <w:lang w:val="it-IT"/>
        </w:rPr>
        <w:t>Ammoni</w:t>
      </w:r>
      <w:r w:rsidR="009931A5" w:rsidRPr="000A093B">
        <w:rPr>
          <w:lang w:val="it-IT"/>
        </w:rPr>
        <w:t>a solution, concentrated</w:t>
      </w:r>
    </w:p>
    <w:p w14:paraId="42C986CD" w14:textId="77777777" w:rsidR="00F976E8" w:rsidRPr="000A093B" w:rsidRDefault="00F976E8" w:rsidP="000D02CF">
      <w:pPr>
        <w:spacing w:line="240" w:lineRule="auto"/>
        <w:rPr>
          <w:lang w:val="it-IT"/>
        </w:rPr>
      </w:pPr>
    </w:p>
    <w:p w14:paraId="48453B84" w14:textId="77777777" w:rsidR="00F976E8" w:rsidRPr="00A808AC" w:rsidRDefault="005A3D7D" w:rsidP="006C4477">
      <w:pPr>
        <w:keepNext/>
        <w:suppressLineNumbers/>
        <w:spacing w:line="240" w:lineRule="auto"/>
        <w:outlineLvl w:val="1"/>
      </w:pPr>
      <w:r w:rsidRPr="00A808AC">
        <w:rPr>
          <w:b/>
          <w:bCs/>
        </w:rPr>
        <w:t>6.2</w:t>
      </w:r>
      <w:r w:rsidRPr="00A808AC">
        <w:rPr>
          <w:b/>
          <w:bCs/>
        </w:rPr>
        <w:tab/>
        <w:t>Incompatibilities</w:t>
      </w:r>
    </w:p>
    <w:p w14:paraId="23091703" w14:textId="77777777" w:rsidR="00F976E8" w:rsidRPr="00A808AC" w:rsidRDefault="00F976E8" w:rsidP="00383145">
      <w:pPr>
        <w:keepNext/>
        <w:spacing w:line="240" w:lineRule="auto"/>
      </w:pPr>
    </w:p>
    <w:p w14:paraId="2EC4A2AF" w14:textId="77777777" w:rsidR="00F976E8" w:rsidRPr="00A808AC" w:rsidRDefault="005A3D7D" w:rsidP="000D02CF">
      <w:pPr>
        <w:suppressLineNumbers/>
        <w:spacing w:line="240" w:lineRule="auto"/>
      </w:pPr>
      <w:r w:rsidRPr="00A808AC">
        <w:t>Not applicable.</w:t>
      </w:r>
    </w:p>
    <w:p w14:paraId="48A1F02F" w14:textId="77777777" w:rsidR="00F976E8" w:rsidRPr="00A808AC" w:rsidRDefault="00F976E8" w:rsidP="000D02CF">
      <w:pPr>
        <w:spacing w:line="240" w:lineRule="auto"/>
      </w:pPr>
    </w:p>
    <w:p w14:paraId="07882866" w14:textId="77777777" w:rsidR="00F976E8" w:rsidRPr="00A808AC" w:rsidRDefault="005A3D7D" w:rsidP="00A0798C">
      <w:pPr>
        <w:keepNext/>
        <w:suppressLineNumbers/>
        <w:spacing w:line="240" w:lineRule="auto"/>
        <w:ind w:left="567" w:hanging="567"/>
        <w:outlineLvl w:val="1"/>
      </w:pPr>
      <w:r w:rsidRPr="00A808AC">
        <w:rPr>
          <w:b/>
          <w:bCs/>
        </w:rPr>
        <w:t>6.3</w:t>
      </w:r>
      <w:r w:rsidRPr="00A808AC">
        <w:rPr>
          <w:b/>
          <w:bCs/>
        </w:rPr>
        <w:tab/>
        <w:t>Shelf life</w:t>
      </w:r>
    </w:p>
    <w:p w14:paraId="0D82850F" w14:textId="77777777" w:rsidR="00F976E8" w:rsidRPr="00A808AC" w:rsidRDefault="00F976E8" w:rsidP="000A093B">
      <w:pPr>
        <w:keepNext/>
        <w:spacing w:line="240" w:lineRule="auto"/>
      </w:pPr>
    </w:p>
    <w:p w14:paraId="6337462C" w14:textId="77777777" w:rsidR="00F976E8" w:rsidRPr="00A808AC" w:rsidRDefault="005A3D7D" w:rsidP="00A0798C">
      <w:pPr>
        <w:keepNext/>
        <w:suppressLineNumbers/>
        <w:spacing w:line="240" w:lineRule="auto"/>
      </w:pPr>
      <w:r w:rsidRPr="00A808AC">
        <w:t>4</w:t>
      </w:r>
      <w:r w:rsidR="009C2014" w:rsidRPr="00A808AC">
        <w:t> </w:t>
      </w:r>
      <w:r w:rsidRPr="00A808AC">
        <w:t>years.</w:t>
      </w:r>
    </w:p>
    <w:p w14:paraId="5A8BE8E3" w14:textId="77777777" w:rsidR="00F976E8" w:rsidRPr="00A808AC" w:rsidRDefault="00F976E8" w:rsidP="000D02CF">
      <w:pPr>
        <w:spacing w:line="240" w:lineRule="auto"/>
      </w:pPr>
    </w:p>
    <w:p w14:paraId="447243AD" w14:textId="77777777" w:rsidR="00F976E8" w:rsidRPr="00A808AC" w:rsidRDefault="005A3D7D" w:rsidP="00A0798C">
      <w:pPr>
        <w:keepNext/>
        <w:suppressLineNumbers/>
        <w:spacing w:line="240" w:lineRule="auto"/>
        <w:ind w:left="567" w:hanging="567"/>
        <w:outlineLvl w:val="1"/>
        <w:rPr>
          <w:b/>
          <w:bCs/>
        </w:rPr>
      </w:pPr>
      <w:r w:rsidRPr="00A808AC">
        <w:rPr>
          <w:b/>
          <w:bCs/>
        </w:rPr>
        <w:t>6.4</w:t>
      </w:r>
      <w:r w:rsidRPr="00A808AC">
        <w:rPr>
          <w:b/>
          <w:bCs/>
        </w:rPr>
        <w:tab/>
        <w:t>Special precautions for storage</w:t>
      </w:r>
    </w:p>
    <w:p w14:paraId="6E9B1D4F" w14:textId="77777777" w:rsidR="00F976E8" w:rsidRPr="00A808AC" w:rsidRDefault="00F976E8" w:rsidP="0069106A">
      <w:pPr>
        <w:keepNext/>
        <w:tabs>
          <w:tab w:val="clear" w:pos="567"/>
          <w:tab w:val="left" w:pos="1795"/>
        </w:tabs>
        <w:spacing w:line="240" w:lineRule="auto"/>
      </w:pPr>
    </w:p>
    <w:p w14:paraId="4FC05B41" w14:textId="77777777" w:rsidR="00EA7D11" w:rsidRPr="00A808AC" w:rsidRDefault="005A3D7D" w:rsidP="000A093B">
      <w:pPr>
        <w:keepNext/>
        <w:spacing w:line="240" w:lineRule="auto"/>
      </w:pPr>
      <w:r>
        <w:t>This medicinal product does not require any special storage conditions</w:t>
      </w:r>
      <w:r w:rsidR="0063559C">
        <w:t>.</w:t>
      </w:r>
    </w:p>
    <w:p w14:paraId="2179BAAF" w14:textId="77777777" w:rsidR="00F976E8" w:rsidRPr="00A808AC" w:rsidRDefault="00F976E8" w:rsidP="000D02CF">
      <w:pPr>
        <w:spacing w:line="240" w:lineRule="auto"/>
      </w:pPr>
    </w:p>
    <w:p w14:paraId="55FB9EE5" w14:textId="77777777" w:rsidR="00F976E8" w:rsidRPr="00A808AC" w:rsidRDefault="005A3D7D" w:rsidP="006C4477">
      <w:pPr>
        <w:keepNext/>
        <w:suppressLineNumbers/>
        <w:spacing w:line="240" w:lineRule="auto"/>
        <w:outlineLvl w:val="1"/>
        <w:rPr>
          <w:b/>
          <w:bCs/>
        </w:rPr>
      </w:pPr>
      <w:r w:rsidRPr="00A808AC">
        <w:rPr>
          <w:b/>
          <w:bCs/>
        </w:rPr>
        <w:t>6.5</w:t>
      </w:r>
      <w:r w:rsidRPr="00A808AC">
        <w:rPr>
          <w:b/>
          <w:bCs/>
        </w:rPr>
        <w:tab/>
        <w:t>Nature and contents of container</w:t>
      </w:r>
    </w:p>
    <w:p w14:paraId="310B906F" w14:textId="77777777" w:rsidR="00F976E8" w:rsidRPr="00A808AC" w:rsidRDefault="00F976E8" w:rsidP="00383145">
      <w:pPr>
        <w:keepNext/>
        <w:spacing w:line="240" w:lineRule="auto"/>
        <w:rPr>
          <w:bCs/>
        </w:rPr>
      </w:pPr>
    </w:p>
    <w:p w14:paraId="23B0B29D" w14:textId="77777777" w:rsidR="00F976E8" w:rsidRPr="00A808AC" w:rsidRDefault="005A3D7D" w:rsidP="00383145">
      <w:pPr>
        <w:keepNext/>
        <w:spacing w:line="240" w:lineRule="auto"/>
      </w:pPr>
      <w:r w:rsidRPr="00A808AC">
        <w:t xml:space="preserve">The </w:t>
      </w:r>
      <w:r w:rsidR="00C91F83" w:rsidRPr="00A808AC">
        <w:t xml:space="preserve">film-coated </w:t>
      </w:r>
      <w:r w:rsidRPr="00A808AC">
        <w:t>tablets are packed in a thermoform (</w:t>
      </w:r>
      <w:r w:rsidR="00C91F83" w:rsidRPr="00A808AC">
        <w:t>PolyChloroTriFluoro</w:t>
      </w:r>
      <w:r w:rsidR="003A63B8" w:rsidRPr="00A808AC">
        <w:t>E</w:t>
      </w:r>
      <w:r w:rsidR="00C91F83" w:rsidRPr="00A808AC">
        <w:t xml:space="preserve">thylene </w:t>
      </w:r>
      <w:r w:rsidR="002029A8" w:rsidRPr="00A808AC">
        <w:t>[</w:t>
      </w:r>
      <w:r w:rsidRPr="00A808AC">
        <w:t>PCTFE</w:t>
      </w:r>
      <w:r w:rsidR="002029A8" w:rsidRPr="00A808AC">
        <w:t>]/</w:t>
      </w:r>
      <w:r w:rsidRPr="00A808AC">
        <w:t xml:space="preserve">foil) blister or a </w:t>
      </w:r>
      <w:r w:rsidR="003A63B8" w:rsidRPr="00A808AC">
        <w:t>High</w:t>
      </w:r>
      <w:r w:rsidRPr="00A808AC">
        <w:t>-</w:t>
      </w:r>
      <w:r w:rsidR="003A63B8" w:rsidRPr="00A808AC">
        <w:t xml:space="preserve">Density PolyEthylene </w:t>
      </w:r>
      <w:r w:rsidRPr="00A808AC">
        <w:t xml:space="preserve">(HDPE) bottle with </w:t>
      </w:r>
      <w:r w:rsidRPr="00A808AC">
        <w:rPr>
          <w:rFonts w:eastAsia="MS Mincho"/>
          <w:lang w:eastAsia="ja-JP"/>
        </w:rPr>
        <w:t>a polypropylene</w:t>
      </w:r>
      <w:r w:rsidR="0054445C" w:rsidRPr="00A808AC">
        <w:rPr>
          <w:rFonts w:eastAsia="MS Mincho"/>
          <w:lang w:eastAsia="ja-JP"/>
        </w:rPr>
        <w:t xml:space="preserve"> child-resistant closure</w:t>
      </w:r>
      <w:r w:rsidRPr="00A808AC">
        <w:rPr>
          <w:rFonts w:eastAsia="MS Mincho"/>
          <w:lang w:eastAsia="ja-JP"/>
        </w:rPr>
        <w:t>, foil-lined induction seal and molecular sieve</w:t>
      </w:r>
      <w:r w:rsidRPr="00A808AC">
        <w:t xml:space="preserve"> desiccant.</w:t>
      </w:r>
    </w:p>
    <w:p w14:paraId="4CC10508" w14:textId="77777777" w:rsidR="00F976E8" w:rsidRPr="00A808AC" w:rsidRDefault="00F976E8" w:rsidP="000D02CF">
      <w:pPr>
        <w:spacing w:line="240" w:lineRule="auto"/>
      </w:pPr>
    </w:p>
    <w:p w14:paraId="23EACF23" w14:textId="77777777" w:rsidR="00F976E8" w:rsidRPr="00A808AC" w:rsidRDefault="005A3D7D" w:rsidP="002B53FA">
      <w:pPr>
        <w:keepNext/>
        <w:spacing w:line="240" w:lineRule="auto"/>
      </w:pPr>
      <w:r w:rsidRPr="00A808AC">
        <w:t>The following pack sizes are available:</w:t>
      </w:r>
    </w:p>
    <w:p w14:paraId="02193348" w14:textId="77777777" w:rsidR="00C80891" w:rsidRPr="003F1CB4" w:rsidRDefault="005A3D7D" w:rsidP="00C80891">
      <w:pPr>
        <w:keepNext/>
        <w:numPr>
          <w:ilvl w:val="0"/>
          <w:numId w:val="3"/>
        </w:numPr>
        <w:tabs>
          <w:tab w:val="clear" w:pos="360"/>
          <w:tab w:val="clear" w:pos="567"/>
        </w:tabs>
        <w:spacing w:line="240" w:lineRule="auto"/>
        <w:ind w:left="270" w:hanging="270"/>
      </w:pPr>
      <w:r>
        <w:t>Blister card pack containing 28 film</w:t>
      </w:r>
      <w:r>
        <w:noBreakHyphen/>
        <w:t>coated tablets</w:t>
      </w:r>
    </w:p>
    <w:p w14:paraId="1BD10229" w14:textId="77777777" w:rsidR="00F976E8" w:rsidRDefault="005A3D7D" w:rsidP="002B53FA">
      <w:pPr>
        <w:keepNext/>
        <w:numPr>
          <w:ilvl w:val="0"/>
          <w:numId w:val="3"/>
        </w:numPr>
        <w:tabs>
          <w:tab w:val="clear" w:pos="360"/>
          <w:tab w:val="clear" w:pos="567"/>
        </w:tabs>
        <w:spacing w:line="240" w:lineRule="auto"/>
        <w:ind w:left="270" w:hanging="270"/>
      </w:pPr>
      <w:r w:rsidRPr="00A808AC">
        <w:t>B</w:t>
      </w:r>
      <w:r w:rsidRPr="00A808AC">
        <w:t xml:space="preserve">lister pack containing </w:t>
      </w:r>
      <w:r w:rsidRPr="003F1CB4">
        <w:t>56</w:t>
      </w:r>
      <w:r w:rsidR="007843E0" w:rsidRPr="003F1CB4">
        <w:t xml:space="preserve"> </w:t>
      </w:r>
      <w:r w:rsidRPr="003F1CB4">
        <w:t>film</w:t>
      </w:r>
      <w:r w:rsidRPr="003F1CB4">
        <w:noBreakHyphen/>
        <w:t>coated tablets</w:t>
      </w:r>
    </w:p>
    <w:p w14:paraId="3C4CB0CB" w14:textId="77777777" w:rsidR="00F976E8" w:rsidRPr="003F1CB4" w:rsidRDefault="005A3D7D" w:rsidP="000D02CF">
      <w:pPr>
        <w:numPr>
          <w:ilvl w:val="0"/>
          <w:numId w:val="3"/>
        </w:numPr>
        <w:tabs>
          <w:tab w:val="clear" w:pos="360"/>
          <w:tab w:val="clear" w:pos="567"/>
        </w:tabs>
        <w:spacing w:line="240" w:lineRule="auto"/>
        <w:ind w:left="270" w:hanging="270"/>
      </w:pPr>
      <w:r w:rsidRPr="003F1CB4">
        <w:t>Bottle containing 56 film</w:t>
      </w:r>
      <w:r w:rsidRPr="003F1CB4">
        <w:noBreakHyphen/>
        <w:t>coated tablets</w:t>
      </w:r>
    </w:p>
    <w:p w14:paraId="65273AAE" w14:textId="77777777" w:rsidR="00A35B1C" w:rsidRPr="00A808AC" w:rsidRDefault="00A35B1C" w:rsidP="00A35B1C">
      <w:pPr>
        <w:tabs>
          <w:tab w:val="clear" w:pos="567"/>
        </w:tabs>
        <w:spacing w:line="240" w:lineRule="auto"/>
      </w:pPr>
    </w:p>
    <w:p w14:paraId="2D03045F" w14:textId="77777777" w:rsidR="00F976E8" w:rsidRPr="00A808AC" w:rsidRDefault="005A3D7D" w:rsidP="000D02CF">
      <w:pPr>
        <w:spacing w:line="240" w:lineRule="auto"/>
        <w:rPr>
          <w:lang w:val="en-US"/>
        </w:rPr>
      </w:pPr>
      <w:r w:rsidRPr="00A808AC">
        <w:rPr>
          <w:lang w:val="en-US"/>
        </w:rPr>
        <w:t>Not all pack sizes may be marketed</w:t>
      </w:r>
    </w:p>
    <w:p w14:paraId="67CB7E36" w14:textId="77777777" w:rsidR="00A35B1C" w:rsidRPr="00A808AC" w:rsidRDefault="00A35B1C" w:rsidP="000D02CF">
      <w:pPr>
        <w:spacing w:line="240" w:lineRule="auto"/>
      </w:pPr>
    </w:p>
    <w:p w14:paraId="04B5C552" w14:textId="77777777" w:rsidR="00F976E8" w:rsidRPr="00A808AC" w:rsidRDefault="005A3D7D" w:rsidP="000A093B">
      <w:pPr>
        <w:keepNext/>
        <w:suppressLineNumbers/>
        <w:spacing w:line="240" w:lineRule="auto"/>
        <w:ind w:left="562" w:hanging="562"/>
        <w:outlineLvl w:val="1"/>
      </w:pPr>
      <w:bookmarkStart w:id="9" w:name="OLE_LINK1"/>
      <w:r w:rsidRPr="00A808AC">
        <w:rPr>
          <w:b/>
          <w:bCs/>
        </w:rPr>
        <w:t>6.6</w:t>
      </w:r>
      <w:r w:rsidRPr="00A808AC">
        <w:rPr>
          <w:b/>
          <w:bCs/>
        </w:rPr>
        <w:tab/>
        <w:t>Special precautions for disposal and other handling</w:t>
      </w:r>
    </w:p>
    <w:p w14:paraId="4C5F9D40" w14:textId="77777777" w:rsidR="00F976E8" w:rsidRPr="00A808AC" w:rsidRDefault="00F976E8" w:rsidP="000A093B">
      <w:pPr>
        <w:keepNext/>
        <w:spacing w:line="240" w:lineRule="auto"/>
        <w:rPr>
          <w:iCs/>
        </w:rPr>
      </w:pPr>
    </w:p>
    <w:p w14:paraId="0B207E83" w14:textId="77777777" w:rsidR="00F976E8" w:rsidRPr="00A808AC" w:rsidRDefault="005A3D7D" w:rsidP="000A093B">
      <w:pPr>
        <w:keepNext/>
        <w:spacing w:line="240" w:lineRule="auto"/>
        <w:rPr>
          <w:iCs/>
        </w:rPr>
      </w:pPr>
      <w:r w:rsidRPr="0047473B">
        <w:rPr>
          <w:iCs/>
        </w:rPr>
        <w:t xml:space="preserve">Any unused medicinal product or waste material should be disposed of in </w:t>
      </w:r>
      <w:r w:rsidRPr="0047473B">
        <w:rPr>
          <w:iCs/>
        </w:rPr>
        <w:t>accordance with local requirements.</w:t>
      </w:r>
    </w:p>
    <w:bookmarkEnd w:id="9"/>
    <w:p w14:paraId="78A22E65" w14:textId="77777777" w:rsidR="00F976E8" w:rsidRPr="00A808AC" w:rsidRDefault="00F976E8" w:rsidP="000D02CF">
      <w:pPr>
        <w:spacing w:line="240" w:lineRule="auto"/>
        <w:rPr>
          <w:iCs/>
        </w:rPr>
      </w:pPr>
    </w:p>
    <w:p w14:paraId="00DACB7C" w14:textId="77777777" w:rsidR="00F976E8" w:rsidRPr="00A808AC" w:rsidRDefault="00F976E8" w:rsidP="000D02CF">
      <w:pPr>
        <w:spacing w:line="240" w:lineRule="auto"/>
        <w:rPr>
          <w:iCs/>
        </w:rPr>
      </w:pPr>
    </w:p>
    <w:p w14:paraId="64BD1203" w14:textId="77777777" w:rsidR="00F976E8" w:rsidRPr="006C4477" w:rsidRDefault="005A3D7D" w:rsidP="00A0798C">
      <w:pPr>
        <w:pStyle w:val="Heading1"/>
        <w:spacing w:before="0" w:after="0" w:line="240" w:lineRule="auto"/>
        <w:rPr>
          <w:rFonts w:ascii="Times New Roman" w:hAnsi="Times New Roman" w:cs="Times New Roman"/>
          <w:sz w:val="22"/>
          <w:szCs w:val="22"/>
        </w:rPr>
      </w:pPr>
      <w:r w:rsidRPr="006C4477">
        <w:rPr>
          <w:rFonts w:ascii="Times New Roman" w:hAnsi="Times New Roman"/>
          <w:sz w:val="22"/>
        </w:rPr>
        <w:t>7.</w:t>
      </w:r>
      <w:r w:rsidRPr="006C4477">
        <w:rPr>
          <w:rFonts w:ascii="Times New Roman" w:hAnsi="Times New Roman"/>
          <w:sz w:val="22"/>
        </w:rPr>
        <w:tab/>
        <w:t>MARKETING AUTHORISATION HOLDER</w:t>
      </w:r>
    </w:p>
    <w:p w14:paraId="4468DF3F" w14:textId="77777777" w:rsidR="00F976E8" w:rsidRPr="006C4477" w:rsidRDefault="00F976E8" w:rsidP="000A093B">
      <w:pPr>
        <w:keepNext/>
        <w:spacing w:line="240" w:lineRule="auto"/>
      </w:pPr>
    </w:p>
    <w:p w14:paraId="0649573F" w14:textId="77777777" w:rsidR="007762E4" w:rsidRPr="00420287" w:rsidRDefault="005A3D7D" w:rsidP="000A093B">
      <w:pPr>
        <w:keepNext/>
        <w:rPr>
          <w:iCs/>
        </w:rPr>
      </w:pPr>
      <w:r w:rsidRPr="00420287">
        <w:rPr>
          <w:iCs/>
        </w:rPr>
        <w:t>Vertex Pharmaceuticals (Ireland) Limited</w:t>
      </w:r>
    </w:p>
    <w:p w14:paraId="46A4B9D1" w14:textId="77777777" w:rsidR="007762E4" w:rsidRPr="00420287" w:rsidRDefault="005A3D7D" w:rsidP="000A093B">
      <w:pPr>
        <w:keepNext/>
        <w:rPr>
          <w:iCs/>
        </w:rPr>
      </w:pPr>
      <w:r w:rsidRPr="00420287">
        <w:rPr>
          <w:iCs/>
        </w:rPr>
        <w:t>28-32 Pembroke Street Upper</w:t>
      </w:r>
    </w:p>
    <w:p w14:paraId="38796E07" w14:textId="77777777" w:rsidR="007762E4" w:rsidRPr="00420287" w:rsidRDefault="005A3D7D" w:rsidP="000A093B">
      <w:pPr>
        <w:keepNext/>
        <w:rPr>
          <w:iCs/>
        </w:rPr>
      </w:pPr>
      <w:r w:rsidRPr="00420287">
        <w:rPr>
          <w:iCs/>
        </w:rPr>
        <w:t>Dublin 2</w:t>
      </w:r>
      <w:r>
        <w:rPr>
          <w:iCs/>
        </w:rPr>
        <w:t xml:space="preserve">, </w:t>
      </w:r>
      <w:r w:rsidRPr="00420287">
        <w:rPr>
          <w:iCs/>
        </w:rPr>
        <w:t>D02 EK84</w:t>
      </w:r>
    </w:p>
    <w:p w14:paraId="257ED9FC" w14:textId="77777777" w:rsidR="007762E4" w:rsidRPr="00C7700B" w:rsidRDefault="005A3D7D" w:rsidP="000A093B">
      <w:pPr>
        <w:keepNext/>
        <w:spacing w:line="240" w:lineRule="auto"/>
      </w:pPr>
      <w:r w:rsidRPr="00420287">
        <w:rPr>
          <w:iCs/>
        </w:rPr>
        <w:t>Ireland</w:t>
      </w:r>
    </w:p>
    <w:p w14:paraId="0E7D716A" w14:textId="77777777" w:rsidR="00F976E8" w:rsidRPr="00C7700B" w:rsidRDefault="00F976E8" w:rsidP="000D02CF">
      <w:pPr>
        <w:spacing w:line="240" w:lineRule="auto"/>
      </w:pPr>
    </w:p>
    <w:p w14:paraId="7D74B351" w14:textId="77777777" w:rsidR="00F976E8" w:rsidRPr="00C7700B" w:rsidRDefault="00F976E8" w:rsidP="000D02CF">
      <w:pPr>
        <w:keepNext/>
        <w:spacing w:line="240" w:lineRule="auto"/>
      </w:pPr>
    </w:p>
    <w:p w14:paraId="01101308" w14:textId="77777777" w:rsidR="00F976E8" w:rsidRPr="006C4477" w:rsidRDefault="005A3D7D" w:rsidP="00A0798C">
      <w:pPr>
        <w:pStyle w:val="Heading1"/>
        <w:spacing w:before="0" w:after="0" w:line="240" w:lineRule="auto"/>
        <w:rPr>
          <w:rFonts w:ascii="Times New Roman" w:hAnsi="Times New Roman" w:cs="Times New Roman"/>
          <w:b w:val="0"/>
          <w:sz w:val="22"/>
          <w:szCs w:val="22"/>
        </w:rPr>
      </w:pPr>
      <w:r w:rsidRPr="006C4477">
        <w:rPr>
          <w:rFonts w:ascii="Times New Roman" w:hAnsi="Times New Roman"/>
          <w:sz w:val="22"/>
        </w:rPr>
        <w:t>8.</w:t>
      </w:r>
      <w:r w:rsidRPr="006C4477">
        <w:rPr>
          <w:rFonts w:ascii="Times New Roman" w:hAnsi="Times New Roman"/>
          <w:sz w:val="22"/>
        </w:rPr>
        <w:tab/>
        <w:t>MARKETING AUTHORISATION NUMBER(S)</w:t>
      </w:r>
    </w:p>
    <w:p w14:paraId="60B6BCE5" w14:textId="77777777" w:rsidR="00F976E8" w:rsidRPr="006C4477" w:rsidRDefault="00F976E8" w:rsidP="000A093B">
      <w:pPr>
        <w:keepNext/>
        <w:spacing w:line="240" w:lineRule="auto"/>
      </w:pPr>
    </w:p>
    <w:p w14:paraId="5D7996BA" w14:textId="77777777" w:rsidR="00F976E8" w:rsidRPr="00C7700B" w:rsidRDefault="005A3D7D" w:rsidP="000A093B">
      <w:pPr>
        <w:keepNext/>
        <w:suppressLineNumbers/>
        <w:spacing w:line="240" w:lineRule="auto"/>
      </w:pPr>
      <w:r w:rsidRPr="00C7700B">
        <w:t>EU/1/12/782/001</w:t>
      </w:r>
    </w:p>
    <w:p w14:paraId="1C983457" w14:textId="77777777" w:rsidR="0002697A" w:rsidRPr="00A808AC" w:rsidRDefault="005A3D7D" w:rsidP="000A093B">
      <w:pPr>
        <w:keepNext/>
        <w:suppressLineNumbers/>
        <w:spacing w:line="240" w:lineRule="auto"/>
      </w:pPr>
      <w:r w:rsidRPr="00A808AC">
        <w:t>EU/1/12/782/00</w:t>
      </w:r>
      <w:r>
        <w:t>2</w:t>
      </w:r>
    </w:p>
    <w:p w14:paraId="161CAE1F" w14:textId="77777777" w:rsidR="00F976E8" w:rsidRDefault="005A3D7D" w:rsidP="000A093B">
      <w:pPr>
        <w:keepNext/>
        <w:spacing w:line="240" w:lineRule="auto"/>
      </w:pPr>
      <w:r w:rsidRPr="00A808AC">
        <w:t>EU/1/12/782/00</w:t>
      </w:r>
      <w:r>
        <w:t>5</w:t>
      </w:r>
    </w:p>
    <w:p w14:paraId="65509DCC" w14:textId="77777777" w:rsidR="00DC31DA" w:rsidRPr="00A808AC" w:rsidRDefault="00DC31DA" w:rsidP="000D02CF">
      <w:pPr>
        <w:spacing w:line="240" w:lineRule="auto"/>
      </w:pPr>
    </w:p>
    <w:p w14:paraId="60C28056" w14:textId="77777777" w:rsidR="00F976E8" w:rsidRPr="00C7700B" w:rsidRDefault="00F976E8" w:rsidP="000D02CF">
      <w:pPr>
        <w:spacing w:line="240" w:lineRule="auto"/>
      </w:pPr>
    </w:p>
    <w:p w14:paraId="20C24C4B" w14:textId="77777777" w:rsidR="00F976E8" w:rsidRPr="006C4477" w:rsidRDefault="005A3D7D" w:rsidP="00A0798C">
      <w:pPr>
        <w:pStyle w:val="Heading1"/>
        <w:spacing w:before="0" w:after="0" w:line="240" w:lineRule="auto"/>
        <w:rPr>
          <w:rFonts w:ascii="Times New Roman" w:hAnsi="Times New Roman" w:cs="Times New Roman"/>
          <w:sz w:val="22"/>
          <w:szCs w:val="22"/>
        </w:rPr>
      </w:pPr>
      <w:r w:rsidRPr="006C4477">
        <w:rPr>
          <w:rFonts w:ascii="Times New Roman" w:hAnsi="Times New Roman"/>
          <w:sz w:val="22"/>
        </w:rPr>
        <w:t>9.</w:t>
      </w:r>
      <w:r w:rsidRPr="006C4477">
        <w:rPr>
          <w:rFonts w:ascii="Times New Roman" w:hAnsi="Times New Roman"/>
          <w:sz w:val="22"/>
        </w:rPr>
        <w:tab/>
        <w:t>DATE OF FIRST AUTHORISATION/RENEWAL OF THE AUTHORISATION</w:t>
      </w:r>
    </w:p>
    <w:p w14:paraId="58F5A60C" w14:textId="77777777" w:rsidR="00F976E8" w:rsidRPr="006C4477" w:rsidRDefault="00F976E8" w:rsidP="000A093B">
      <w:pPr>
        <w:keepNext/>
        <w:spacing w:line="240" w:lineRule="auto"/>
      </w:pPr>
    </w:p>
    <w:p w14:paraId="62EFFB2A" w14:textId="77777777" w:rsidR="00F976E8" w:rsidRPr="00C7700B" w:rsidRDefault="005A3D7D" w:rsidP="000A093B">
      <w:pPr>
        <w:keepNext/>
        <w:suppressLineNumbers/>
        <w:spacing w:line="240" w:lineRule="auto"/>
      </w:pPr>
      <w:r w:rsidRPr="00C7700B">
        <w:t>Date of first authorisation: 23 July 2012</w:t>
      </w:r>
    </w:p>
    <w:p w14:paraId="2B836E2C" w14:textId="77777777" w:rsidR="003A63B8" w:rsidRPr="00C7700B" w:rsidRDefault="005A3D7D" w:rsidP="000A093B">
      <w:pPr>
        <w:keepNext/>
        <w:suppressLineNumbers/>
        <w:spacing w:line="240" w:lineRule="auto"/>
      </w:pPr>
      <w:r w:rsidRPr="00C7700B">
        <w:t>Date of latest renewal:</w:t>
      </w:r>
      <w:r w:rsidR="00E3125F" w:rsidRPr="00C7700B">
        <w:t xml:space="preserve"> 28 April 2017</w:t>
      </w:r>
    </w:p>
    <w:p w14:paraId="6C2667BF" w14:textId="77777777" w:rsidR="00F976E8" w:rsidRPr="00C7700B" w:rsidRDefault="00F976E8" w:rsidP="000D02CF">
      <w:pPr>
        <w:spacing w:line="240" w:lineRule="auto"/>
        <w:rPr>
          <w:iCs/>
        </w:rPr>
      </w:pPr>
    </w:p>
    <w:p w14:paraId="1866FB75" w14:textId="77777777" w:rsidR="00F976E8" w:rsidRPr="00C7700B" w:rsidRDefault="00F976E8" w:rsidP="000D02CF">
      <w:pPr>
        <w:spacing w:line="240" w:lineRule="auto"/>
        <w:rPr>
          <w:iCs/>
        </w:rPr>
      </w:pPr>
    </w:p>
    <w:p w14:paraId="41C96EBA" w14:textId="77777777" w:rsidR="00F976E8" w:rsidRPr="006C4477" w:rsidRDefault="005A3D7D" w:rsidP="00A0798C">
      <w:pPr>
        <w:pStyle w:val="Heading1"/>
        <w:spacing w:before="0" w:after="0" w:line="240" w:lineRule="auto"/>
        <w:rPr>
          <w:rFonts w:ascii="Times New Roman" w:hAnsi="Times New Roman" w:cs="Times New Roman"/>
          <w:b w:val="0"/>
          <w:sz w:val="22"/>
          <w:szCs w:val="22"/>
        </w:rPr>
      </w:pPr>
      <w:r w:rsidRPr="006C4477">
        <w:rPr>
          <w:rFonts w:ascii="Times New Roman" w:hAnsi="Times New Roman"/>
          <w:sz w:val="22"/>
        </w:rPr>
        <w:t>10.</w:t>
      </w:r>
      <w:r w:rsidRPr="006C4477">
        <w:rPr>
          <w:rFonts w:ascii="Times New Roman" w:hAnsi="Times New Roman"/>
          <w:sz w:val="22"/>
        </w:rPr>
        <w:tab/>
        <w:t>DATE OF REVISION OF THE TEXT</w:t>
      </w:r>
    </w:p>
    <w:p w14:paraId="67A9AA63" w14:textId="77777777" w:rsidR="00C7700B" w:rsidRPr="006C4477" w:rsidRDefault="00C7700B" w:rsidP="000A093B">
      <w:pPr>
        <w:keepNext/>
        <w:spacing w:line="240" w:lineRule="auto"/>
      </w:pPr>
    </w:p>
    <w:p w14:paraId="72FA897A" w14:textId="77777777" w:rsidR="00F976E8" w:rsidRPr="00A808AC" w:rsidRDefault="005A3D7D" w:rsidP="000A093B">
      <w:pPr>
        <w:keepNext/>
        <w:spacing w:line="240" w:lineRule="auto"/>
      </w:pPr>
      <w:r w:rsidRPr="00A808AC">
        <w:t>Detailed information on this medicinal product is available o</w:t>
      </w:r>
      <w:r w:rsidRPr="00A808AC">
        <w:t xml:space="preserve">n the website of the European Medicines Agency </w:t>
      </w:r>
      <w:r w:rsidR="00772DD2" w:rsidRPr="00772DD2">
        <w:rPr>
          <w:u w:val="single"/>
        </w:rPr>
        <w:t>http://www.ema.europa.eu</w:t>
      </w:r>
      <w:r w:rsidRPr="00A808AC">
        <w:t>.</w:t>
      </w:r>
    </w:p>
    <w:p w14:paraId="107914A5" w14:textId="77777777" w:rsidR="00096B0E" w:rsidRPr="00A808AC" w:rsidRDefault="005A3D7D" w:rsidP="008F4AF3">
      <w:pPr>
        <w:suppressLineNumbers/>
        <w:spacing w:line="240" w:lineRule="auto"/>
      </w:pPr>
      <w:r w:rsidRPr="00A808AC">
        <w:rPr>
          <w:b/>
          <w:bCs/>
        </w:rPr>
        <w:br w:type="page"/>
      </w:r>
    </w:p>
    <w:p w14:paraId="1019B338" w14:textId="77777777" w:rsidR="00096B0E" w:rsidRPr="00A808AC" w:rsidRDefault="00096B0E" w:rsidP="009B0ED7">
      <w:pPr>
        <w:widowControl w:val="0"/>
        <w:suppressLineNumbers/>
        <w:spacing w:line="240" w:lineRule="auto"/>
      </w:pPr>
    </w:p>
    <w:p w14:paraId="44FD2470" w14:textId="77777777" w:rsidR="00096B0E" w:rsidRPr="00A808AC" w:rsidRDefault="005A3D7D" w:rsidP="000D02CF">
      <w:pPr>
        <w:widowControl w:val="0"/>
        <w:suppressLineNumbers/>
        <w:spacing w:line="240" w:lineRule="auto"/>
      </w:pPr>
      <w:r w:rsidRPr="008F4AF3">
        <w:rPr>
          <w:b/>
          <w:bCs/>
        </w:rPr>
        <w:t>1.</w:t>
      </w:r>
      <w:r w:rsidRPr="008F4AF3">
        <w:rPr>
          <w:b/>
          <w:bCs/>
        </w:rPr>
        <w:tab/>
        <w:t>NAME OF THE MEDICINAL PRODUCT</w:t>
      </w:r>
    </w:p>
    <w:p w14:paraId="3E6BC643" w14:textId="77777777" w:rsidR="00096B0E" w:rsidRPr="00A808AC" w:rsidRDefault="00096B0E" w:rsidP="000D02CF">
      <w:pPr>
        <w:suppressLineNumbers/>
        <w:spacing w:line="240" w:lineRule="auto"/>
      </w:pPr>
    </w:p>
    <w:p w14:paraId="47A1CF8E" w14:textId="77777777" w:rsidR="00C83CF5" w:rsidRDefault="005A3D7D" w:rsidP="00C83CF5">
      <w:pPr>
        <w:widowControl w:val="0"/>
        <w:spacing w:line="240" w:lineRule="auto"/>
      </w:pPr>
      <w:r>
        <w:t>Kalydeco 25 mg granules in sachet</w:t>
      </w:r>
    </w:p>
    <w:p w14:paraId="25A464E9" w14:textId="77777777" w:rsidR="00096B0E" w:rsidRPr="00A808AC" w:rsidRDefault="005A3D7D" w:rsidP="009B0ED7">
      <w:pPr>
        <w:widowControl w:val="0"/>
        <w:spacing w:line="240" w:lineRule="auto"/>
      </w:pPr>
      <w:r w:rsidRPr="00A808AC">
        <w:t>Kalydeco 50 mg granules in sachet</w:t>
      </w:r>
    </w:p>
    <w:p w14:paraId="2EC00ED2" w14:textId="77777777" w:rsidR="00096B0E" w:rsidRPr="00A808AC" w:rsidRDefault="005A3D7D" w:rsidP="009B0ED7">
      <w:pPr>
        <w:widowControl w:val="0"/>
        <w:spacing w:line="240" w:lineRule="auto"/>
      </w:pPr>
      <w:r w:rsidRPr="00A808AC">
        <w:t>Kalydeco 75 mg granules in sachet</w:t>
      </w:r>
    </w:p>
    <w:p w14:paraId="19054F68" w14:textId="77777777" w:rsidR="00096B0E" w:rsidRPr="00A808AC" w:rsidRDefault="00096B0E" w:rsidP="009B0ED7">
      <w:pPr>
        <w:widowControl w:val="0"/>
        <w:suppressLineNumbers/>
        <w:spacing w:line="240" w:lineRule="auto"/>
      </w:pPr>
    </w:p>
    <w:p w14:paraId="7BC3F656" w14:textId="77777777" w:rsidR="00096B0E" w:rsidRPr="00A808AC" w:rsidRDefault="00096B0E" w:rsidP="009B0ED7">
      <w:pPr>
        <w:widowControl w:val="0"/>
        <w:suppressLineNumbers/>
        <w:spacing w:line="240" w:lineRule="auto"/>
      </w:pPr>
    </w:p>
    <w:p w14:paraId="27CE2BDE" w14:textId="77777777" w:rsidR="00096B0E" w:rsidRPr="007B0741" w:rsidRDefault="005A3D7D" w:rsidP="000A093B">
      <w:pPr>
        <w:pStyle w:val="Heading1"/>
        <w:spacing w:before="0" w:after="0" w:line="240" w:lineRule="auto"/>
        <w:rPr>
          <w:sz w:val="22"/>
          <w:szCs w:val="22"/>
        </w:rPr>
      </w:pPr>
      <w:r w:rsidRPr="00C83CF5">
        <w:rPr>
          <w:rFonts w:ascii="Times New Roman" w:hAnsi="Times New Roman"/>
          <w:sz w:val="22"/>
          <w:szCs w:val="22"/>
        </w:rPr>
        <w:t>2.</w:t>
      </w:r>
      <w:r w:rsidRPr="00C83CF5">
        <w:rPr>
          <w:rFonts w:ascii="Times New Roman" w:hAnsi="Times New Roman"/>
          <w:sz w:val="22"/>
          <w:szCs w:val="22"/>
        </w:rPr>
        <w:tab/>
        <w:t xml:space="preserve">QUALITATIVE AND </w:t>
      </w:r>
      <w:r w:rsidRPr="00C83CF5">
        <w:rPr>
          <w:rFonts w:ascii="Times New Roman" w:hAnsi="Times New Roman"/>
          <w:sz w:val="22"/>
          <w:szCs w:val="22"/>
        </w:rPr>
        <w:t>QUANTITATIVE COMPOSITION</w:t>
      </w:r>
    </w:p>
    <w:p w14:paraId="2B75A969" w14:textId="77777777" w:rsidR="00096B0E" w:rsidRPr="00A808AC" w:rsidRDefault="00096B0E" w:rsidP="000A093B">
      <w:pPr>
        <w:keepNext/>
        <w:suppressLineNumbers/>
        <w:spacing w:line="240" w:lineRule="auto"/>
      </w:pPr>
    </w:p>
    <w:p w14:paraId="5BF0D8BD" w14:textId="77777777" w:rsidR="001A08E5" w:rsidRDefault="005A3D7D" w:rsidP="000A093B">
      <w:pPr>
        <w:keepNext/>
        <w:widowControl w:val="0"/>
        <w:spacing w:line="240" w:lineRule="auto"/>
        <w:rPr>
          <w:u w:val="single"/>
        </w:rPr>
      </w:pPr>
      <w:r>
        <w:rPr>
          <w:u w:val="single"/>
        </w:rPr>
        <w:t>Kalydeco 25</w:t>
      </w:r>
      <w:r w:rsidRPr="00A808AC">
        <w:rPr>
          <w:u w:val="single"/>
        </w:rPr>
        <w:t> mg granules in sachet</w:t>
      </w:r>
    </w:p>
    <w:p w14:paraId="41B7C252" w14:textId="77777777" w:rsidR="00B309E2" w:rsidRPr="00A808AC" w:rsidRDefault="00B309E2" w:rsidP="000A093B">
      <w:pPr>
        <w:keepNext/>
        <w:widowControl w:val="0"/>
        <w:spacing w:line="240" w:lineRule="auto"/>
      </w:pPr>
    </w:p>
    <w:p w14:paraId="41A6A0B3" w14:textId="77777777" w:rsidR="001A08E5" w:rsidRDefault="005A3D7D" w:rsidP="000A093B">
      <w:pPr>
        <w:keepNext/>
        <w:widowControl w:val="0"/>
        <w:spacing w:line="240" w:lineRule="auto"/>
      </w:pPr>
      <w:r>
        <w:t>Each sachet contains 25</w:t>
      </w:r>
      <w:r w:rsidRPr="00A808AC">
        <w:t> mg of ivacaftor.</w:t>
      </w:r>
    </w:p>
    <w:p w14:paraId="306FD5DC" w14:textId="77777777" w:rsidR="001A08E5" w:rsidRDefault="001A08E5" w:rsidP="000A093B">
      <w:pPr>
        <w:keepNext/>
        <w:widowControl w:val="0"/>
        <w:spacing w:line="240" w:lineRule="auto"/>
      </w:pPr>
    </w:p>
    <w:p w14:paraId="4D6C22CD" w14:textId="77777777" w:rsidR="001A08E5" w:rsidRDefault="005A3D7D" w:rsidP="000A093B">
      <w:pPr>
        <w:keepNext/>
        <w:widowControl w:val="0"/>
        <w:spacing w:line="240" w:lineRule="auto"/>
        <w:rPr>
          <w:i/>
        </w:rPr>
      </w:pPr>
      <w:r w:rsidRPr="008B6996">
        <w:rPr>
          <w:i/>
        </w:rPr>
        <w:t>Excipient with known effect</w:t>
      </w:r>
    </w:p>
    <w:p w14:paraId="487FF00F" w14:textId="77777777" w:rsidR="00C8786C" w:rsidRPr="000A093B" w:rsidRDefault="00C8786C" w:rsidP="000A093B">
      <w:pPr>
        <w:keepNext/>
        <w:widowControl w:val="0"/>
        <w:spacing w:line="240" w:lineRule="auto"/>
        <w:rPr>
          <w:i/>
        </w:rPr>
      </w:pPr>
    </w:p>
    <w:p w14:paraId="6F294444" w14:textId="1EF802C4" w:rsidR="001A08E5" w:rsidRPr="00A808AC" w:rsidRDefault="005A3D7D" w:rsidP="000A093B">
      <w:pPr>
        <w:keepNext/>
        <w:widowControl w:val="0"/>
        <w:spacing w:line="240" w:lineRule="auto"/>
      </w:pPr>
      <w:r>
        <w:t>Each sachet contains 36.6</w:t>
      </w:r>
      <w:r w:rsidRPr="00A808AC">
        <w:t> mg of lactose monohydrate</w:t>
      </w:r>
      <w:r w:rsidR="00C8786C">
        <w:t>.</w:t>
      </w:r>
    </w:p>
    <w:p w14:paraId="1D2CD639" w14:textId="77777777" w:rsidR="001A08E5" w:rsidRDefault="001A08E5" w:rsidP="000A093B">
      <w:pPr>
        <w:keepNext/>
        <w:widowControl w:val="0"/>
        <w:spacing w:line="240" w:lineRule="auto"/>
        <w:rPr>
          <w:u w:val="single"/>
        </w:rPr>
      </w:pPr>
    </w:p>
    <w:p w14:paraId="5C230360" w14:textId="77777777" w:rsidR="00B309E2" w:rsidRDefault="005A3D7D" w:rsidP="000A093B">
      <w:pPr>
        <w:keepNext/>
        <w:widowControl w:val="0"/>
        <w:spacing w:line="240" w:lineRule="auto"/>
        <w:rPr>
          <w:u w:val="single"/>
        </w:rPr>
      </w:pPr>
      <w:r w:rsidRPr="00A808AC">
        <w:rPr>
          <w:u w:val="single"/>
        </w:rPr>
        <w:t>Kalydeco 50</w:t>
      </w:r>
      <w:r w:rsidR="008540CC" w:rsidRPr="00A808AC">
        <w:rPr>
          <w:u w:val="single"/>
        </w:rPr>
        <w:t> </w:t>
      </w:r>
      <w:r w:rsidRPr="00A808AC">
        <w:rPr>
          <w:u w:val="single"/>
        </w:rPr>
        <w:t>mg granules in sachet</w:t>
      </w:r>
    </w:p>
    <w:p w14:paraId="46455C55" w14:textId="77777777" w:rsidR="00B309E2" w:rsidRPr="006C4477" w:rsidRDefault="00B309E2" w:rsidP="000A093B">
      <w:pPr>
        <w:keepNext/>
        <w:widowControl w:val="0"/>
        <w:spacing w:line="240" w:lineRule="auto"/>
      </w:pPr>
    </w:p>
    <w:p w14:paraId="6DF3F647" w14:textId="77777777" w:rsidR="00096B0E" w:rsidRPr="00A808AC" w:rsidRDefault="005A3D7D" w:rsidP="000A093B">
      <w:pPr>
        <w:keepNext/>
        <w:widowControl w:val="0"/>
        <w:spacing w:line="240" w:lineRule="auto"/>
      </w:pPr>
      <w:r w:rsidRPr="00A808AC">
        <w:t>Each sachet contains 50 mg of ivaca</w:t>
      </w:r>
      <w:r w:rsidRPr="00A808AC">
        <w:t>ftor.</w:t>
      </w:r>
    </w:p>
    <w:p w14:paraId="433BF3FC" w14:textId="77777777" w:rsidR="00096B0E" w:rsidRPr="00A808AC" w:rsidRDefault="00096B0E" w:rsidP="000A093B">
      <w:pPr>
        <w:keepNext/>
        <w:widowControl w:val="0"/>
        <w:spacing w:line="240" w:lineRule="auto"/>
        <w:rPr>
          <w:u w:val="single"/>
        </w:rPr>
      </w:pPr>
    </w:p>
    <w:p w14:paraId="6E0BDD7D" w14:textId="77777777" w:rsidR="00096B0E" w:rsidRDefault="005A3D7D" w:rsidP="000A093B">
      <w:pPr>
        <w:keepNext/>
        <w:widowControl w:val="0"/>
        <w:spacing w:line="240" w:lineRule="auto"/>
        <w:rPr>
          <w:i/>
        </w:rPr>
      </w:pPr>
      <w:r w:rsidRPr="007B0741">
        <w:rPr>
          <w:i/>
        </w:rPr>
        <w:t>Excipient with known effect</w:t>
      </w:r>
    </w:p>
    <w:p w14:paraId="583D0789" w14:textId="77777777" w:rsidR="00C8786C" w:rsidRPr="000A093B" w:rsidRDefault="00C8786C" w:rsidP="000A093B">
      <w:pPr>
        <w:keepNext/>
        <w:widowControl w:val="0"/>
        <w:spacing w:line="240" w:lineRule="auto"/>
        <w:rPr>
          <w:i/>
        </w:rPr>
      </w:pPr>
    </w:p>
    <w:p w14:paraId="3856E7D0" w14:textId="206BBF97" w:rsidR="00096B0E" w:rsidRPr="00A808AC" w:rsidRDefault="005A3D7D" w:rsidP="000A093B">
      <w:pPr>
        <w:keepNext/>
        <w:widowControl w:val="0"/>
        <w:spacing w:line="240" w:lineRule="auto"/>
      </w:pPr>
      <w:r w:rsidRPr="00A808AC">
        <w:t>Each sachet contains 73.2 mg of lactose monohydrate</w:t>
      </w:r>
      <w:r w:rsidR="00C8786C">
        <w:t>.</w:t>
      </w:r>
    </w:p>
    <w:p w14:paraId="7907F69E" w14:textId="77777777" w:rsidR="00096B0E" w:rsidRPr="00A808AC" w:rsidRDefault="00096B0E" w:rsidP="000A093B">
      <w:pPr>
        <w:keepNext/>
        <w:widowControl w:val="0"/>
        <w:spacing w:line="240" w:lineRule="auto"/>
      </w:pPr>
    </w:p>
    <w:p w14:paraId="418D065B" w14:textId="77777777" w:rsidR="00096B0E" w:rsidRDefault="005A3D7D" w:rsidP="000A093B">
      <w:pPr>
        <w:keepNext/>
        <w:widowControl w:val="0"/>
        <w:spacing w:line="240" w:lineRule="auto"/>
        <w:rPr>
          <w:u w:val="single"/>
        </w:rPr>
      </w:pPr>
      <w:r w:rsidRPr="00A808AC">
        <w:rPr>
          <w:u w:val="single"/>
        </w:rPr>
        <w:t>Kalydeco 75</w:t>
      </w:r>
      <w:r w:rsidR="008540CC" w:rsidRPr="00A808AC">
        <w:rPr>
          <w:u w:val="single"/>
        </w:rPr>
        <w:t> </w:t>
      </w:r>
      <w:r w:rsidRPr="00A808AC">
        <w:rPr>
          <w:u w:val="single"/>
        </w:rPr>
        <w:t>mg granules in sachet</w:t>
      </w:r>
    </w:p>
    <w:p w14:paraId="5A39ADBE" w14:textId="77777777" w:rsidR="00B309E2" w:rsidRPr="00A808AC" w:rsidRDefault="00B309E2" w:rsidP="000A093B">
      <w:pPr>
        <w:keepNext/>
        <w:widowControl w:val="0"/>
        <w:spacing w:line="240" w:lineRule="auto"/>
        <w:rPr>
          <w:u w:val="single"/>
        </w:rPr>
      </w:pPr>
    </w:p>
    <w:p w14:paraId="71CB464F" w14:textId="77777777" w:rsidR="00096B0E" w:rsidRPr="00A808AC" w:rsidRDefault="005A3D7D" w:rsidP="000A093B">
      <w:pPr>
        <w:keepNext/>
        <w:widowControl w:val="0"/>
        <w:spacing w:line="240" w:lineRule="auto"/>
      </w:pPr>
      <w:r w:rsidRPr="00A808AC">
        <w:t>Each sachet contains 75 mg of ivacaftor.</w:t>
      </w:r>
    </w:p>
    <w:p w14:paraId="1E55414F" w14:textId="77777777" w:rsidR="00096B0E" w:rsidRPr="00A808AC" w:rsidRDefault="00096B0E" w:rsidP="000A093B">
      <w:pPr>
        <w:keepNext/>
        <w:widowControl w:val="0"/>
        <w:spacing w:line="240" w:lineRule="auto"/>
        <w:rPr>
          <w:u w:val="single"/>
        </w:rPr>
      </w:pPr>
    </w:p>
    <w:p w14:paraId="47B729DF" w14:textId="77777777" w:rsidR="00096B0E" w:rsidRDefault="005A3D7D" w:rsidP="000A093B">
      <w:pPr>
        <w:keepNext/>
        <w:widowControl w:val="0"/>
        <w:spacing w:line="240" w:lineRule="auto"/>
        <w:rPr>
          <w:i/>
        </w:rPr>
      </w:pPr>
      <w:r w:rsidRPr="007B0741">
        <w:rPr>
          <w:i/>
        </w:rPr>
        <w:t>Excipient with known effect</w:t>
      </w:r>
    </w:p>
    <w:p w14:paraId="58CE365D" w14:textId="77777777" w:rsidR="00C8786C" w:rsidRPr="000A093B" w:rsidRDefault="00C8786C" w:rsidP="000A093B">
      <w:pPr>
        <w:keepNext/>
        <w:widowControl w:val="0"/>
        <w:spacing w:line="240" w:lineRule="auto"/>
        <w:rPr>
          <w:i/>
        </w:rPr>
      </w:pPr>
    </w:p>
    <w:p w14:paraId="7A086C44" w14:textId="3C444D07" w:rsidR="00096B0E" w:rsidRPr="00A808AC" w:rsidRDefault="005A3D7D" w:rsidP="000A093B">
      <w:pPr>
        <w:keepNext/>
        <w:widowControl w:val="0"/>
        <w:spacing w:line="240" w:lineRule="auto"/>
      </w:pPr>
      <w:r w:rsidRPr="00A808AC">
        <w:t xml:space="preserve">Each sachet contains 109.8 mg of lactose </w:t>
      </w:r>
      <w:r w:rsidRPr="00A808AC">
        <w:t>monohydrate</w:t>
      </w:r>
      <w:r w:rsidR="00C8786C">
        <w:t>.</w:t>
      </w:r>
    </w:p>
    <w:p w14:paraId="302E6EC8" w14:textId="77777777" w:rsidR="00096B0E" w:rsidRPr="00A808AC" w:rsidRDefault="00096B0E" w:rsidP="000A093B">
      <w:pPr>
        <w:keepNext/>
        <w:widowControl w:val="0"/>
        <w:spacing w:line="240" w:lineRule="auto"/>
      </w:pPr>
    </w:p>
    <w:p w14:paraId="005CAEB9" w14:textId="77777777" w:rsidR="00096B0E" w:rsidRPr="00A808AC" w:rsidRDefault="005A3D7D" w:rsidP="000A093B">
      <w:pPr>
        <w:keepNext/>
        <w:widowControl w:val="0"/>
        <w:spacing w:line="240" w:lineRule="auto"/>
      </w:pPr>
      <w:r w:rsidRPr="00A808AC">
        <w:t>For the full list of excipients, see section 6.1.</w:t>
      </w:r>
    </w:p>
    <w:p w14:paraId="7EA7AE4B" w14:textId="77777777" w:rsidR="00096B0E" w:rsidRPr="00A808AC" w:rsidRDefault="00096B0E" w:rsidP="006C4477">
      <w:pPr>
        <w:widowControl w:val="0"/>
        <w:suppressLineNumbers/>
        <w:spacing w:line="240" w:lineRule="auto"/>
      </w:pPr>
    </w:p>
    <w:p w14:paraId="01D67135" w14:textId="77777777" w:rsidR="00096B0E" w:rsidRPr="00A808AC" w:rsidRDefault="00096B0E" w:rsidP="006C4477">
      <w:pPr>
        <w:widowControl w:val="0"/>
        <w:suppressLineNumbers/>
        <w:spacing w:line="240" w:lineRule="auto"/>
      </w:pPr>
    </w:p>
    <w:p w14:paraId="1AC1A6CB" w14:textId="77777777" w:rsidR="00096B0E" w:rsidRPr="007B0741" w:rsidRDefault="005A3D7D" w:rsidP="000A093B">
      <w:pPr>
        <w:pStyle w:val="Heading1"/>
        <w:widowControl w:val="0"/>
        <w:spacing w:before="0" w:after="0" w:line="240" w:lineRule="auto"/>
        <w:rPr>
          <w:caps/>
          <w:sz w:val="22"/>
          <w:szCs w:val="22"/>
        </w:rPr>
      </w:pPr>
      <w:r w:rsidRPr="00C83CF5">
        <w:rPr>
          <w:rFonts w:ascii="Times New Roman" w:hAnsi="Times New Roman"/>
          <w:sz w:val="22"/>
          <w:szCs w:val="22"/>
        </w:rPr>
        <w:t>3.</w:t>
      </w:r>
      <w:r w:rsidRPr="00C83CF5">
        <w:rPr>
          <w:rFonts w:ascii="Times New Roman" w:hAnsi="Times New Roman"/>
          <w:sz w:val="22"/>
          <w:szCs w:val="22"/>
        </w:rPr>
        <w:tab/>
        <w:t>PHARMACEUTICAL FORM</w:t>
      </w:r>
    </w:p>
    <w:p w14:paraId="1228777E" w14:textId="77777777" w:rsidR="00096B0E" w:rsidRPr="00A808AC" w:rsidRDefault="00096B0E" w:rsidP="000A093B">
      <w:pPr>
        <w:keepNext/>
        <w:widowControl w:val="0"/>
        <w:suppressLineNumbers/>
        <w:tabs>
          <w:tab w:val="clear" w:pos="567"/>
          <w:tab w:val="left" w:pos="5388"/>
        </w:tabs>
        <w:autoSpaceDE w:val="0"/>
        <w:autoSpaceDN w:val="0"/>
        <w:adjustRightInd w:val="0"/>
        <w:spacing w:line="240" w:lineRule="auto"/>
        <w:jc w:val="both"/>
      </w:pPr>
    </w:p>
    <w:p w14:paraId="357CDAAA" w14:textId="77777777" w:rsidR="00096B0E" w:rsidRPr="00A808AC" w:rsidRDefault="005A3D7D" w:rsidP="000A093B">
      <w:pPr>
        <w:keepNext/>
        <w:widowControl w:val="0"/>
        <w:tabs>
          <w:tab w:val="left" w:pos="2070"/>
        </w:tabs>
        <w:autoSpaceDE w:val="0"/>
        <w:autoSpaceDN w:val="0"/>
        <w:adjustRightInd w:val="0"/>
        <w:spacing w:line="240" w:lineRule="auto"/>
        <w:jc w:val="both"/>
      </w:pPr>
      <w:r w:rsidRPr="00A808AC">
        <w:t>Granule</w:t>
      </w:r>
      <w:r w:rsidR="003A63B8" w:rsidRPr="00A808AC">
        <w:t>s</w:t>
      </w:r>
      <w:r w:rsidRPr="00A808AC">
        <w:t xml:space="preserve"> in sachet</w:t>
      </w:r>
    </w:p>
    <w:p w14:paraId="11DD86F3" w14:textId="77777777" w:rsidR="00096B0E" w:rsidRPr="00A808AC" w:rsidRDefault="00096B0E" w:rsidP="006C4477">
      <w:pPr>
        <w:widowControl w:val="0"/>
        <w:spacing w:line="240" w:lineRule="auto"/>
      </w:pPr>
    </w:p>
    <w:p w14:paraId="7A8ECDEC" w14:textId="77777777" w:rsidR="00096B0E" w:rsidRPr="00A808AC" w:rsidRDefault="005A3D7D" w:rsidP="006C4477">
      <w:pPr>
        <w:widowControl w:val="0"/>
        <w:spacing w:line="240" w:lineRule="auto"/>
        <w:rPr>
          <w:sz w:val="24"/>
          <w:szCs w:val="24"/>
        </w:rPr>
      </w:pPr>
      <w:r w:rsidRPr="00A808AC">
        <w:t>White to off</w:t>
      </w:r>
      <w:r w:rsidR="008540CC" w:rsidRPr="00A808AC">
        <w:noBreakHyphen/>
      </w:r>
      <w:r w:rsidRPr="00A808AC">
        <w:t>white granules approximately 2 mm in diameter.</w:t>
      </w:r>
    </w:p>
    <w:p w14:paraId="537ED909" w14:textId="77777777" w:rsidR="00096B0E" w:rsidRPr="00A808AC" w:rsidRDefault="00096B0E" w:rsidP="006C4477">
      <w:pPr>
        <w:widowControl w:val="0"/>
        <w:suppressLineNumbers/>
        <w:spacing w:line="240" w:lineRule="auto"/>
        <w:rPr>
          <w:sz w:val="20"/>
        </w:rPr>
      </w:pPr>
    </w:p>
    <w:p w14:paraId="44590350" w14:textId="77777777" w:rsidR="00096B0E" w:rsidRPr="00A808AC" w:rsidRDefault="00096B0E" w:rsidP="006C4477">
      <w:pPr>
        <w:widowControl w:val="0"/>
        <w:suppressLineNumbers/>
        <w:spacing w:line="240" w:lineRule="auto"/>
        <w:rPr>
          <w:sz w:val="20"/>
        </w:rPr>
      </w:pPr>
    </w:p>
    <w:p w14:paraId="25E0F41F" w14:textId="77777777" w:rsidR="00096B0E" w:rsidRPr="007B0741" w:rsidRDefault="005A3D7D" w:rsidP="000A093B">
      <w:pPr>
        <w:pStyle w:val="Heading1"/>
        <w:widowControl w:val="0"/>
        <w:spacing w:before="0" w:after="0" w:line="240" w:lineRule="auto"/>
        <w:rPr>
          <w:caps/>
          <w:sz w:val="22"/>
          <w:szCs w:val="22"/>
        </w:rPr>
      </w:pPr>
      <w:r w:rsidRPr="00C83CF5">
        <w:rPr>
          <w:rFonts w:ascii="Times New Roman" w:hAnsi="Times New Roman"/>
          <w:caps/>
          <w:sz w:val="22"/>
          <w:szCs w:val="22"/>
        </w:rPr>
        <w:t>4.</w:t>
      </w:r>
      <w:r w:rsidRPr="00C83CF5">
        <w:rPr>
          <w:rFonts w:ascii="Times New Roman" w:hAnsi="Times New Roman"/>
          <w:caps/>
          <w:sz w:val="22"/>
          <w:szCs w:val="22"/>
        </w:rPr>
        <w:tab/>
      </w:r>
      <w:r w:rsidRPr="00C83CF5">
        <w:rPr>
          <w:rFonts w:ascii="Times New Roman" w:hAnsi="Times New Roman"/>
          <w:sz w:val="22"/>
          <w:szCs w:val="22"/>
        </w:rPr>
        <w:t>CLINICAL PARTICULARS</w:t>
      </w:r>
    </w:p>
    <w:p w14:paraId="42021DDB" w14:textId="77777777" w:rsidR="00096B0E" w:rsidRPr="00A808AC" w:rsidRDefault="00096B0E" w:rsidP="000A093B">
      <w:pPr>
        <w:keepNext/>
        <w:widowControl w:val="0"/>
        <w:suppressLineNumbers/>
        <w:spacing w:line="240" w:lineRule="auto"/>
      </w:pPr>
    </w:p>
    <w:p w14:paraId="6640372B" w14:textId="77777777" w:rsidR="00096B0E" w:rsidRPr="00A808AC" w:rsidRDefault="005A3D7D" w:rsidP="000A093B">
      <w:pPr>
        <w:keepNext/>
        <w:widowControl w:val="0"/>
        <w:suppressLineNumbers/>
        <w:spacing w:line="240" w:lineRule="auto"/>
        <w:ind w:left="567" w:hanging="567"/>
        <w:outlineLvl w:val="1"/>
      </w:pPr>
      <w:r w:rsidRPr="00A808AC">
        <w:rPr>
          <w:b/>
          <w:bCs/>
        </w:rPr>
        <w:t>4.1</w:t>
      </w:r>
      <w:r w:rsidRPr="00A808AC">
        <w:rPr>
          <w:b/>
          <w:bCs/>
        </w:rPr>
        <w:tab/>
        <w:t>Therapeutic indications</w:t>
      </w:r>
    </w:p>
    <w:p w14:paraId="489159F1" w14:textId="77777777" w:rsidR="00096B0E" w:rsidRPr="00A808AC" w:rsidRDefault="00096B0E" w:rsidP="000A093B">
      <w:pPr>
        <w:keepNext/>
        <w:widowControl w:val="0"/>
      </w:pPr>
    </w:p>
    <w:p w14:paraId="0B344CEB" w14:textId="73F17D44" w:rsidR="00096B0E" w:rsidRPr="00A808AC" w:rsidRDefault="005A3D7D" w:rsidP="000A093B">
      <w:pPr>
        <w:pStyle w:val="labeltext"/>
        <w:keepNext/>
        <w:widowControl w:val="0"/>
        <w:rPr>
          <w:sz w:val="22"/>
          <w:szCs w:val="22"/>
        </w:rPr>
      </w:pPr>
      <w:r w:rsidRPr="00A808AC">
        <w:rPr>
          <w:sz w:val="22"/>
          <w:szCs w:val="22"/>
        </w:rPr>
        <w:t xml:space="preserve">Kalydeco granules are indicated for the treatment of </w:t>
      </w:r>
      <w:r w:rsidR="009F12A7">
        <w:rPr>
          <w:sz w:val="22"/>
          <w:szCs w:val="22"/>
        </w:rPr>
        <w:t xml:space="preserve">infants aged at least </w:t>
      </w:r>
      <w:r w:rsidR="004F0618">
        <w:rPr>
          <w:sz w:val="22"/>
          <w:szCs w:val="22"/>
        </w:rPr>
        <w:t>4</w:t>
      </w:r>
      <w:r w:rsidR="00075D87">
        <w:rPr>
          <w:sz w:val="22"/>
          <w:szCs w:val="22"/>
        </w:rPr>
        <w:t> </w:t>
      </w:r>
      <w:r w:rsidR="009F12A7">
        <w:rPr>
          <w:sz w:val="22"/>
          <w:szCs w:val="22"/>
        </w:rPr>
        <w:t xml:space="preserve">months, toddlers and </w:t>
      </w:r>
      <w:r w:rsidRPr="00A808AC">
        <w:rPr>
          <w:sz w:val="22"/>
          <w:szCs w:val="22"/>
        </w:rPr>
        <w:t xml:space="preserve">children weighing </w:t>
      </w:r>
      <w:r w:rsidR="008E41EB">
        <w:rPr>
          <w:sz w:val="22"/>
          <w:szCs w:val="22"/>
        </w:rPr>
        <w:t>5</w:t>
      </w:r>
      <w:r w:rsidR="00BA6A21">
        <w:rPr>
          <w:sz w:val="22"/>
          <w:szCs w:val="22"/>
        </w:rPr>
        <w:t xml:space="preserve"> kg to </w:t>
      </w:r>
      <w:r w:rsidRPr="00A808AC">
        <w:rPr>
          <w:sz w:val="22"/>
          <w:szCs w:val="22"/>
        </w:rPr>
        <w:t>less than 25</w:t>
      </w:r>
      <w:r w:rsidR="008540CC" w:rsidRPr="00A808AC">
        <w:rPr>
          <w:sz w:val="22"/>
          <w:szCs w:val="22"/>
        </w:rPr>
        <w:t> </w:t>
      </w:r>
      <w:r w:rsidRPr="00A808AC">
        <w:rPr>
          <w:sz w:val="22"/>
          <w:szCs w:val="22"/>
        </w:rPr>
        <w:t>kg</w:t>
      </w:r>
      <w:r w:rsidR="00B3518A">
        <w:rPr>
          <w:sz w:val="22"/>
          <w:szCs w:val="22"/>
        </w:rPr>
        <w:t xml:space="preserve"> with cystic fibrosis (CF)</w:t>
      </w:r>
      <w:r w:rsidRPr="00A808AC">
        <w:rPr>
          <w:sz w:val="22"/>
          <w:szCs w:val="22"/>
        </w:rPr>
        <w:t xml:space="preserve"> who have </w:t>
      </w:r>
      <w:r w:rsidR="007E4B80">
        <w:rPr>
          <w:sz w:val="22"/>
          <w:szCs w:val="22"/>
        </w:rPr>
        <w:t xml:space="preserve">an </w:t>
      </w:r>
      <w:r w:rsidR="007E4B80" w:rsidRPr="007E4B80">
        <w:rPr>
          <w:i/>
          <w:iCs/>
          <w:sz w:val="22"/>
          <w:szCs w:val="22"/>
        </w:rPr>
        <w:t>R117H CFTR</w:t>
      </w:r>
      <w:r w:rsidR="007E4B80">
        <w:rPr>
          <w:sz w:val="22"/>
          <w:szCs w:val="22"/>
        </w:rPr>
        <w:t xml:space="preserve"> mutation or </w:t>
      </w:r>
      <w:r w:rsidRPr="00A808AC">
        <w:rPr>
          <w:sz w:val="22"/>
          <w:szCs w:val="22"/>
        </w:rPr>
        <w:t xml:space="preserve">one of the following gating (class III) mutations in the </w:t>
      </w:r>
      <w:r w:rsidRPr="00A808AC">
        <w:rPr>
          <w:i/>
          <w:iCs/>
          <w:sz w:val="22"/>
          <w:szCs w:val="22"/>
        </w:rPr>
        <w:t>CFTR</w:t>
      </w:r>
      <w:r w:rsidRPr="00A808AC">
        <w:rPr>
          <w:sz w:val="22"/>
          <w:szCs w:val="22"/>
        </w:rPr>
        <w:t xml:space="preserve"> gene: </w:t>
      </w:r>
      <w:r w:rsidRPr="00A808AC">
        <w:rPr>
          <w:i/>
          <w:sz w:val="22"/>
          <w:szCs w:val="22"/>
        </w:rPr>
        <w:t xml:space="preserve">G551D, G1244E, G1349D, G178R, G551S, S1251N, S1255P, S549N </w:t>
      </w:r>
      <w:r w:rsidRPr="00A808AC">
        <w:rPr>
          <w:iCs/>
          <w:sz w:val="22"/>
          <w:szCs w:val="22"/>
        </w:rPr>
        <w:t>or</w:t>
      </w:r>
      <w:r w:rsidRPr="00A808AC">
        <w:rPr>
          <w:i/>
          <w:sz w:val="22"/>
          <w:szCs w:val="22"/>
        </w:rPr>
        <w:t xml:space="preserve"> S549R</w:t>
      </w:r>
      <w:r w:rsidRPr="00A808AC">
        <w:rPr>
          <w:sz w:val="22"/>
          <w:szCs w:val="22"/>
        </w:rPr>
        <w:t xml:space="preserve"> (see sections 4.4 and 5.1).</w:t>
      </w:r>
    </w:p>
    <w:p w14:paraId="70778918" w14:textId="77777777" w:rsidR="00096B0E" w:rsidRPr="006C4477" w:rsidRDefault="00096B0E" w:rsidP="006C4477">
      <w:pPr>
        <w:widowControl w:val="0"/>
      </w:pPr>
    </w:p>
    <w:p w14:paraId="34D340A0" w14:textId="77777777" w:rsidR="00096B0E" w:rsidRPr="006F0464" w:rsidRDefault="005A3D7D" w:rsidP="006C4477">
      <w:pPr>
        <w:widowControl w:val="0"/>
        <w:suppressLineNumbers/>
        <w:spacing w:line="240" w:lineRule="auto"/>
        <w:outlineLvl w:val="1"/>
        <w:rPr>
          <w:b/>
          <w:bCs/>
        </w:rPr>
      </w:pPr>
      <w:r w:rsidRPr="006F0464">
        <w:rPr>
          <w:b/>
          <w:bCs/>
        </w:rPr>
        <w:t>4.2</w:t>
      </w:r>
      <w:r w:rsidRPr="006F0464">
        <w:rPr>
          <w:b/>
          <w:bCs/>
        </w:rPr>
        <w:tab/>
        <w:t>Posology and method of administration</w:t>
      </w:r>
    </w:p>
    <w:p w14:paraId="27630AF9" w14:textId="77777777" w:rsidR="00096B0E" w:rsidRPr="006F0464" w:rsidRDefault="00096B0E" w:rsidP="006C4477">
      <w:pPr>
        <w:widowControl w:val="0"/>
        <w:suppressLineNumbers/>
        <w:spacing w:line="240" w:lineRule="auto"/>
        <w:rPr>
          <w:bCs/>
          <w:iCs/>
        </w:rPr>
      </w:pPr>
    </w:p>
    <w:p w14:paraId="1DA8CBED" w14:textId="2F21D728" w:rsidR="00643069" w:rsidRPr="006F0464" w:rsidRDefault="005A3D7D" w:rsidP="000A093B">
      <w:pPr>
        <w:widowControl w:val="0"/>
        <w:suppressLineNumbers/>
        <w:spacing w:line="240" w:lineRule="auto"/>
      </w:pPr>
      <w:r w:rsidRPr="006F0464">
        <w:t>Kalydeco should only be prescribed by physicians</w:t>
      </w:r>
      <w:r w:rsidRPr="006F0464">
        <w:t xml:space="preserve"> with experience in the treatment of cystic fibrosis. </w:t>
      </w:r>
      <w:r w:rsidRPr="00A13C4D">
        <w:rPr>
          <w:rFonts w:eastAsia="MS Mincho"/>
          <w:lang w:val="en-US" w:eastAsia="ja-JP"/>
        </w:rPr>
        <w:t xml:space="preserve">If the patient's genotype is unknown, an </w:t>
      </w:r>
      <w:r w:rsidRPr="00A13C4D">
        <w:t xml:space="preserve">accurate and validated genotyping method should be performed </w:t>
      </w:r>
      <w:r w:rsidR="003A63B8" w:rsidRPr="00D3392A">
        <w:t xml:space="preserve">before starting treatment </w:t>
      </w:r>
      <w:r w:rsidRPr="00D3392A">
        <w:t xml:space="preserve">to confirm the presence of </w:t>
      </w:r>
      <w:r w:rsidR="00D33E01" w:rsidRPr="00D3392A">
        <w:t>an indicated</w:t>
      </w:r>
      <w:r w:rsidRPr="00D3392A">
        <w:t xml:space="preserve"> mutation in at least one allele of the </w:t>
      </w:r>
      <w:r w:rsidRPr="00D3392A">
        <w:rPr>
          <w:i/>
        </w:rPr>
        <w:t>CFTR</w:t>
      </w:r>
      <w:r w:rsidRPr="00D3392A">
        <w:t xml:space="preserve"> gene</w:t>
      </w:r>
      <w:r w:rsidR="00BD3584" w:rsidRPr="00D3392A">
        <w:t xml:space="preserve"> (see section 4.1)</w:t>
      </w:r>
      <w:r w:rsidRPr="00D3392A">
        <w:t>.</w:t>
      </w:r>
      <w:r w:rsidR="007E4B80" w:rsidRPr="0056172A">
        <w:t xml:space="preserve"> The phase of the poly-</w:t>
      </w:r>
      <w:r w:rsidR="007E4B80" w:rsidRPr="004D04C5">
        <w:t xml:space="preserve">T variant identified with the </w:t>
      </w:r>
      <w:r w:rsidR="007E4B80" w:rsidRPr="004D04C5">
        <w:rPr>
          <w:i/>
        </w:rPr>
        <w:t>R117H</w:t>
      </w:r>
      <w:r w:rsidR="007E4B80" w:rsidRPr="000A093B">
        <w:rPr>
          <w:i/>
        </w:rPr>
        <w:t xml:space="preserve"> </w:t>
      </w:r>
      <w:r w:rsidR="007E4B80" w:rsidRPr="006F0464">
        <w:t>mutation should be determined in accordance with local clinical recommendation.</w:t>
      </w:r>
    </w:p>
    <w:p w14:paraId="6FA3F1ED" w14:textId="77777777" w:rsidR="00096B0E" w:rsidRPr="000A093B" w:rsidRDefault="00096B0E" w:rsidP="000A093B">
      <w:pPr>
        <w:widowControl w:val="0"/>
        <w:suppressLineNumbers/>
        <w:spacing w:line="240" w:lineRule="auto"/>
        <w:rPr>
          <w:u w:val="single"/>
        </w:rPr>
      </w:pPr>
    </w:p>
    <w:p w14:paraId="7F84FF17" w14:textId="77777777" w:rsidR="00096B0E" w:rsidRPr="006F0464" w:rsidRDefault="005A3D7D" w:rsidP="000A093B">
      <w:pPr>
        <w:keepNext/>
        <w:widowControl w:val="0"/>
        <w:suppressLineNumbers/>
        <w:spacing w:line="240" w:lineRule="auto"/>
        <w:rPr>
          <w:u w:val="single"/>
        </w:rPr>
      </w:pPr>
      <w:r w:rsidRPr="006F0464">
        <w:rPr>
          <w:u w:val="single"/>
        </w:rPr>
        <w:t>Posology</w:t>
      </w:r>
    </w:p>
    <w:p w14:paraId="2C3B0812" w14:textId="77777777" w:rsidR="00096B0E" w:rsidRPr="006F0464" w:rsidRDefault="00096B0E" w:rsidP="000A093B">
      <w:pPr>
        <w:keepNext/>
        <w:spacing w:line="240" w:lineRule="auto"/>
        <w:rPr>
          <w:iCs/>
        </w:rPr>
      </w:pPr>
    </w:p>
    <w:p w14:paraId="6FB177F9" w14:textId="125F9424" w:rsidR="00096B0E" w:rsidRPr="006F0464" w:rsidRDefault="005A3D7D" w:rsidP="000A093B">
      <w:pPr>
        <w:keepNext/>
        <w:spacing w:line="240" w:lineRule="auto"/>
      </w:pPr>
      <w:r w:rsidRPr="00A13C4D">
        <w:t xml:space="preserve">Infants aged at least </w:t>
      </w:r>
      <w:r w:rsidR="004F0618">
        <w:t>4</w:t>
      </w:r>
      <w:r w:rsidR="00075D87" w:rsidRPr="00A13C4D">
        <w:t> </w:t>
      </w:r>
      <w:r w:rsidRPr="00A13C4D">
        <w:t>months</w:t>
      </w:r>
      <w:r w:rsidR="00BD3584" w:rsidRPr="00A13C4D">
        <w:t>,</w:t>
      </w:r>
      <w:r w:rsidR="009F12A7" w:rsidRPr="00D3392A">
        <w:t xml:space="preserve"> toddlers, c</w:t>
      </w:r>
      <w:r w:rsidR="00172DD8" w:rsidRPr="00D3392A">
        <w:t>hildren</w:t>
      </w:r>
      <w:r w:rsidRPr="00D3392A">
        <w:t xml:space="preserve">, </w:t>
      </w:r>
      <w:r w:rsidR="00172DD8" w:rsidRPr="00D3392A">
        <w:t>adolescents and adults</w:t>
      </w:r>
      <w:r w:rsidRPr="00D3392A">
        <w:t xml:space="preserve"> should be dosed according to Table</w:t>
      </w:r>
      <w:r w:rsidR="004F6F1C" w:rsidRPr="004D04C5">
        <w:t> </w:t>
      </w:r>
      <w:r w:rsidRPr="004D04C5">
        <w:t>1.</w:t>
      </w:r>
    </w:p>
    <w:p w14:paraId="065478B5" w14:textId="77777777" w:rsidR="00096B0E" w:rsidRPr="006F0464" w:rsidRDefault="00096B0E" w:rsidP="000D02CF">
      <w:pPr>
        <w:keepNext/>
        <w:spacing w:line="240" w:lineRule="auto"/>
      </w:pPr>
    </w:p>
    <w:p w14:paraId="71A764EF" w14:textId="77C2D50F" w:rsidR="00096B0E" w:rsidRPr="006F0464" w:rsidRDefault="005A3D7D" w:rsidP="0070417D">
      <w:pPr>
        <w:keepNext/>
        <w:spacing w:after="120" w:line="240" w:lineRule="auto"/>
        <w:rPr>
          <w:b/>
        </w:rPr>
      </w:pPr>
      <w:r w:rsidRPr="006F0464">
        <w:rPr>
          <w:b/>
        </w:rPr>
        <w:t xml:space="preserve">Table 1: Dosing recommendations for patients aged </w:t>
      </w:r>
      <w:r w:rsidR="00CA7E1F">
        <w:rPr>
          <w:b/>
        </w:rPr>
        <w:t>4</w:t>
      </w:r>
      <w:r w:rsidRPr="006F0464">
        <w:rPr>
          <w:b/>
        </w:rPr>
        <w:t> months and older</w:t>
      </w: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1948"/>
        <w:gridCol w:w="3250"/>
        <w:gridCol w:w="1838"/>
      </w:tblGrid>
      <w:tr w:rsidR="00476058" w14:paraId="02CDBFA8" w14:textId="77777777" w:rsidTr="0012118D">
        <w:trPr>
          <w:trHeight w:val="217"/>
        </w:trPr>
        <w:tc>
          <w:tcPr>
            <w:tcW w:w="1084" w:type="pct"/>
            <w:tcBorders>
              <w:top w:val="single" w:sz="4" w:space="0" w:color="auto"/>
              <w:left w:val="single" w:sz="4" w:space="0" w:color="auto"/>
              <w:bottom w:val="single" w:sz="4" w:space="0" w:color="auto"/>
              <w:right w:val="single" w:sz="4" w:space="0" w:color="auto"/>
            </w:tcBorders>
          </w:tcPr>
          <w:p w14:paraId="427C38FF" w14:textId="616CD503" w:rsidR="004F0618" w:rsidRPr="006F0464" w:rsidRDefault="005A3D7D" w:rsidP="006878A4">
            <w:pPr>
              <w:keepNext/>
              <w:tabs>
                <w:tab w:val="clear" w:pos="567"/>
              </w:tabs>
              <w:spacing w:line="240" w:lineRule="auto"/>
              <w:rPr>
                <w:b/>
              </w:rPr>
            </w:pPr>
            <w:r>
              <w:rPr>
                <w:b/>
              </w:rPr>
              <w:t>Age</w:t>
            </w:r>
          </w:p>
        </w:tc>
        <w:tc>
          <w:tcPr>
            <w:tcW w:w="1084" w:type="pct"/>
            <w:tcBorders>
              <w:top w:val="single" w:sz="4" w:space="0" w:color="auto"/>
              <w:left w:val="single" w:sz="4" w:space="0" w:color="auto"/>
              <w:bottom w:val="single" w:sz="4" w:space="0" w:color="auto"/>
              <w:right w:val="single" w:sz="4" w:space="0" w:color="auto"/>
            </w:tcBorders>
          </w:tcPr>
          <w:p w14:paraId="3DD812F8" w14:textId="620A5C1A" w:rsidR="004F0618" w:rsidRPr="006F0464" w:rsidRDefault="005A3D7D" w:rsidP="006878A4">
            <w:pPr>
              <w:keepNext/>
              <w:tabs>
                <w:tab w:val="clear" w:pos="567"/>
              </w:tabs>
              <w:spacing w:line="240" w:lineRule="auto"/>
              <w:rPr>
                <w:b/>
              </w:rPr>
            </w:pPr>
            <w:r w:rsidRPr="006F0464">
              <w:rPr>
                <w:b/>
              </w:rPr>
              <w:t>Weight</w:t>
            </w:r>
          </w:p>
        </w:tc>
        <w:tc>
          <w:tcPr>
            <w:tcW w:w="1809" w:type="pct"/>
            <w:tcBorders>
              <w:top w:val="single" w:sz="4" w:space="0" w:color="auto"/>
              <w:left w:val="single" w:sz="4" w:space="0" w:color="auto"/>
              <w:bottom w:val="single" w:sz="4" w:space="0" w:color="auto"/>
              <w:right w:val="single" w:sz="4" w:space="0" w:color="auto"/>
            </w:tcBorders>
          </w:tcPr>
          <w:p w14:paraId="255C8E89" w14:textId="77777777" w:rsidR="004F0618" w:rsidRPr="006F0464" w:rsidRDefault="005A3D7D" w:rsidP="006878A4">
            <w:pPr>
              <w:keepNext/>
              <w:tabs>
                <w:tab w:val="clear" w:pos="567"/>
              </w:tabs>
              <w:spacing w:line="240" w:lineRule="auto"/>
              <w:rPr>
                <w:b/>
              </w:rPr>
            </w:pPr>
            <w:r w:rsidRPr="006F0464">
              <w:rPr>
                <w:b/>
              </w:rPr>
              <w:t>Dose</w:t>
            </w:r>
          </w:p>
        </w:tc>
        <w:tc>
          <w:tcPr>
            <w:tcW w:w="1023" w:type="pct"/>
            <w:tcBorders>
              <w:top w:val="single" w:sz="4" w:space="0" w:color="auto"/>
              <w:left w:val="single" w:sz="4" w:space="0" w:color="auto"/>
              <w:bottom w:val="single" w:sz="4" w:space="0" w:color="auto"/>
              <w:right w:val="single" w:sz="4" w:space="0" w:color="auto"/>
            </w:tcBorders>
          </w:tcPr>
          <w:p w14:paraId="6AD4DA76" w14:textId="77777777" w:rsidR="004F0618" w:rsidRPr="006F0464" w:rsidRDefault="005A3D7D" w:rsidP="006878A4">
            <w:pPr>
              <w:keepNext/>
              <w:tabs>
                <w:tab w:val="clear" w:pos="567"/>
              </w:tabs>
              <w:spacing w:line="240" w:lineRule="auto"/>
              <w:rPr>
                <w:b/>
              </w:rPr>
            </w:pPr>
            <w:r w:rsidRPr="006F0464">
              <w:rPr>
                <w:b/>
              </w:rPr>
              <w:t>Total daily dose</w:t>
            </w:r>
          </w:p>
        </w:tc>
      </w:tr>
      <w:tr w:rsidR="00476058" w14:paraId="5D8FE1C7" w14:textId="77777777" w:rsidTr="0012118D">
        <w:trPr>
          <w:trHeight w:val="217"/>
        </w:trPr>
        <w:tc>
          <w:tcPr>
            <w:tcW w:w="1084" w:type="pct"/>
            <w:tcBorders>
              <w:top w:val="single" w:sz="4" w:space="0" w:color="auto"/>
              <w:left w:val="single" w:sz="4" w:space="0" w:color="auto"/>
              <w:bottom w:val="single" w:sz="4" w:space="0" w:color="auto"/>
              <w:right w:val="single" w:sz="4" w:space="0" w:color="auto"/>
            </w:tcBorders>
          </w:tcPr>
          <w:p w14:paraId="4214202F" w14:textId="36F5A63D" w:rsidR="004F0618" w:rsidRPr="006F0464" w:rsidRDefault="005A3D7D" w:rsidP="004F0618">
            <w:pPr>
              <w:keepNext/>
              <w:tabs>
                <w:tab w:val="clear" w:pos="567"/>
              </w:tabs>
              <w:spacing w:line="240" w:lineRule="auto"/>
            </w:pPr>
            <w:r w:rsidRPr="00E00BF1">
              <w:t>4 months to less than 6 months</w:t>
            </w:r>
          </w:p>
        </w:tc>
        <w:tc>
          <w:tcPr>
            <w:tcW w:w="1084" w:type="pct"/>
            <w:tcBorders>
              <w:top w:val="single" w:sz="4" w:space="0" w:color="auto"/>
              <w:left w:val="single" w:sz="4" w:space="0" w:color="auto"/>
              <w:bottom w:val="single" w:sz="4" w:space="0" w:color="auto"/>
              <w:right w:val="single" w:sz="4" w:space="0" w:color="auto"/>
            </w:tcBorders>
            <w:shd w:val="clear" w:color="auto" w:fill="auto"/>
          </w:tcPr>
          <w:p w14:paraId="161BEB94" w14:textId="08F745DC" w:rsidR="004F0618" w:rsidRPr="006F0464" w:rsidRDefault="005A3D7D" w:rsidP="004F0618">
            <w:pPr>
              <w:keepNext/>
              <w:tabs>
                <w:tab w:val="clear" w:pos="567"/>
              </w:tabs>
              <w:spacing w:line="240" w:lineRule="auto"/>
            </w:pPr>
            <w:r w:rsidRPr="00E00BF1">
              <w:rPr>
                <w:rFonts w:hint="eastAsia"/>
              </w:rPr>
              <w:t>≥</w:t>
            </w:r>
            <w:r w:rsidRPr="00E00BF1">
              <w:t>5 kg</w:t>
            </w:r>
          </w:p>
        </w:tc>
        <w:tc>
          <w:tcPr>
            <w:tcW w:w="1809" w:type="pct"/>
            <w:tcBorders>
              <w:top w:val="single" w:sz="4" w:space="0" w:color="auto"/>
              <w:left w:val="single" w:sz="4" w:space="0" w:color="auto"/>
              <w:bottom w:val="single" w:sz="4" w:space="0" w:color="auto"/>
              <w:right w:val="single" w:sz="4" w:space="0" w:color="auto"/>
            </w:tcBorders>
            <w:shd w:val="clear" w:color="auto" w:fill="auto"/>
          </w:tcPr>
          <w:p w14:paraId="482949AF" w14:textId="113FB848" w:rsidR="004F0618" w:rsidRPr="006F0464" w:rsidRDefault="005A3D7D" w:rsidP="004F0618">
            <w:pPr>
              <w:keepNext/>
              <w:tabs>
                <w:tab w:val="clear" w:pos="567"/>
              </w:tabs>
              <w:spacing w:line="240" w:lineRule="auto"/>
            </w:pPr>
            <w:r w:rsidRPr="00E00BF1">
              <w:t xml:space="preserve">25 mg granules taken orally every 12 </w:t>
            </w:r>
            <w:r w:rsidRPr="00E00BF1">
              <w:t>hours with fat-containing food</w:t>
            </w:r>
          </w:p>
        </w:tc>
        <w:tc>
          <w:tcPr>
            <w:tcW w:w="1023" w:type="pct"/>
            <w:tcBorders>
              <w:top w:val="single" w:sz="4" w:space="0" w:color="auto"/>
              <w:left w:val="single" w:sz="4" w:space="0" w:color="auto"/>
              <w:bottom w:val="single" w:sz="4" w:space="0" w:color="auto"/>
              <w:right w:val="single" w:sz="4" w:space="0" w:color="auto"/>
            </w:tcBorders>
            <w:shd w:val="clear" w:color="auto" w:fill="auto"/>
          </w:tcPr>
          <w:p w14:paraId="72FC8BE6" w14:textId="548D4DD7" w:rsidR="004F0618" w:rsidRPr="006F0464" w:rsidRDefault="005A3D7D" w:rsidP="004F0618">
            <w:pPr>
              <w:keepNext/>
              <w:tabs>
                <w:tab w:val="clear" w:pos="567"/>
              </w:tabs>
              <w:spacing w:line="240" w:lineRule="auto"/>
            </w:pPr>
            <w:r w:rsidRPr="00E00BF1">
              <w:t>50 mg</w:t>
            </w:r>
          </w:p>
        </w:tc>
      </w:tr>
      <w:tr w:rsidR="00476058" w14:paraId="15BEDE53" w14:textId="77777777" w:rsidTr="004F0618">
        <w:trPr>
          <w:trHeight w:val="217"/>
        </w:trPr>
        <w:tc>
          <w:tcPr>
            <w:tcW w:w="1084" w:type="pct"/>
            <w:vMerge w:val="restart"/>
            <w:tcBorders>
              <w:top w:val="single" w:sz="4" w:space="0" w:color="auto"/>
              <w:left w:val="single" w:sz="4" w:space="0" w:color="auto"/>
              <w:right w:val="single" w:sz="4" w:space="0" w:color="auto"/>
            </w:tcBorders>
            <w:vAlign w:val="center"/>
          </w:tcPr>
          <w:p w14:paraId="7FB7F8D1" w14:textId="58C2F455" w:rsidR="004F0618" w:rsidRPr="006F0464" w:rsidRDefault="005A3D7D" w:rsidP="004F0618">
            <w:pPr>
              <w:keepNext/>
              <w:tabs>
                <w:tab w:val="clear" w:pos="567"/>
              </w:tabs>
              <w:spacing w:line="240" w:lineRule="auto"/>
            </w:pPr>
            <w:r w:rsidRPr="00E00BF1">
              <w:t>6 months and older</w:t>
            </w:r>
          </w:p>
        </w:tc>
        <w:tc>
          <w:tcPr>
            <w:tcW w:w="1084" w:type="pct"/>
            <w:tcBorders>
              <w:top w:val="single" w:sz="4" w:space="0" w:color="auto"/>
              <w:left w:val="single" w:sz="4" w:space="0" w:color="auto"/>
              <w:bottom w:val="single" w:sz="4" w:space="0" w:color="auto"/>
              <w:right w:val="single" w:sz="4" w:space="0" w:color="auto"/>
            </w:tcBorders>
            <w:shd w:val="clear" w:color="auto" w:fill="auto"/>
          </w:tcPr>
          <w:p w14:paraId="2A3E3AF8" w14:textId="19237123" w:rsidR="004F0618" w:rsidRPr="006F0464" w:rsidRDefault="005A3D7D" w:rsidP="004F0618">
            <w:pPr>
              <w:keepNext/>
              <w:tabs>
                <w:tab w:val="clear" w:pos="567"/>
              </w:tabs>
              <w:spacing w:line="240" w:lineRule="auto"/>
            </w:pPr>
            <w:r w:rsidRPr="006F0464">
              <w:rPr>
                <w:rFonts w:hint="eastAsia"/>
              </w:rPr>
              <w:t>≥</w:t>
            </w:r>
            <w:r w:rsidRPr="006F0464">
              <w:rPr>
                <w:rFonts w:hint="eastAsia"/>
              </w:rPr>
              <w:t>5 kg</w:t>
            </w:r>
            <w:r w:rsidRPr="006F0464">
              <w:t xml:space="preserve"> to &lt; 7 kg</w:t>
            </w:r>
          </w:p>
        </w:tc>
        <w:tc>
          <w:tcPr>
            <w:tcW w:w="1809" w:type="pct"/>
            <w:tcBorders>
              <w:top w:val="single" w:sz="4" w:space="0" w:color="auto"/>
              <w:left w:val="single" w:sz="4" w:space="0" w:color="auto"/>
              <w:bottom w:val="single" w:sz="4" w:space="0" w:color="auto"/>
              <w:right w:val="single" w:sz="4" w:space="0" w:color="auto"/>
            </w:tcBorders>
            <w:shd w:val="clear" w:color="auto" w:fill="auto"/>
          </w:tcPr>
          <w:p w14:paraId="3068F2A5" w14:textId="77777777" w:rsidR="004F0618" w:rsidRPr="006F0464" w:rsidRDefault="005A3D7D" w:rsidP="004F0618">
            <w:pPr>
              <w:keepNext/>
              <w:tabs>
                <w:tab w:val="clear" w:pos="567"/>
              </w:tabs>
              <w:spacing w:line="240" w:lineRule="auto"/>
            </w:pPr>
            <w:r w:rsidRPr="006F0464">
              <w:t>25 mg granules taken orally every 12 hours with fat</w:t>
            </w:r>
            <w:r w:rsidRPr="006F0464">
              <w:noBreakHyphen/>
              <w:t>containing food</w:t>
            </w:r>
          </w:p>
        </w:tc>
        <w:tc>
          <w:tcPr>
            <w:tcW w:w="1023" w:type="pct"/>
            <w:tcBorders>
              <w:top w:val="single" w:sz="4" w:space="0" w:color="auto"/>
              <w:left w:val="single" w:sz="4" w:space="0" w:color="auto"/>
              <w:bottom w:val="single" w:sz="4" w:space="0" w:color="auto"/>
              <w:right w:val="single" w:sz="4" w:space="0" w:color="auto"/>
            </w:tcBorders>
            <w:shd w:val="clear" w:color="auto" w:fill="auto"/>
          </w:tcPr>
          <w:p w14:paraId="45317769" w14:textId="77777777" w:rsidR="004F0618" w:rsidRPr="006F0464" w:rsidRDefault="005A3D7D" w:rsidP="004F0618">
            <w:pPr>
              <w:keepNext/>
              <w:tabs>
                <w:tab w:val="clear" w:pos="567"/>
              </w:tabs>
              <w:spacing w:line="240" w:lineRule="auto"/>
            </w:pPr>
            <w:r w:rsidRPr="006F0464">
              <w:t>50 mg</w:t>
            </w:r>
          </w:p>
        </w:tc>
      </w:tr>
      <w:tr w:rsidR="00476058" w14:paraId="0088101E" w14:textId="77777777" w:rsidTr="004F0618">
        <w:trPr>
          <w:trHeight w:val="217"/>
        </w:trPr>
        <w:tc>
          <w:tcPr>
            <w:tcW w:w="1084" w:type="pct"/>
            <w:vMerge/>
            <w:tcBorders>
              <w:left w:val="single" w:sz="4" w:space="0" w:color="auto"/>
              <w:right w:val="single" w:sz="4" w:space="0" w:color="auto"/>
            </w:tcBorders>
          </w:tcPr>
          <w:p w14:paraId="31E0EEB7" w14:textId="77777777" w:rsidR="004F0618" w:rsidRPr="006F0464" w:rsidRDefault="004F0618" w:rsidP="004F0618">
            <w:pPr>
              <w:keepNext/>
              <w:tabs>
                <w:tab w:val="clear" w:pos="567"/>
              </w:tabs>
              <w:spacing w:line="240" w:lineRule="auto"/>
            </w:pPr>
          </w:p>
        </w:tc>
        <w:tc>
          <w:tcPr>
            <w:tcW w:w="1084" w:type="pct"/>
            <w:tcBorders>
              <w:top w:val="single" w:sz="4" w:space="0" w:color="auto"/>
              <w:left w:val="single" w:sz="4" w:space="0" w:color="auto"/>
              <w:bottom w:val="single" w:sz="4" w:space="0" w:color="auto"/>
              <w:right w:val="single" w:sz="4" w:space="0" w:color="auto"/>
            </w:tcBorders>
          </w:tcPr>
          <w:p w14:paraId="5663CE33" w14:textId="4FD17777" w:rsidR="004F0618" w:rsidRPr="006F0464" w:rsidRDefault="005A3D7D" w:rsidP="004F0618">
            <w:pPr>
              <w:keepNext/>
              <w:tabs>
                <w:tab w:val="clear" w:pos="567"/>
              </w:tabs>
              <w:spacing w:line="240" w:lineRule="auto"/>
            </w:pPr>
            <w:r w:rsidRPr="006F0464">
              <w:rPr>
                <w:rFonts w:hint="eastAsia"/>
              </w:rPr>
              <w:t>≥</w:t>
            </w:r>
            <w:r w:rsidRPr="006F0464">
              <w:rPr>
                <w:rFonts w:hint="eastAsia"/>
              </w:rPr>
              <w:t> 7 kg</w:t>
            </w:r>
            <w:r w:rsidRPr="006F0464">
              <w:t xml:space="preserve"> to</w:t>
            </w:r>
            <w:r w:rsidRPr="000A093B">
              <w:t xml:space="preserve"> </w:t>
            </w:r>
            <w:r w:rsidRPr="006F0464">
              <w:t>&lt; 14 kg</w:t>
            </w:r>
          </w:p>
        </w:tc>
        <w:tc>
          <w:tcPr>
            <w:tcW w:w="1809" w:type="pct"/>
            <w:tcBorders>
              <w:top w:val="single" w:sz="4" w:space="0" w:color="auto"/>
              <w:left w:val="single" w:sz="4" w:space="0" w:color="auto"/>
              <w:bottom w:val="single" w:sz="4" w:space="0" w:color="auto"/>
              <w:right w:val="single" w:sz="4" w:space="0" w:color="auto"/>
            </w:tcBorders>
          </w:tcPr>
          <w:p w14:paraId="4DEA4F45" w14:textId="77777777" w:rsidR="004F0618" w:rsidRPr="00A13C4D" w:rsidRDefault="005A3D7D" w:rsidP="004F0618">
            <w:pPr>
              <w:keepNext/>
              <w:tabs>
                <w:tab w:val="clear" w:pos="567"/>
              </w:tabs>
              <w:spacing w:line="240" w:lineRule="auto"/>
            </w:pPr>
            <w:r w:rsidRPr="006F0464">
              <w:t>50 mg granules taken orally every 12 hours with fat</w:t>
            </w:r>
            <w:r w:rsidRPr="006F0464">
              <w:noBreakHyphen/>
              <w:t>containing food</w:t>
            </w:r>
          </w:p>
        </w:tc>
        <w:tc>
          <w:tcPr>
            <w:tcW w:w="1023" w:type="pct"/>
            <w:tcBorders>
              <w:top w:val="single" w:sz="4" w:space="0" w:color="auto"/>
              <w:left w:val="single" w:sz="4" w:space="0" w:color="auto"/>
              <w:bottom w:val="single" w:sz="4" w:space="0" w:color="auto"/>
              <w:right w:val="single" w:sz="4" w:space="0" w:color="auto"/>
            </w:tcBorders>
          </w:tcPr>
          <w:p w14:paraId="30EFF49E" w14:textId="77777777" w:rsidR="004F0618" w:rsidRPr="00A13C4D" w:rsidRDefault="005A3D7D" w:rsidP="004F0618">
            <w:pPr>
              <w:keepNext/>
              <w:tabs>
                <w:tab w:val="clear" w:pos="567"/>
              </w:tabs>
              <w:spacing w:line="240" w:lineRule="auto"/>
            </w:pPr>
            <w:r w:rsidRPr="00A13C4D">
              <w:t>100 mg</w:t>
            </w:r>
          </w:p>
        </w:tc>
      </w:tr>
      <w:tr w:rsidR="00476058" w14:paraId="395226E1" w14:textId="77777777" w:rsidTr="004F0618">
        <w:trPr>
          <w:trHeight w:val="217"/>
        </w:trPr>
        <w:tc>
          <w:tcPr>
            <w:tcW w:w="1084" w:type="pct"/>
            <w:vMerge/>
            <w:tcBorders>
              <w:left w:val="single" w:sz="4" w:space="0" w:color="auto"/>
              <w:right w:val="single" w:sz="4" w:space="0" w:color="auto"/>
            </w:tcBorders>
          </w:tcPr>
          <w:p w14:paraId="3EB7443A" w14:textId="77777777" w:rsidR="004F0618" w:rsidRPr="006F0464" w:rsidRDefault="004F0618" w:rsidP="004F0618">
            <w:pPr>
              <w:keepNext/>
              <w:tabs>
                <w:tab w:val="clear" w:pos="567"/>
              </w:tabs>
              <w:spacing w:line="240" w:lineRule="auto"/>
            </w:pPr>
          </w:p>
        </w:tc>
        <w:tc>
          <w:tcPr>
            <w:tcW w:w="1084" w:type="pct"/>
            <w:tcBorders>
              <w:top w:val="single" w:sz="4" w:space="0" w:color="auto"/>
              <w:left w:val="single" w:sz="4" w:space="0" w:color="auto"/>
              <w:bottom w:val="single" w:sz="4" w:space="0" w:color="auto"/>
              <w:right w:val="single" w:sz="4" w:space="0" w:color="auto"/>
            </w:tcBorders>
          </w:tcPr>
          <w:p w14:paraId="7EDF03A5" w14:textId="1D32BE32" w:rsidR="004F0618" w:rsidRPr="006F0464" w:rsidRDefault="005A3D7D" w:rsidP="004F0618">
            <w:pPr>
              <w:keepNext/>
              <w:tabs>
                <w:tab w:val="clear" w:pos="567"/>
              </w:tabs>
              <w:spacing w:line="240" w:lineRule="auto"/>
            </w:pPr>
            <w:r w:rsidRPr="006F0464">
              <w:rPr>
                <w:rFonts w:hint="eastAsia"/>
              </w:rPr>
              <w:t>≥</w:t>
            </w:r>
            <w:r w:rsidRPr="006F0464">
              <w:rPr>
                <w:rFonts w:hint="eastAsia"/>
              </w:rPr>
              <w:t> 14 kg</w:t>
            </w:r>
            <w:r w:rsidRPr="006F0464">
              <w:t xml:space="preserve"> to &lt; 25 kg</w:t>
            </w:r>
          </w:p>
        </w:tc>
        <w:tc>
          <w:tcPr>
            <w:tcW w:w="1809" w:type="pct"/>
            <w:tcBorders>
              <w:top w:val="single" w:sz="4" w:space="0" w:color="auto"/>
              <w:left w:val="single" w:sz="4" w:space="0" w:color="auto"/>
              <w:bottom w:val="single" w:sz="4" w:space="0" w:color="auto"/>
              <w:right w:val="single" w:sz="4" w:space="0" w:color="auto"/>
            </w:tcBorders>
          </w:tcPr>
          <w:p w14:paraId="4C9BCC59" w14:textId="77777777" w:rsidR="004F0618" w:rsidRPr="006F0464" w:rsidRDefault="005A3D7D" w:rsidP="004F0618">
            <w:pPr>
              <w:keepNext/>
              <w:tabs>
                <w:tab w:val="clear" w:pos="567"/>
              </w:tabs>
              <w:spacing w:line="240" w:lineRule="auto"/>
            </w:pPr>
            <w:r w:rsidRPr="006F0464">
              <w:t>75 mg granules taken orally every 12 hours with fat</w:t>
            </w:r>
            <w:r w:rsidRPr="006F0464">
              <w:noBreakHyphen/>
              <w:t>containing food</w:t>
            </w:r>
          </w:p>
        </w:tc>
        <w:tc>
          <w:tcPr>
            <w:tcW w:w="1023" w:type="pct"/>
            <w:tcBorders>
              <w:top w:val="single" w:sz="4" w:space="0" w:color="auto"/>
              <w:left w:val="single" w:sz="4" w:space="0" w:color="auto"/>
              <w:bottom w:val="single" w:sz="4" w:space="0" w:color="auto"/>
              <w:right w:val="single" w:sz="4" w:space="0" w:color="auto"/>
            </w:tcBorders>
          </w:tcPr>
          <w:p w14:paraId="0FFB5E02" w14:textId="77777777" w:rsidR="004F0618" w:rsidRPr="006F0464" w:rsidRDefault="005A3D7D" w:rsidP="004F0618">
            <w:pPr>
              <w:keepNext/>
              <w:tabs>
                <w:tab w:val="clear" w:pos="567"/>
              </w:tabs>
              <w:spacing w:line="240" w:lineRule="auto"/>
            </w:pPr>
            <w:r w:rsidRPr="006F0464">
              <w:t>150 mg</w:t>
            </w:r>
          </w:p>
        </w:tc>
      </w:tr>
      <w:tr w:rsidR="00476058" w14:paraId="2D2B6C71" w14:textId="77777777" w:rsidTr="004F0618">
        <w:trPr>
          <w:trHeight w:val="314"/>
        </w:trPr>
        <w:tc>
          <w:tcPr>
            <w:tcW w:w="1084" w:type="pct"/>
            <w:vMerge/>
            <w:tcBorders>
              <w:left w:val="single" w:sz="4" w:space="0" w:color="auto"/>
              <w:bottom w:val="single" w:sz="4" w:space="0" w:color="auto"/>
              <w:right w:val="single" w:sz="4" w:space="0" w:color="auto"/>
            </w:tcBorders>
          </w:tcPr>
          <w:p w14:paraId="6D54CE45" w14:textId="77777777" w:rsidR="004F0618" w:rsidRPr="006F0464" w:rsidRDefault="004F0618" w:rsidP="004F0618">
            <w:pPr>
              <w:tabs>
                <w:tab w:val="clear" w:pos="567"/>
              </w:tabs>
              <w:spacing w:line="240" w:lineRule="auto"/>
            </w:pPr>
          </w:p>
        </w:tc>
        <w:tc>
          <w:tcPr>
            <w:tcW w:w="1084" w:type="pct"/>
            <w:tcBorders>
              <w:top w:val="single" w:sz="4" w:space="0" w:color="auto"/>
              <w:left w:val="single" w:sz="4" w:space="0" w:color="auto"/>
              <w:bottom w:val="single" w:sz="4" w:space="0" w:color="auto"/>
              <w:right w:val="single" w:sz="4" w:space="0" w:color="auto"/>
            </w:tcBorders>
          </w:tcPr>
          <w:p w14:paraId="1FAA4967" w14:textId="17C14A87" w:rsidR="004F0618" w:rsidRPr="006F0464" w:rsidRDefault="005A3D7D" w:rsidP="004F0618">
            <w:pPr>
              <w:tabs>
                <w:tab w:val="clear" w:pos="567"/>
              </w:tabs>
              <w:spacing w:line="240" w:lineRule="auto"/>
            </w:pPr>
            <w:r w:rsidRPr="006F0464">
              <w:rPr>
                <w:rFonts w:hint="eastAsia"/>
              </w:rPr>
              <w:t>≥</w:t>
            </w:r>
            <w:r w:rsidRPr="006F0464">
              <w:rPr>
                <w:rFonts w:hint="eastAsia"/>
              </w:rPr>
              <w:t> 25 kg</w:t>
            </w:r>
          </w:p>
        </w:tc>
        <w:tc>
          <w:tcPr>
            <w:tcW w:w="2832" w:type="pct"/>
            <w:gridSpan w:val="2"/>
            <w:tcBorders>
              <w:top w:val="single" w:sz="4" w:space="0" w:color="auto"/>
              <w:left w:val="single" w:sz="4" w:space="0" w:color="auto"/>
              <w:bottom w:val="single" w:sz="4" w:space="0" w:color="auto"/>
              <w:right w:val="single" w:sz="4" w:space="0" w:color="auto"/>
            </w:tcBorders>
          </w:tcPr>
          <w:p w14:paraId="62CEA8B7" w14:textId="77777777" w:rsidR="004F0618" w:rsidRPr="006F0464" w:rsidRDefault="005A3D7D" w:rsidP="004F0618">
            <w:pPr>
              <w:tabs>
                <w:tab w:val="clear" w:pos="567"/>
              </w:tabs>
              <w:spacing w:line="240" w:lineRule="auto"/>
            </w:pPr>
            <w:r w:rsidRPr="006F0464">
              <w:rPr>
                <w:rFonts w:eastAsia="MS Mincho"/>
                <w:lang w:eastAsia="ja-JP"/>
              </w:rPr>
              <w:t>See Kalydeco tablets SmPC for further details.</w:t>
            </w:r>
          </w:p>
        </w:tc>
      </w:tr>
    </w:tbl>
    <w:p w14:paraId="75EBFD78" w14:textId="77777777" w:rsidR="00096B0E" w:rsidRPr="006F0464" w:rsidRDefault="00096B0E" w:rsidP="00ED1D45">
      <w:pPr>
        <w:tabs>
          <w:tab w:val="clear" w:pos="567"/>
        </w:tabs>
        <w:spacing w:line="240" w:lineRule="auto"/>
        <w:rPr>
          <w:rStyle w:val="s10"/>
        </w:rPr>
      </w:pPr>
    </w:p>
    <w:p w14:paraId="7967DD4D" w14:textId="77777777" w:rsidR="00096B0E" w:rsidRPr="006F0464" w:rsidRDefault="005A3D7D" w:rsidP="000A093B">
      <w:pPr>
        <w:keepNext/>
        <w:spacing w:line="240" w:lineRule="auto"/>
        <w:rPr>
          <w:rStyle w:val="s10"/>
          <w:i/>
        </w:rPr>
      </w:pPr>
      <w:r w:rsidRPr="006F0464">
        <w:rPr>
          <w:rStyle w:val="s10"/>
          <w:i/>
        </w:rPr>
        <w:t>Missed dose</w:t>
      </w:r>
    </w:p>
    <w:p w14:paraId="20A1C4CA" w14:textId="77777777" w:rsidR="00C8786C" w:rsidRPr="006F0464" w:rsidRDefault="00C8786C" w:rsidP="000A093B">
      <w:pPr>
        <w:keepNext/>
        <w:spacing w:line="240" w:lineRule="auto"/>
        <w:rPr>
          <w:rStyle w:val="s10"/>
          <w:i/>
        </w:rPr>
      </w:pPr>
    </w:p>
    <w:p w14:paraId="79074FEC" w14:textId="3D281FAC" w:rsidR="00096B0E" w:rsidRPr="006F0464" w:rsidRDefault="005A3D7D" w:rsidP="000A093B">
      <w:pPr>
        <w:keepNext/>
        <w:spacing w:line="240" w:lineRule="auto"/>
        <w:rPr>
          <w:rStyle w:val="s10"/>
        </w:rPr>
      </w:pPr>
      <w:r w:rsidRPr="006F0464">
        <w:rPr>
          <w:rStyle w:val="s10"/>
        </w:rPr>
        <w:t xml:space="preserve">If </w:t>
      </w:r>
      <w:r w:rsidR="008540CC" w:rsidRPr="006F0464">
        <w:rPr>
          <w:rStyle w:val="s10"/>
        </w:rPr>
        <w:t>6 </w:t>
      </w:r>
      <w:r w:rsidRPr="006F0464">
        <w:rPr>
          <w:rStyle w:val="s10"/>
        </w:rPr>
        <w:t xml:space="preserve">hours </w:t>
      </w:r>
      <w:r w:rsidR="00C8786C" w:rsidRPr="006F0464">
        <w:rPr>
          <w:rStyle w:val="s10"/>
        </w:rPr>
        <w:t>or less have passed since the missed morning or evening dose</w:t>
      </w:r>
      <w:r w:rsidRPr="006F0464">
        <w:rPr>
          <w:rStyle w:val="s10"/>
        </w:rPr>
        <w:t xml:space="preserve">, the patient should take it as soon as possible and </w:t>
      </w:r>
      <w:r w:rsidR="00C8786C" w:rsidRPr="006F0464">
        <w:rPr>
          <w:rStyle w:val="s10"/>
        </w:rPr>
        <w:t>continue on the original</w:t>
      </w:r>
      <w:r w:rsidRPr="006F0464">
        <w:rPr>
          <w:rStyle w:val="s10"/>
        </w:rPr>
        <w:t xml:space="preserve"> schedule. If more than 6</w:t>
      </w:r>
      <w:r w:rsidR="008540CC" w:rsidRPr="006F0464">
        <w:rPr>
          <w:rStyle w:val="s10"/>
        </w:rPr>
        <w:t> </w:t>
      </w:r>
      <w:r w:rsidRPr="006F0464">
        <w:rPr>
          <w:rStyle w:val="s10"/>
        </w:rPr>
        <w:t>hours have passed since the time the dose is usually taken, the patient should be told to wait until the next scheduled dose.</w:t>
      </w:r>
    </w:p>
    <w:p w14:paraId="28920912" w14:textId="77777777" w:rsidR="005B21D5" w:rsidRPr="006F0464" w:rsidRDefault="005B21D5" w:rsidP="005B21D5">
      <w:pPr>
        <w:pStyle w:val="labeltext"/>
        <w:rPr>
          <w:sz w:val="22"/>
          <w:szCs w:val="22"/>
        </w:rPr>
      </w:pPr>
    </w:p>
    <w:p w14:paraId="0572C698" w14:textId="10613735" w:rsidR="005B21D5" w:rsidRPr="006F0464" w:rsidRDefault="005A3D7D" w:rsidP="000A093B">
      <w:pPr>
        <w:pStyle w:val="labeltext"/>
        <w:keepNext/>
        <w:rPr>
          <w:i/>
          <w:sz w:val="22"/>
          <w:szCs w:val="22"/>
        </w:rPr>
      </w:pPr>
      <w:r w:rsidRPr="006F0464">
        <w:rPr>
          <w:i/>
          <w:sz w:val="22"/>
          <w:szCs w:val="22"/>
        </w:rPr>
        <w:t>Concomitant use of CYP3A i</w:t>
      </w:r>
      <w:r w:rsidRPr="006F0464">
        <w:rPr>
          <w:i/>
          <w:sz w:val="22"/>
          <w:szCs w:val="22"/>
        </w:rPr>
        <w:t>nhibitors</w:t>
      </w:r>
    </w:p>
    <w:p w14:paraId="1F395A89" w14:textId="77777777" w:rsidR="00C8786C" w:rsidRPr="006F0464" w:rsidRDefault="00C8786C" w:rsidP="000A093B">
      <w:pPr>
        <w:pStyle w:val="labeltext"/>
        <w:keepNext/>
        <w:rPr>
          <w:i/>
          <w:sz w:val="22"/>
          <w:szCs w:val="22"/>
        </w:rPr>
      </w:pPr>
    </w:p>
    <w:p w14:paraId="7652FEC7" w14:textId="087AA362" w:rsidR="005B21D5" w:rsidRPr="006F0464" w:rsidRDefault="005A3D7D" w:rsidP="000A093B">
      <w:pPr>
        <w:pStyle w:val="labeltext"/>
        <w:keepNext/>
        <w:rPr>
          <w:bCs/>
          <w:iCs/>
          <w:sz w:val="22"/>
          <w:szCs w:val="22"/>
        </w:rPr>
      </w:pPr>
      <w:r w:rsidRPr="006F0464">
        <w:rPr>
          <w:sz w:val="22"/>
          <w:szCs w:val="22"/>
        </w:rPr>
        <w:t>When co-administered with strong inhibitors of CYP3A</w:t>
      </w:r>
      <w:r w:rsidR="004F0618">
        <w:rPr>
          <w:sz w:val="22"/>
          <w:szCs w:val="22"/>
        </w:rPr>
        <w:t xml:space="preserve"> in patients</w:t>
      </w:r>
      <w:r w:rsidR="009F7297">
        <w:rPr>
          <w:sz w:val="22"/>
          <w:szCs w:val="22"/>
        </w:rPr>
        <w:t xml:space="preserve"> aged</w:t>
      </w:r>
      <w:r w:rsidR="004F0618">
        <w:rPr>
          <w:sz w:val="22"/>
          <w:szCs w:val="22"/>
        </w:rPr>
        <w:t xml:space="preserve"> 6 months and older</w:t>
      </w:r>
      <w:r w:rsidRPr="006F0464">
        <w:rPr>
          <w:sz w:val="22"/>
          <w:szCs w:val="22"/>
        </w:rPr>
        <w:t xml:space="preserve">, the </w:t>
      </w:r>
      <w:r w:rsidR="00C8786C" w:rsidRPr="006F0464">
        <w:rPr>
          <w:bCs/>
          <w:iCs/>
          <w:sz w:val="22"/>
          <w:szCs w:val="22"/>
          <w:lang w:val="en-GB"/>
        </w:rPr>
        <w:t xml:space="preserve">ivacaftor </w:t>
      </w:r>
      <w:r w:rsidRPr="006F0464">
        <w:rPr>
          <w:bCs/>
          <w:iCs/>
          <w:sz w:val="22"/>
          <w:szCs w:val="22"/>
          <w:lang w:val="en-GB"/>
        </w:rPr>
        <w:t xml:space="preserve">dose should be reduced to </w:t>
      </w:r>
      <w:r w:rsidR="00BA755F" w:rsidRPr="006F0464">
        <w:rPr>
          <w:bCs/>
          <w:iCs/>
          <w:sz w:val="22"/>
          <w:szCs w:val="22"/>
          <w:lang w:val="en-GB"/>
        </w:rPr>
        <w:t>one sachet</w:t>
      </w:r>
      <w:r w:rsidRPr="006F0464">
        <w:rPr>
          <w:bCs/>
          <w:iCs/>
          <w:sz w:val="22"/>
          <w:szCs w:val="22"/>
          <w:lang w:val="en-GB"/>
        </w:rPr>
        <w:t xml:space="preserve"> </w:t>
      </w:r>
      <w:r w:rsidR="009E4D35" w:rsidRPr="006F0464">
        <w:rPr>
          <w:bCs/>
          <w:iCs/>
          <w:sz w:val="22"/>
          <w:szCs w:val="22"/>
          <w:lang w:val="en-GB"/>
        </w:rPr>
        <w:t>(ivacaftor 25</w:t>
      </w:r>
      <w:r w:rsidR="00075D87" w:rsidRPr="006F0464">
        <w:rPr>
          <w:bCs/>
          <w:iCs/>
          <w:sz w:val="22"/>
          <w:szCs w:val="22"/>
          <w:lang w:val="en-GB"/>
        </w:rPr>
        <w:t> </w:t>
      </w:r>
      <w:r w:rsidR="009E4D35" w:rsidRPr="006F0464">
        <w:rPr>
          <w:bCs/>
          <w:iCs/>
          <w:sz w:val="22"/>
          <w:szCs w:val="22"/>
          <w:lang w:val="en-GB"/>
        </w:rPr>
        <w:t>mg for patients 5</w:t>
      </w:r>
      <w:r w:rsidR="00075D87" w:rsidRPr="006F0464">
        <w:rPr>
          <w:bCs/>
          <w:iCs/>
          <w:sz w:val="22"/>
          <w:szCs w:val="22"/>
          <w:lang w:val="en-GB"/>
        </w:rPr>
        <w:t> </w:t>
      </w:r>
      <w:r w:rsidR="009E4D35" w:rsidRPr="006F0464">
        <w:rPr>
          <w:bCs/>
          <w:iCs/>
          <w:sz w:val="22"/>
          <w:szCs w:val="22"/>
          <w:lang w:val="en-GB"/>
        </w:rPr>
        <w:t>kg to &lt;</w:t>
      </w:r>
      <w:r w:rsidR="00A90674" w:rsidRPr="006F0464">
        <w:rPr>
          <w:bCs/>
          <w:iCs/>
          <w:sz w:val="22"/>
          <w:szCs w:val="22"/>
          <w:lang w:val="en-GB"/>
        </w:rPr>
        <w:t> </w:t>
      </w:r>
      <w:r w:rsidR="009E4D35" w:rsidRPr="006F0464">
        <w:rPr>
          <w:bCs/>
          <w:iCs/>
          <w:sz w:val="22"/>
          <w:szCs w:val="22"/>
          <w:lang w:val="en-GB"/>
        </w:rPr>
        <w:t>7</w:t>
      </w:r>
      <w:r w:rsidR="00075D87" w:rsidRPr="006F0464">
        <w:rPr>
          <w:bCs/>
          <w:iCs/>
          <w:sz w:val="22"/>
          <w:szCs w:val="22"/>
          <w:lang w:val="en-GB"/>
        </w:rPr>
        <w:t> </w:t>
      </w:r>
      <w:r w:rsidR="009E4D35" w:rsidRPr="006F0464">
        <w:rPr>
          <w:bCs/>
          <w:iCs/>
          <w:sz w:val="22"/>
          <w:szCs w:val="22"/>
          <w:lang w:val="en-GB"/>
        </w:rPr>
        <w:t>kg; ivacaftor 50</w:t>
      </w:r>
      <w:r w:rsidR="00075D87" w:rsidRPr="006F0464">
        <w:rPr>
          <w:bCs/>
          <w:iCs/>
          <w:sz w:val="22"/>
          <w:szCs w:val="22"/>
          <w:lang w:val="en-GB"/>
        </w:rPr>
        <w:t> </w:t>
      </w:r>
      <w:r w:rsidR="009E4D35" w:rsidRPr="006F0464">
        <w:rPr>
          <w:bCs/>
          <w:iCs/>
          <w:sz w:val="22"/>
          <w:szCs w:val="22"/>
          <w:lang w:val="en-GB"/>
        </w:rPr>
        <w:t>mg for patients 7</w:t>
      </w:r>
      <w:r w:rsidR="00075D87" w:rsidRPr="006F0464">
        <w:rPr>
          <w:bCs/>
          <w:iCs/>
          <w:sz w:val="22"/>
          <w:szCs w:val="22"/>
          <w:lang w:val="en-GB"/>
        </w:rPr>
        <w:t> </w:t>
      </w:r>
      <w:r w:rsidR="009E4D35" w:rsidRPr="006F0464">
        <w:rPr>
          <w:bCs/>
          <w:iCs/>
          <w:sz w:val="22"/>
          <w:szCs w:val="22"/>
          <w:lang w:val="en-GB"/>
        </w:rPr>
        <w:t>kg to &lt;</w:t>
      </w:r>
      <w:r w:rsidR="00A90674" w:rsidRPr="006F0464">
        <w:rPr>
          <w:bCs/>
          <w:iCs/>
          <w:sz w:val="22"/>
          <w:szCs w:val="22"/>
          <w:lang w:val="en-GB"/>
        </w:rPr>
        <w:t> </w:t>
      </w:r>
      <w:r w:rsidR="009E4D35" w:rsidRPr="006F0464">
        <w:rPr>
          <w:bCs/>
          <w:iCs/>
          <w:sz w:val="22"/>
          <w:szCs w:val="22"/>
          <w:lang w:val="en-GB"/>
        </w:rPr>
        <w:t>14</w:t>
      </w:r>
      <w:r w:rsidR="00075D87" w:rsidRPr="006F0464">
        <w:rPr>
          <w:bCs/>
          <w:iCs/>
          <w:sz w:val="22"/>
          <w:szCs w:val="22"/>
          <w:lang w:val="en-GB"/>
        </w:rPr>
        <w:t> </w:t>
      </w:r>
      <w:r w:rsidR="009E4D35" w:rsidRPr="006F0464">
        <w:rPr>
          <w:bCs/>
          <w:iCs/>
          <w:sz w:val="22"/>
          <w:szCs w:val="22"/>
          <w:lang w:val="en-GB"/>
        </w:rPr>
        <w:t>kg; ivacaftor 75</w:t>
      </w:r>
      <w:r w:rsidR="00075D87" w:rsidRPr="006F0464">
        <w:rPr>
          <w:bCs/>
          <w:iCs/>
          <w:sz w:val="22"/>
          <w:szCs w:val="22"/>
          <w:lang w:val="en-GB"/>
        </w:rPr>
        <w:t> </w:t>
      </w:r>
      <w:r w:rsidR="009E4D35" w:rsidRPr="006F0464">
        <w:rPr>
          <w:bCs/>
          <w:iCs/>
          <w:sz w:val="22"/>
          <w:szCs w:val="22"/>
          <w:lang w:val="en-GB"/>
        </w:rPr>
        <w:t>mg for patients 14</w:t>
      </w:r>
      <w:r w:rsidR="00075D87" w:rsidRPr="006F0464">
        <w:rPr>
          <w:bCs/>
          <w:iCs/>
          <w:sz w:val="22"/>
          <w:szCs w:val="22"/>
          <w:lang w:val="en-GB"/>
        </w:rPr>
        <w:t> </w:t>
      </w:r>
      <w:r w:rsidR="009E4D35" w:rsidRPr="006F0464">
        <w:rPr>
          <w:bCs/>
          <w:iCs/>
          <w:sz w:val="22"/>
          <w:szCs w:val="22"/>
          <w:lang w:val="en-GB"/>
        </w:rPr>
        <w:t>kg to &lt;</w:t>
      </w:r>
      <w:r w:rsidR="00A90674" w:rsidRPr="006F0464">
        <w:rPr>
          <w:bCs/>
          <w:iCs/>
          <w:sz w:val="22"/>
          <w:szCs w:val="22"/>
          <w:lang w:val="en-GB"/>
        </w:rPr>
        <w:t> </w:t>
      </w:r>
      <w:r w:rsidR="009E4D35" w:rsidRPr="006F0464">
        <w:rPr>
          <w:bCs/>
          <w:iCs/>
          <w:sz w:val="22"/>
          <w:szCs w:val="22"/>
          <w:lang w:val="en-GB"/>
        </w:rPr>
        <w:t>25</w:t>
      </w:r>
      <w:r w:rsidR="00075D87" w:rsidRPr="006F0464">
        <w:rPr>
          <w:bCs/>
          <w:iCs/>
          <w:sz w:val="22"/>
          <w:szCs w:val="22"/>
          <w:lang w:val="en-GB"/>
        </w:rPr>
        <w:t> </w:t>
      </w:r>
      <w:r w:rsidR="009E4D35" w:rsidRPr="006F0464">
        <w:rPr>
          <w:bCs/>
          <w:iCs/>
          <w:sz w:val="22"/>
          <w:szCs w:val="22"/>
          <w:lang w:val="en-GB"/>
        </w:rPr>
        <w:t xml:space="preserve">kg) </w:t>
      </w:r>
      <w:r w:rsidRPr="006F0464">
        <w:rPr>
          <w:bCs/>
          <w:iCs/>
          <w:sz w:val="22"/>
          <w:szCs w:val="22"/>
          <w:lang w:val="en-GB"/>
        </w:rPr>
        <w:t xml:space="preserve">twice a week </w:t>
      </w:r>
      <w:r w:rsidRPr="006F0464">
        <w:rPr>
          <w:sz w:val="22"/>
          <w:szCs w:val="22"/>
        </w:rPr>
        <w:t>(see sections 4.4 and 4.5).</w:t>
      </w:r>
    </w:p>
    <w:p w14:paraId="6904FD4B" w14:textId="77777777" w:rsidR="005B21D5" w:rsidRPr="006F0464" w:rsidRDefault="005B21D5" w:rsidP="005B21D5">
      <w:pPr>
        <w:pStyle w:val="labeltext"/>
        <w:rPr>
          <w:bCs/>
          <w:iCs/>
          <w:sz w:val="22"/>
          <w:szCs w:val="22"/>
        </w:rPr>
      </w:pPr>
    </w:p>
    <w:p w14:paraId="7F7620C0" w14:textId="409E0B9D" w:rsidR="005B21D5" w:rsidRPr="006F0464" w:rsidRDefault="005A3D7D" w:rsidP="005B21D5">
      <w:pPr>
        <w:pStyle w:val="labeltext"/>
        <w:rPr>
          <w:bCs/>
          <w:iCs/>
          <w:sz w:val="22"/>
          <w:szCs w:val="22"/>
        </w:rPr>
      </w:pPr>
      <w:r w:rsidRPr="006F0464">
        <w:rPr>
          <w:sz w:val="22"/>
          <w:szCs w:val="22"/>
        </w:rPr>
        <w:t>When co-administered with moderate inhibitors of CYP3A</w:t>
      </w:r>
      <w:r w:rsidR="004F0618">
        <w:rPr>
          <w:sz w:val="22"/>
          <w:szCs w:val="22"/>
        </w:rPr>
        <w:t xml:space="preserve"> in patients aged 6 months and older</w:t>
      </w:r>
      <w:r w:rsidRPr="006F0464">
        <w:rPr>
          <w:sz w:val="22"/>
          <w:szCs w:val="22"/>
        </w:rPr>
        <w:t>,</w:t>
      </w:r>
      <w:r w:rsidRPr="006F0464">
        <w:rPr>
          <w:bCs/>
          <w:iCs/>
          <w:sz w:val="22"/>
          <w:szCs w:val="22"/>
          <w:lang w:val="en-GB"/>
        </w:rPr>
        <w:t xml:space="preserve"> the </w:t>
      </w:r>
      <w:r w:rsidR="00B66DED" w:rsidRPr="006F0464">
        <w:rPr>
          <w:bCs/>
          <w:iCs/>
          <w:sz w:val="22"/>
          <w:szCs w:val="22"/>
          <w:lang w:val="en-GB"/>
        </w:rPr>
        <w:t xml:space="preserve">ivacaftor </w:t>
      </w:r>
      <w:r w:rsidRPr="006F0464">
        <w:rPr>
          <w:bCs/>
          <w:iCs/>
          <w:sz w:val="22"/>
          <w:szCs w:val="22"/>
          <w:lang w:val="en-GB"/>
        </w:rPr>
        <w:t xml:space="preserve">dose is as above recommended but administered once daily </w:t>
      </w:r>
      <w:r w:rsidRPr="006F0464">
        <w:rPr>
          <w:sz w:val="22"/>
          <w:szCs w:val="22"/>
        </w:rPr>
        <w:t>(see</w:t>
      </w:r>
      <w:r w:rsidRPr="006F0464">
        <w:rPr>
          <w:sz w:val="22"/>
          <w:szCs w:val="22"/>
        </w:rPr>
        <w:t xml:space="preserve"> sections 4.4 and 4.5).</w:t>
      </w:r>
    </w:p>
    <w:p w14:paraId="71D36546" w14:textId="2D7EBE74" w:rsidR="00096B0E" w:rsidRDefault="00096B0E" w:rsidP="000D02CF">
      <w:pPr>
        <w:tabs>
          <w:tab w:val="left" w:pos="270"/>
        </w:tabs>
        <w:spacing w:line="240" w:lineRule="auto"/>
      </w:pPr>
    </w:p>
    <w:p w14:paraId="027A0D53" w14:textId="77777777" w:rsidR="004F0618" w:rsidRPr="00A808AC" w:rsidRDefault="005A3D7D" w:rsidP="004F0618">
      <w:pPr>
        <w:tabs>
          <w:tab w:val="left" w:pos="270"/>
        </w:tabs>
        <w:spacing w:line="240" w:lineRule="auto"/>
      </w:pPr>
      <w:r w:rsidRPr="00E00BF1">
        <w:t xml:space="preserve">Due to the variability in maturation of the cytochrome (CYP) enzymes involved in ivacaftor metabolism, treatment with ivacaftor is not recommended when co-administered with moderate or strong inhibitors of CYP3A in patients </w:t>
      </w:r>
      <w:r w:rsidRPr="00E00BF1">
        <w:t>aged 4 months to less than 6 months, unless the benefits outweigh the risks. In such cases, the recommended dose is one packet of 25 mg granules twice weekly or less frequently (see sections 4.4 and 4.5). Dosing intervals should be modified according to cl</w:t>
      </w:r>
      <w:r w:rsidRPr="00E00BF1">
        <w:t>inical response and tolerability (see sections 4.4 and 5.2)</w:t>
      </w:r>
    </w:p>
    <w:p w14:paraId="725D3025" w14:textId="77777777" w:rsidR="004F0618" w:rsidRDefault="004F0618" w:rsidP="000D02CF">
      <w:pPr>
        <w:tabs>
          <w:tab w:val="left" w:pos="270"/>
        </w:tabs>
        <w:spacing w:line="240" w:lineRule="auto"/>
      </w:pPr>
    </w:p>
    <w:p w14:paraId="730BF9E5" w14:textId="77777777" w:rsidR="004F0618" w:rsidRPr="006F0464" w:rsidRDefault="004F0618" w:rsidP="000D02CF">
      <w:pPr>
        <w:tabs>
          <w:tab w:val="left" w:pos="270"/>
        </w:tabs>
        <w:spacing w:line="240" w:lineRule="auto"/>
      </w:pPr>
    </w:p>
    <w:p w14:paraId="55E134A0" w14:textId="77777777" w:rsidR="00096B0E" w:rsidRPr="006F0464" w:rsidRDefault="005A3D7D" w:rsidP="00A0798C">
      <w:pPr>
        <w:keepNext/>
        <w:spacing w:line="240" w:lineRule="auto"/>
        <w:rPr>
          <w:u w:val="single"/>
        </w:rPr>
      </w:pPr>
      <w:r w:rsidRPr="006F0464">
        <w:rPr>
          <w:u w:val="single"/>
        </w:rPr>
        <w:t>Special populations</w:t>
      </w:r>
    </w:p>
    <w:p w14:paraId="3BACC441" w14:textId="77777777" w:rsidR="00502244" w:rsidRPr="006F0464" w:rsidRDefault="00502244" w:rsidP="0069106A">
      <w:pPr>
        <w:keepNext/>
        <w:spacing w:line="240" w:lineRule="auto"/>
        <w:rPr>
          <w:u w:val="single"/>
        </w:rPr>
      </w:pPr>
    </w:p>
    <w:p w14:paraId="6DF1BB31" w14:textId="77777777" w:rsidR="00096B0E" w:rsidRPr="006F0464" w:rsidRDefault="005A3D7D" w:rsidP="000A093B">
      <w:pPr>
        <w:keepNext/>
        <w:spacing w:line="240" w:lineRule="auto"/>
        <w:rPr>
          <w:i/>
          <w:iCs/>
        </w:rPr>
      </w:pPr>
      <w:r w:rsidRPr="006F0464">
        <w:rPr>
          <w:i/>
          <w:iCs/>
        </w:rPr>
        <w:t>Renal impairment</w:t>
      </w:r>
    </w:p>
    <w:p w14:paraId="6DA72EE0" w14:textId="77777777" w:rsidR="00570552" w:rsidRPr="006F0464" w:rsidRDefault="00570552" w:rsidP="000A093B">
      <w:pPr>
        <w:keepNext/>
        <w:spacing w:line="240" w:lineRule="auto"/>
        <w:rPr>
          <w:i/>
          <w:iCs/>
        </w:rPr>
      </w:pPr>
    </w:p>
    <w:p w14:paraId="41BE2CC1" w14:textId="77777777" w:rsidR="00096B0E" w:rsidRPr="006F0464" w:rsidRDefault="005A3D7D" w:rsidP="000A093B">
      <w:pPr>
        <w:pStyle w:val="labeltext"/>
        <w:keepNext/>
        <w:rPr>
          <w:sz w:val="22"/>
          <w:szCs w:val="22"/>
        </w:rPr>
      </w:pPr>
      <w:r w:rsidRPr="006F0464">
        <w:rPr>
          <w:sz w:val="22"/>
          <w:szCs w:val="22"/>
        </w:rPr>
        <w:t xml:space="preserve">No dose adjustment is necessary for patients with mild to moderate renal impairment. Caution is recommended in patients with severe renal </w:t>
      </w:r>
      <w:r w:rsidRPr="006F0464">
        <w:rPr>
          <w:sz w:val="22"/>
          <w:szCs w:val="22"/>
        </w:rPr>
        <w:t>impairment (creatinine clearance less than or equal to 30 mL/min) or end</w:t>
      </w:r>
      <w:r w:rsidR="007178AD" w:rsidRPr="006F0464">
        <w:rPr>
          <w:sz w:val="22"/>
          <w:szCs w:val="22"/>
        </w:rPr>
        <w:noBreakHyphen/>
      </w:r>
      <w:r w:rsidRPr="006F0464">
        <w:rPr>
          <w:sz w:val="22"/>
          <w:szCs w:val="22"/>
        </w:rPr>
        <w:t>stage renal disease (see sections 4.4 and 5.2).</w:t>
      </w:r>
    </w:p>
    <w:p w14:paraId="37C7B8D0" w14:textId="77777777" w:rsidR="00096B0E" w:rsidRPr="006F0464" w:rsidRDefault="00096B0E" w:rsidP="000D02CF">
      <w:pPr>
        <w:pStyle w:val="labeltextheading"/>
        <w:rPr>
          <w:sz w:val="22"/>
          <w:szCs w:val="22"/>
        </w:rPr>
      </w:pPr>
    </w:p>
    <w:p w14:paraId="0409CF18" w14:textId="2CD2DBE6" w:rsidR="00096B0E" w:rsidRPr="006F0464" w:rsidRDefault="005A3D7D" w:rsidP="00A0798C">
      <w:pPr>
        <w:pStyle w:val="labeltextheading"/>
        <w:rPr>
          <w:sz w:val="22"/>
          <w:szCs w:val="22"/>
        </w:rPr>
      </w:pPr>
      <w:r w:rsidRPr="006F0464">
        <w:rPr>
          <w:sz w:val="22"/>
          <w:szCs w:val="22"/>
        </w:rPr>
        <w:t>Hepatic impairment</w:t>
      </w:r>
    </w:p>
    <w:p w14:paraId="075A82CB" w14:textId="77777777" w:rsidR="00570552" w:rsidRPr="006F0464" w:rsidRDefault="00570552" w:rsidP="0069106A">
      <w:pPr>
        <w:pStyle w:val="labeltextheading"/>
        <w:rPr>
          <w:sz w:val="22"/>
          <w:szCs w:val="22"/>
        </w:rPr>
      </w:pPr>
    </w:p>
    <w:p w14:paraId="36586CA1" w14:textId="08749232" w:rsidR="00096B0E" w:rsidRPr="006F0464" w:rsidRDefault="005A3D7D" w:rsidP="000A093B">
      <w:pPr>
        <w:pStyle w:val="labeltext"/>
        <w:keepNext/>
        <w:rPr>
          <w:sz w:val="22"/>
          <w:szCs w:val="22"/>
        </w:rPr>
      </w:pPr>
      <w:r w:rsidRPr="000A093B">
        <w:rPr>
          <w:sz w:val="22"/>
          <w:szCs w:val="22"/>
          <w:lang w:val="en-GB"/>
        </w:rPr>
        <w:t xml:space="preserve">No dose adjustment is necessary for patients </w:t>
      </w:r>
      <w:r w:rsidR="004F0618">
        <w:rPr>
          <w:sz w:val="22"/>
          <w:szCs w:val="22"/>
          <w:lang w:val="en-GB"/>
        </w:rPr>
        <w:t xml:space="preserve">aged 6 months and older </w:t>
      </w:r>
      <w:r w:rsidRPr="000A093B">
        <w:rPr>
          <w:sz w:val="22"/>
          <w:szCs w:val="22"/>
          <w:lang w:val="en-GB"/>
        </w:rPr>
        <w:t>with mild hepatic impairment (Child</w:t>
      </w:r>
      <w:r w:rsidR="004E4558" w:rsidRPr="000A093B">
        <w:rPr>
          <w:sz w:val="22"/>
          <w:szCs w:val="22"/>
          <w:lang w:val="en-GB"/>
        </w:rPr>
        <w:noBreakHyphen/>
      </w:r>
      <w:r w:rsidRPr="000A093B">
        <w:rPr>
          <w:sz w:val="22"/>
          <w:szCs w:val="22"/>
          <w:lang w:val="en-GB"/>
        </w:rPr>
        <w:t>Pugh Clas</w:t>
      </w:r>
      <w:r w:rsidRPr="000A093B">
        <w:rPr>
          <w:sz w:val="22"/>
          <w:szCs w:val="22"/>
          <w:lang w:val="en-GB"/>
        </w:rPr>
        <w:t xml:space="preserve">s A). </w:t>
      </w:r>
      <w:r w:rsidRPr="006F0464">
        <w:rPr>
          <w:bCs/>
          <w:sz w:val="22"/>
          <w:szCs w:val="22"/>
          <w:lang w:val="en-GB"/>
        </w:rPr>
        <w:t xml:space="preserve">For patients </w:t>
      </w:r>
      <w:r w:rsidR="004F0618">
        <w:rPr>
          <w:bCs/>
          <w:sz w:val="22"/>
          <w:szCs w:val="22"/>
          <w:lang w:val="en-GB"/>
        </w:rPr>
        <w:t xml:space="preserve">aged 6 months and older </w:t>
      </w:r>
      <w:r w:rsidRPr="006F0464">
        <w:rPr>
          <w:bCs/>
          <w:sz w:val="22"/>
          <w:szCs w:val="22"/>
          <w:lang w:val="en-GB"/>
        </w:rPr>
        <w:t>with moderate hepatic impairment (Child</w:t>
      </w:r>
      <w:r w:rsidR="004E4558" w:rsidRPr="006F0464">
        <w:rPr>
          <w:bCs/>
          <w:sz w:val="22"/>
          <w:szCs w:val="22"/>
          <w:lang w:val="en-GB"/>
        </w:rPr>
        <w:noBreakHyphen/>
      </w:r>
      <w:r w:rsidRPr="006F0464">
        <w:rPr>
          <w:bCs/>
          <w:sz w:val="22"/>
          <w:szCs w:val="22"/>
          <w:lang w:val="en-GB"/>
        </w:rPr>
        <w:t xml:space="preserve">Pugh Class B), a </w:t>
      </w:r>
      <w:r w:rsidRPr="006F0464">
        <w:rPr>
          <w:sz w:val="22"/>
          <w:szCs w:val="22"/>
        </w:rPr>
        <w:t xml:space="preserve">reduced dose of </w:t>
      </w:r>
      <w:r w:rsidR="004C5FCF" w:rsidRPr="006F0464">
        <w:rPr>
          <w:sz w:val="22"/>
          <w:szCs w:val="22"/>
        </w:rPr>
        <w:t xml:space="preserve">one sachet </w:t>
      </w:r>
      <w:r w:rsidR="009E4D35" w:rsidRPr="00A13C4D">
        <w:rPr>
          <w:sz w:val="22"/>
          <w:szCs w:val="22"/>
        </w:rPr>
        <w:t>(ivacaftor 25</w:t>
      </w:r>
      <w:r w:rsidR="00075D87" w:rsidRPr="00A13C4D">
        <w:rPr>
          <w:sz w:val="22"/>
          <w:szCs w:val="22"/>
        </w:rPr>
        <w:t> </w:t>
      </w:r>
      <w:r w:rsidR="009E4D35" w:rsidRPr="00A13C4D">
        <w:rPr>
          <w:sz w:val="22"/>
          <w:szCs w:val="22"/>
        </w:rPr>
        <w:t>mg for patients 5</w:t>
      </w:r>
      <w:r w:rsidR="00075D87" w:rsidRPr="00A13C4D">
        <w:rPr>
          <w:sz w:val="22"/>
          <w:szCs w:val="22"/>
        </w:rPr>
        <w:t> </w:t>
      </w:r>
      <w:r w:rsidR="009E4D35" w:rsidRPr="00D3392A">
        <w:rPr>
          <w:sz w:val="22"/>
          <w:szCs w:val="22"/>
        </w:rPr>
        <w:t xml:space="preserve">kg to </w:t>
      </w:r>
      <w:r w:rsidR="00203203" w:rsidRPr="00D3392A">
        <w:rPr>
          <w:sz w:val="22"/>
          <w:szCs w:val="22"/>
        </w:rPr>
        <w:t>&lt; </w:t>
      </w:r>
      <w:r w:rsidR="009E4D35" w:rsidRPr="00D3392A">
        <w:rPr>
          <w:sz w:val="22"/>
          <w:szCs w:val="22"/>
        </w:rPr>
        <w:t>7</w:t>
      </w:r>
      <w:r w:rsidR="00075D87" w:rsidRPr="00D3392A">
        <w:rPr>
          <w:sz w:val="22"/>
          <w:szCs w:val="22"/>
        </w:rPr>
        <w:t> </w:t>
      </w:r>
      <w:r w:rsidR="009E4D35" w:rsidRPr="00D3392A">
        <w:rPr>
          <w:sz w:val="22"/>
          <w:szCs w:val="22"/>
        </w:rPr>
        <w:t>kg; ivacaftor 50</w:t>
      </w:r>
      <w:r w:rsidR="00075D87" w:rsidRPr="00D3392A">
        <w:rPr>
          <w:sz w:val="22"/>
          <w:szCs w:val="22"/>
        </w:rPr>
        <w:t> </w:t>
      </w:r>
      <w:r w:rsidR="009E4D35" w:rsidRPr="00D3392A">
        <w:rPr>
          <w:sz w:val="22"/>
          <w:szCs w:val="22"/>
        </w:rPr>
        <w:t>mg for patients 7</w:t>
      </w:r>
      <w:r w:rsidR="00075D87" w:rsidRPr="00D3392A">
        <w:rPr>
          <w:sz w:val="22"/>
          <w:szCs w:val="22"/>
        </w:rPr>
        <w:t> </w:t>
      </w:r>
      <w:r w:rsidR="009E4D35" w:rsidRPr="00D3392A">
        <w:rPr>
          <w:sz w:val="22"/>
          <w:szCs w:val="22"/>
        </w:rPr>
        <w:t>kg to &lt;</w:t>
      </w:r>
      <w:r w:rsidR="00203203" w:rsidRPr="0056172A">
        <w:rPr>
          <w:sz w:val="22"/>
          <w:szCs w:val="22"/>
        </w:rPr>
        <w:t> </w:t>
      </w:r>
      <w:r w:rsidR="009E4D35" w:rsidRPr="0056172A">
        <w:rPr>
          <w:sz w:val="22"/>
          <w:szCs w:val="22"/>
        </w:rPr>
        <w:t>14</w:t>
      </w:r>
      <w:r w:rsidR="00075D87" w:rsidRPr="0056172A">
        <w:rPr>
          <w:sz w:val="22"/>
          <w:szCs w:val="22"/>
        </w:rPr>
        <w:t> </w:t>
      </w:r>
      <w:r w:rsidR="009E4D35" w:rsidRPr="004D04C5">
        <w:rPr>
          <w:sz w:val="22"/>
          <w:szCs w:val="22"/>
        </w:rPr>
        <w:t>kg; ivacaftor</w:t>
      </w:r>
      <w:r w:rsidR="009E4D35" w:rsidRPr="000A093B">
        <w:rPr>
          <w:sz w:val="22"/>
          <w:szCs w:val="22"/>
        </w:rPr>
        <w:t xml:space="preserve"> 75</w:t>
      </w:r>
      <w:r w:rsidR="00075D87" w:rsidRPr="000A093B">
        <w:rPr>
          <w:sz w:val="22"/>
          <w:szCs w:val="22"/>
        </w:rPr>
        <w:t> </w:t>
      </w:r>
      <w:r w:rsidR="009E4D35" w:rsidRPr="000A093B">
        <w:rPr>
          <w:sz w:val="22"/>
          <w:szCs w:val="22"/>
        </w:rPr>
        <w:t xml:space="preserve">mg </w:t>
      </w:r>
      <w:r w:rsidR="009E4D35" w:rsidRPr="006F0464">
        <w:rPr>
          <w:sz w:val="22"/>
          <w:szCs w:val="22"/>
        </w:rPr>
        <w:t>for patients</w:t>
      </w:r>
      <w:r w:rsidR="009E4D35" w:rsidRPr="000A093B">
        <w:rPr>
          <w:sz w:val="22"/>
          <w:szCs w:val="22"/>
        </w:rPr>
        <w:t xml:space="preserve"> 14</w:t>
      </w:r>
      <w:r w:rsidR="00075D87" w:rsidRPr="000A093B">
        <w:rPr>
          <w:sz w:val="22"/>
          <w:szCs w:val="22"/>
        </w:rPr>
        <w:t> </w:t>
      </w:r>
      <w:r w:rsidR="009E4D35" w:rsidRPr="000A093B">
        <w:rPr>
          <w:sz w:val="22"/>
          <w:szCs w:val="22"/>
        </w:rPr>
        <w:t xml:space="preserve">kg to </w:t>
      </w:r>
      <w:r w:rsidR="009E4D35" w:rsidRPr="006F0464">
        <w:rPr>
          <w:sz w:val="22"/>
          <w:szCs w:val="22"/>
        </w:rPr>
        <w:t>&lt;</w:t>
      </w:r>
      <w:r w:rsidR="00A90674" w:rsidRPr="006F0464">
        <w:rPr>
          <w:sz w:val="22"/>
          <w:szCs w:val="22"/>
        </w:rPr>
        <w:t> </w:t>
      </w:r>
      <w:r w:rsidR="009E4D35" w:rsidRPr="000A093B">
        <w:rPr>
          <w:sz w:val="22"/>
          <w:szCs w:val="22"/>
        </w:rPr>
        <w:t>25</w:t>
      </w:r>
      <w:r w:rsidR="00075D87" w:rsidRPr="000A093B">
        <w:rPr>
          <w:sz w:val="22"/>
          <w:szCs w:val="22"/>
        </w:rPr>
        <w:t> </w:t>
      </w:r>
      <w:r w:rsidR="009E4D35" w:rsidRPr="000A093B">
        <w:rPr>
          <w:sz w:val="22"/>
          <w:szCs w:val="22"/>
        </w:rPr>
        <w:t>kg</w:t>
      </w:r>
      <w:r w:rsidR="009E4D35" w:rsidRPr="006F0464">
        <w:rPr>
          <w:sz w:val="22"/>
          <w:szCs w:val="22"/>
        </w:rPr>
        <w:t xml:space="preserve">) </w:t>
      </w:r>
      <w:r w:rsidRPr="006F0464">
        <w:rPr>
          <w:sz w:val="22"/>
          <w:szCs w:val="22"/>
        </w:rPr>
        <w:t xml:space="preserve">once daily is recommended. There is no experience of the use of ivacaftor in patients </w:t>
      </w:r>
      <w:r w:rsidR="004F0618">
        <w:rPr>
          <w:sz w:val="22"/>
          <w:szCs w:val="22"/>
        </w:rPr>
        <w:t xml:space="preserve">aged 6 months and older </w:t>
      </w:r>
      <w:r w:rsidRPr="006F0464">
        <w:rPr>
          <w:sz w:val="22"/>
          <w:szCs w:val="22"/>
        </w:rPr>
        <w:t>with severe hepatic impairment</w:t>
      </w:r>
      <w:r w:rsidR="004F0618">
        <w:rPr>
          <w:sz w:val="22"/>
          <w:szCs w:val="22"/>
        </w:rPr>
        <w:t xml:space="preserve"> (Child-Pugh Class C)</w:t>
      </w:r>
      <w:r w:rsidR="001E6F07" w:rsidRPr="006F0464">
        <w:rPr>
          <w:sz w:val="22"/>
          <w:szCs w:val="22"/>
        </w:rPr>
        <w:t>;</w:t>
      </w:r>
      <w:r w:rsidRPr="006F0464">
        <w:rPr>
          <w:sz w:val="22"/>
          <w:szCs w:val="22"/>
        </w:rPr>
        <w:t xml:space="preserve"> therefore</w:t>
      </w:r>
      <w:r w:rsidR="001E6F07" w:rsidRPr="006F0464">
        <w:rPr>
          <w:sz w:val="22"/>
          <w:szCs w:val="22"/>
        </w:rPr>
        <w:t>,</w:t>
      </w:r>
      <w:r w:rsidRPr="006F0464">
        <w:rPr>
          <w:sz w:val="22"/>
          <w:szCs w:val="22"/>
        </w:rPr>
        <w:t xml:space="preserve"> its use is not recommended unless the benefits outweigh the risks. </w:t>
      </w:r>
      <w:r w:rsidRPr="006F0464">
        <w:rPr>
          <w:sz w:val="22"/>
          <w:szCs w:val="22"/>
        </w:rPr>
        <w:t xml:space="preserve">In such cases, the starting dose should be as above recommended, administered </w:t>
      </w:r>
      <w:r w:rsidRPr="006F0464">
        <w:rPr>
          <w:sz w:val="22"/>
          <w:szCs w:val="22"/>
          <w:lang w:val="en-GB"/>
        </w:rPr>
        <w:t>every other day</w:t>
      </w:r>
      <w:r w:rsidRPr="006F0464">
        <w:rPr>
          <w:sz w:val="22"/>
          <w:szCs w:val="22"/>
        </w:rPr>
        <w:t>. Dosing intervals should be modified according to clinical response and tolerability (see sections 4.4 and 5.2).</w:t>
      </w:r>
    </w:p>
    <w:p w14:paraId="794C2FE1" w14:textId="7814491F" w:rsidR="00643069" w:rsidRDefault="00643069" w:rsidP="000A093B">
      <w:pPr>
        <w:pStyle w:val="labeltext"/>
        <w:keepNext/>
        <w:rPr>
          <w:sz w:val="22"/>
          <w:szCs w:val="22"/>
        </w:rPr>
      </w:pPr>
    </w:p>
    <w:p w14:paraId="03A3C988" w14:textId="77777777" w:rsidR="004F0618" w:rsidRPr="00A808AC" w:rsidRDefault="005A3D7D" w:rsidP="004F0618">
      <w:pPr>
        <w:pStyle w:val="labeltext"/>
        <w:rPr>
          <w:sz w:val="22"/>
          <w:szCs w:val="22"/>
        </w:rPr>
      </w:pPr>
      <w:r w:rsidRPr="00E00BF1">
        <w:rPr>
          <w:sz w:val="22"/>
          <w:szCs w:val="22"/>
        </w:rPr>
        <w:t xml:space="preserve">Due to variability in maturation of </w:t>
      </w:r>
      <w:r w:rsidRPr="00E00BF1">
        <w:rPr>
          <w:sz w:val="22"/>
          <w:szCs w:val="22"/>
        </w:rPr>
        <w:t>cytochrome (CYP) enzymes involved in ivacaftor metabolism, treatment with ivacaftor is not recommended in patients aged 4 months to less than 6 months with hepatic impairment, unless the benefits outweigh the risks. In such cases, the recommended dose is o</w:t>
      </w:r>
      <w:r w:rsidRPr="00E00BF1">
        <w:rPr>
          <w:sz w:val="22"/>
          <w:szCs w:val="22"/>
        </w:rPr>
        <w:t>ne sachet (ivacaftor 25 mg) once daily or less frequently. Dosing intervals should be modified according to clinical response and tolerability (see sections 4.4 and 5.2).</w:t>
      </w:r>
    </w:p>
    <w:p w14:paraId="3D462525" w14:textId="77777777" w:rsidR="004F0618" w:rsidRPr="006F0464" w:rsidRDefault="004F0618" w:rsidP="000A093B">
      <w:pPr>
        <w:pStyle w:val="labeltext"/>
        <w:keepNext/>
        <w:rPr>
          <w:sz w:val="22"/>
          <w:szCs w:val="22"/>
        </w:rPr>
      </w:pPr>
    </w:p>
    <w:p w14:paraId="7AD5D14E" w14:textId="77777777" w:rsidR="00096B0E" w:rsidRPr="000A093B" w:rsidRDefault="005A3D7D" w:rsidP="000A093B">
      <w:pPr>
        <w:keepNext/>
        <w:suppressLineNumbers/>
        <w:spacing w:line="240" w:lineRule="auto"/>
        <w:rPr>
          <w:u w:val="single"/>
        </w:rPr>
      </w:pPr>
      <w:r w:rsidRPr="000A093B">
        <w:rPr>
          <w:u w:val="single"/>
        </w:rPr>
        <w:t>Paediatric population</w:t>
      </w:r>
    </w:p>
    <w:p w14:paraId="77CBA63A" w14:textId="77777777" w:rsidR="00570552" w:rsidRPr="006F0464" w:rsidRDefault="00570552" w:rsidP="000A093B">
      <w:pPr>
        <w:keepNext/>
        <w:suppressLineNumbers/>
        <w:spacing w:line="240" w:lineRule="auto"/>
        <w:rPr>
          <w:b/>
          <w:i/>
        </w:rPr>
      </w:pPr>
    </w:p>
    <w:p w14:paraId="5AB4F9E0" w14:textId="108AE5D7" w:rsidR="00096B0E" w:rsidRPr="00D3392A" w:rsidRDefault="005A3D7D" w:rsidP="000A093B">
      <w:pPr>
        <w:pStyle w:val="labeltext"/>
        <w:keepNext/>
        <w:rPr>
          <w:sz w:val="22"/>
          <w:szCs w:val="22"/>
        </w:rPr>
      </w:pPr>
      <w:r w:rsidRPr="006F0464">
        <w:rPr>
          <w:sz w:val="22"/>
          <w:szCs w:val="22"/>
        </w:rPr>
        <w:t xml:space="preserve">The safety and efficacy of </w:t>
      </w:r>
      <w:r w:rsidR="00570552" w:rsidRPr="006F0464">
        <w:rPr>
          <w:sz w:val="22"/>
          <w:szCs w:val="22"/>
        </w:rPr>
        <w:t xml:space="preserve">ivacaftor </w:t>
      </w:r>
      <w:r w:rsidRPr="006F0464">
        <w:rPr>
          <w:sz w:val="22"/>
          <w:szCs w:val="22"/>
        </w:rPr>
        <w:t>in ch</w:t>
      </w:r>
      <w:r w:rsidRPr="0052640C">
        <w:rPr>
          <w:sz w:val="22"/>
          <w:szCs w:val="22"/>
        </w:rPr>
        <w:t>ildren aged less th</w:t>
      </w:r>
      <w:r w:rsidRPr="0052640C">
        <w:rPr>
          <w:sz w:val="22"/>
          <w:szCs w:val="22"/>
        </w:rPr>
        <w:t xml:space="preserve">an </w:t>
      </w:r>
      <w:r w:rsidR="00CA7E1F">
        <w:rPr>
          <w:sz w:val="22"/>
          <w:szCs w:val="22"/>
        </w:rPr>
        <w:t>4</w:t>
      </w:r>
      <w:r w:rsidR="00CA7E1F" w:rsidRPr="0052640C">
        <w:rPr>
          <w:sz w:val="22"/>
          <w:szCs w:val="22"/>
        </w:rPr>
        <w:t> </w:t>
      </w:r>
      <w:r w:rsidR="001F42DB" w:rsidRPr="0052640C">
        <w:rPr>
          <w:sz w:val="22"/>
          <w:szCs w:val="22"/>
        </w:rPr>
        <w:t>months</w:t>
      </w:r>
      <w:r w:rsidR="001F42DB" w:rsidRPr="00A13C4D">
        <w:rPr>
          <w:sz w:val="22"/>
          <w:szCs w:val="22"/>
        </w:rPr>
        <w:t xml:space="preserve"> </w:t>
      </w:r>
      <w:r w:rsidRPr="00A13C4D">
        <w:rPr>
          <w:sz w:val="22"/>
          <w:szCs w:val="22"/>
        </w:rPr>
        <w:t>have not been established. No data are available.</w:t>
      </w:r>
    </w:p>
    <w:p w14:paraId="6BE2FB7C" w14:textId="77777777" w:rsidR="007E4B80" w:rsidRPr="00D3392A" w:rsidRDefault="007E4B80" w:rsidP="000D02CF">
      <w:pPr>
        <w:pStyle w:val="labeltext"/>
        <w:rPr>
          <w:sz w:val="22"/>
          <w:szCs w:val="22"/>
        </w:rPr>
      </w:pPr>
    </w:p>
    <w:p w14:paraId="7DD6C093" w14:textId="77777777" w:rsidR="007E4B80" w:rsidRPr="000A093B" w:rsidRDefault="005A3D7D" w:rsidP="000D02CF">
      <w:pPr>
        <w:pStyle w:val="labeltext"/>
        <w:rPr>
          <w:sz w:val="22"/>
          <w:szCs w:val="22"/>
        </w:rPr>
      </w:pPr>
      <w:r w:rsidRPr="000A093B">
        <w:rPr>
          <w:sz w:val="22"/>
          <w:szCs w:val="22"/>
        </w:rPr>
        <w:t>Limited data are available in patients less than 6</w:t>
      </w:r>
      <w:r w:rsidR="00B40199" w:rsidRPr="000A093B">
        <w:rPr>
          <w:sz w:val="22"/>
          <w:szCs w:val="22"/>
        </w:rPr>
        <w:t> </w:t>
      </w:r>
      <w:r w:rsidRPr="000A093B">
        <w:rPr>
          <w:sz w:val="22"/>
          <w:szCs w:val="22"/>
        </w:rPr>
        <w:t xml:space="preserve">years of age with an </w:t>
      </w:r>
      <w:r w:rsidRPr="000A093B">
        <w:rPr>
          <w:i/>
          <w:sz w:val="22"/>
          <w:szCs w:val="22"/>
        </w:rPr>
        <w:t>R117H</w:t>
      </w:r>
      <w:r w:rsidRPr="000A093B">
        <w:rPr>
          <w:sz w:val="22"/>
          <w:szCs w:val="22"/>
        </w:rPr>
        <w:t xml:space="preserve"> mutation in the </w:t>
      </w:r>
      <w:r w:rsidRPr="000A093B">
        <w:rPr>
          <w:i/>
          <w:sz w:val="22"/>
          <w:szCs w:val="22"/>
        </w:rPr>
        <w:t>CFTR</w:t>
      </w:r>
      <w:r w:rsidRPr="000A093B">
        <w:rPr>
          <w:sz w:val="22"/>
          <w:szCs w:val="22"/>
        </w:rPr>
        <w:t xml:space="preserve"> gene. Available data in patients aged 6</w:t>
      </w:r>
      <w:r w:rsidR="00B40199" w:rsidRPr="000A093B">
        <w:rPr>
          <w:sz w:val="22"/>
          <w:szCs w:val="22"/>
        </w:rPr>
        <w:t> </w:t>
      </w:r>
      <w:r w:rsidRPr="000A093B">
        <w:rPr>
          <w:sz w:val="22"/>
          <w:szCs w:val="22"/>
        </w:rPr>
        <w:t xml:space="preserve">years and older are described in sections 4.8, 5.1 </w:t>
      </w:r>
      <w:r w:rsidRPr="000A093B">
        <w:rPr>
          <w:sz w:val="22"/>
          <w:szCs w:val="22"/>
        </w:rPr>
        <w:t>and 5.2.</w:t>
      </w:r>
    </w:p>
    <w:p w14:paraId="32A6C369" w14:textId="77777777" w:rsidR="00096566" w:rsidRPr="006F0464" w:rsidRDefault="00096566" w:rsidP="000D02CF">
      <w:pPr>
        <w:pStyle w:val="labeltext"/>
        <w:rPr>
          <w:sz w:val="22"/>
          <w:szCs w:val="22"/>
        </w:rPr>
      </w:pPr>
    </w:p>
    <w:p w14:paraId="42A35E4C" w14:textId="77777777" w:rsidR="00096B0E" w:rsidRPr="006F0464" w:rsidRDefault="005A3D7D" w:rsidP="000A093B">
      <w:pPr>
        <w:keepNext/>
        <w:suppressLineNumbers/>
        <w:spacing w:line="240" w:lineRule="auto"/>
        <w:rPr>
          <w:u w:val="single"/>
        </w:rPr>
      </w:pPr>
      <w:r w:rsidRPr="006F0464">
        <w:rPr>
          <w:u w:val="single"/>
        </w:rPr>
        <w:t xml:space="preserve">Method of administration </w:t>
      </w:r>
    </w:p>
    <w:p w14:paraId="10656A92" w14:textId="77777777" w:rsidR="002C402F" w:rsidRPr="006F0464" w:rsidRDefault="002C402F" w:rsidP="000A093B">
      <w:pPr>
        <w:keepNext/>
        <w:suppressLineNumbers/>
        <w:spacing w:line="240" w:lineRule="auto"/>
        <w:rPr>
          <w:u w:val="single"/>
        </w:rPr>
      </w:pPr>
    </w:p>
    <w:p w14:paraId="1DB6182A" w14:textId="77777777" w:rsidR="00096B0E" w:rsidRPr="00A13C4D" w:rsidRDefault="005A3D7D" w:rsidP="000A093B">
      <w:pPr>
        <w:keepNext/>
        <w:tabs>
          <w:tab w:val="clear" w:pos="567"/>
        </w:tabs>
        <w:autoSpaceDE w:val="0"/>
        <w:autoSpaceDN w:val="0"/>
        <w:adjustRightInd w:val="0"/>
        <w:spacing w:line="240" w:lineRule="auto"/>
      </w:pPr>
      <w:r w:rsidRPr="00A13C4D">
        <w:t>For oral use.</w:t>
      </w:r>
    </w:p>
    <w:p w14:paraId="6DC9D4C7" w14:textId="77777777" w:rsidR="00096B0E" w:rsidRPr="00D3392A" w:rsidRDefault="00096B0E" w:rsidP="000D02CF">
      <w:pPr>
        <w:tabs>
          <w:tab w:val="clear" w:pos="567"/>
        </w:tabs>
        <w:autoSpaceDE w:val="0"/>
        <w:autoSpaceDN w:val="0"/>
        <w:adjustRightInd w:val="0"/>
        <w:spacing w:line="240" w:lineRule="auto"/>
      </w:pPr>
    </w:p>
    <w:p w14:paraId="72F4C81B" w14:textId="77777777" w:rsidR="00096B0E" w:rsidRPr="00D3392A" w:rsidRDefault="005A3D7D" w:rsidP="000D02CF">
      <w:pPr>
        <w:tabs>
          <w:tab w:val="clear" w:pos="567"/>
        </w:tabs>
        <w:autoSpaceDE w:val="0"/>
        <w:autoSpaceDN w:val="0"/>
        <w:adjustRightInd w:val="0"/>
        <w:spacing w:line="240" w:lineRule="auto"/>
        <w:rPr>
          <w:rFonts w:eastAsia="Times New Roman"/>
          <w:lang w:val="en-US" w:eastAsia="ja-JP"/>
        </w:rPr>
      </w:pPr>
      <w:r w:rsidRPr="00D3392A">
        <w:t>Each sachet is for single use only.</w:t>
      </w:r>
    </w:p>
    <w:p w14:paraId="33ADB0B7" w14:textId="77777777" w:rsidR="00096B0E" w:rsidRPr="004D04C5" w:rsidRDefault="00096B0E" w:rsidP="000D02CF">
      <w:pPr>
        <w:tabs>
          <w:tab w:val="clear" w:pos="567"/>
        </w:tabs>
        <w:autoSpaceDE w:val="0"/>
        <w:autoSpaceDN w:val="0"/>
        <w:adjustRightInd w:val="0"/>
        <w:spacing w:line="240" w:lineRule="auto"/>
      </w:pPr>
    </w:p>
    <w:p w14:paraId="29612E87" w14:textId="77777777" w:rsidR="00096B0E" w:rsidRPr="006F0464" w:rsidRDefault="005A3D7D" w:rsidP="004B39AF">
      <w:pPr>
        <w:suppressLineNumbers/>
        <w:spacing w:line="240" w:lineRule="auto"/>
        <w:rPr>
          <w:bCs/>
        </w:rPr>
      </w:pPr>
      <w:r w:rsidRPr="006F0464">
        <w:rPr>
          <w:bCs/>
        </w:rPr>
        <w:t>Each sachet of granules should be mixed with 5</w:t>
      </w:r>
      <w:r w:rsidR="006D67B5" w:rsidRPr="006F0464">
        <w:rPr>
          <w:bCs/>
        </w:rPr>
        <w:t> </w:t>
      </w:r>
      <w:r w:rsidRPr="006F0464">
        <w:rPr>
          <w:bCs/>
        </w:rPr>
        <w:t>mL of age</w:t>
      </w:r>
      <w:r w:rsidR="007178AD" w:rsidRPr="006F0464">
        <w:rPr>
          <w:bCs/>
        </w:rPr>
        <w:noBreakHyphen/>
      </w:r>
      <w:r w:rsidRPr="006F0464">
        <w:rPr>
          <w:bCs/>
        </w:rPr>
        <w:t>appropriate soft food or liquid and</w:t>
      </w:r>
      <w:r w:rsidRPr="006F0464">
        <w:t xml:space="preserve"> </w:t>
      </w:r>
      <w:r w:rsidRPr="006F0464">
        <w:rPr>
          <w:bCs/>
        </w:rPr>
        <w:t xml:space="preserve">completely and immediately consumed. </w:t>
      </w:r>
      <w:r w:rsidRPr="006F0464">
        <w:rPr>
          <w:bCs/>
          <w:lang w:val="en-US"/>
        </w:rPr>
        <w:t>Food or liquid should be at room temp</w:t>
      </w:r>
      <w:r w:rsidRPr="006F0464">
        <w:rPr>
          <w:bCs/>
          <w:lang w:val="en-US"/>
        </w:rPr>
        <w:t xml:space="preserve">erature or below. </w:t>
      </w:r>
      <w:r w:rsidRPr="006F0464">
        <w:rPr>
          <w:bCs/>
        </w:rPr>
        <w:t>If not immediately consumed, the mixture has been shown to be stable for one hour and therefore should be ingested during this period. A fat</w:t>
      </w:r>
      <w:r w:rsidR="007178AD" w:rsidRPr="006F0464">
        <w:rPr>
          <w:bCs/>
        </w:rPr>
        <w:noBreakHyphen/>
      </w:r>
      <w:r w:rsidRPr="006F0464">
        <w:rPr>
          <w:bCs/>
        </w:rPr>
        <w:t>containing meal or snack should be consumed just before or just after dosing.</w:t>
      </w:r>
    </w:p>
    <w:p w14:paraId="1042C6EA" w14:textId="77777777" w:rsidR="00096B0E" w:rsidRPr="006F0464" w:rsidRDefault="00096B0E" w:rsidP="000D02CF">
      <w:pPr>
        <w:suppressLineNumbers/>
        <w:spacing w:line="240" w:lineRule="auto"/>
        <w:rPr>
          <w:bCs/>
        </w:rPr>
      </w:pPr>
    </w:p>
    <w:p w14:paraId="6CD5B8A0" w14:textId="3BA033A9" w:rsidR="00096B0E" w:rsidRPr="006F0464" w:rsidRDefault="005A3D7D" w:rsidP="000D02CF">
      <w:pPr>
        <w:suppressLineNumbers/>
        <w:spacing w:line="240" w:lineRule="auto"/>
      </w:pPr>
      <w:r w:rsidRPr="006F0464">
        <w:t xml:space="preserve">Food </w:t>
      </w:r>
      <w:r w:rsidR="00B32462" w:rsidRPr="006F0464">
        <w:t xml:space="preserve">or drink </w:t>
      </w:r>
      <w:r w:rsidRPr="006F0464">
        <w:t>cont</w:t>
      </w:r>
      <w:r w:rsidRPr="006F0464">
        <w:t>aining grapefruit should be avoided during treatment (see section 4.5).</w:t>
      </w:r>
    </w:p>
    <w:p w14:paraId="5E18C61D" w14:textId="77777777" w:rsidR="00096566" w:rsidRDefault="00096566" w:rsidP="000A093B">
      <w:pPr>
        <w:suppressLineNumbers/>
        <w:spacing w:line="240" w:lineRule="auto"/>
      </w:pPr>
    </w:p>
    <w:p w14:paraId="77752744" w14:textId="77777777" w:rsidR="00096B0E" w:rsidRPr="009955AF" w:rsidRDefault="005A3D7D" w:rsidP="00A0798C">
      <w:pPr>
        <w:pStyle w:val="Heading2"/>
        <w:spacing w:before="0" w:after="0"/>
      </w:pPr>
      <w:r w:rsidRPr="006C4477">
        <w:rPr>
          <w:sz w:val="22"/>
        </w:rPr>
        <w:t>4.3</w:t>
      </w:r>
      <w:r w:rsidRPr="006C4477">
        <w:rPr>
          <w:sz w:val="22"/>
        </w:rPr>
        <w:tab/>
        <w:t>Contraindications</w:t>
      </w:r>
    </w:p>
    <w:p w14:paraId="647048A6" w14:textId="77777777" w:rsidR="00096B0E" w:rsidRPr="00A808AC" w:rsidRDefault="00096B0E" w:rsidP="000A093B">
      <w:pPr>
        <w:keepNext/>
        <w:suppressLineNumbers/>
        <w:spacing w:line="240" w:lineRule="auto"/>
      </w:pPr>
    </w:p>
    <w:p w14:paraId="429FE657" w14:textId="77777777" w:rsidR="00096B0E" w:rsidRPr="00A808AC" w:rsidRDefault="005A3D7D" w:rsidP="000A093B">
      <w:pPr>
        <w:pStyle w:val="NormalIndent"/>
        <w:keepNext/>
        <w:spacing w:after="0"/>
        <w:ind w:left="0"/>
      </w:pPr>
      <w:r w:rsidRPr="00A808AC">
        <w:t>Hypersensitivity to the active substance or to any of the excipients listed in section 6.1.</w:t>
      </w:r>
    </w:p>
    <w:p w14:paraId="0B546FE0" w14:textId="77777777" w:rsidR="00096B0E" w:rsidRPr="006C4477" w:rsidRDefault="00096B0E" w:rsidP="000D02CF">
      <w:pPr>
        <w:suppressLineNumbers/>
        <w:spacing w:line="240" w:lineRule="auto"/>
      </w:pPr>
    </w:p>
    <w:p w14:paraId="415496CD" w14:textId="77777777" w:rsidR="00096B0E" w:rsidRPr="009955AF" w:rsidRDefault="005A3D7D" w:rsidP="006C4477">
      <w:pPr>
        <w:pStyle w:val="Heading2"/>
        <w:spacing w:before="0" w:after="0"/>
        <w:rPr>
          <w:i/>
        </w:rPr>
      </w:pPr>
      <w:r w:rsidRPr="006C4477">
        <w:rPr>
          <w:sz w:val="22"/>
        </w:rPr>
        <w:t>4.4</w:t>
      </w:r>
      <w:r w:rsidRPr="006C4477">
        <w:rPr>
          <w:sz w:val="22"/>
        </w:rPr>
        <w:tab/>
        <w:t>Special warnings and precautions for use</w:t>
      </w:r>
    </w:p>
    <w:p w14:paraId="652A19AD" w14:textId="77777777" w:rsidR="00096B0E" w:rsidRPr="00A808AC" w:rsidRDefault="00096B0E" w:rsidP="000D02CF">
      <w:pPr>
        <w:suppressLineNumbers/>
        <w:spacing w:line="240" w:lineRule="auto"/>
        <w:ind w:left="567" w:hanging="567"/>
        <w:rPr>
          <w:bCs/>
        </w:rPr>
      </w:pPr>
    </w:p>
    <w:p w14:paraId="1B27EE92" w14:textId="77777777" w:rsidR="00096B0E" w:rsidRDefault="005A3D7D" w:rsidP="000D02CF">
      <w:pPr>
        <w:suppressLineNumbers/>
        <w:tabs>
          <w:tab w:val="clear" w:pos="567"/>
          <w:tab w:val="left" w:pos="0"/>
        </w:tabs>
        <w:spacing w:line="240" w:lineRule="auto"/>
        <w:rPr>
          <w:bCs/>
        </w:rPr>
      </w:pPr>
      <w:r w:rsidRPr="00A808AC">
        <w:rPr>
          <w:bCs/>
        </w:rPr>
        <w:t xml:space="preserve">Only patients with CF who had a </w:t>
      </w:r>
      <w:r w:rsidRPr="00A808AC">
        <w:rPr>
          <w:bCs/>
          <w:i/>
        </w:rPr>
        <w:t>G551D, G1244E, G1349D, G178R, G551S, S1251N, S1255P, S549N</w:t>
      </w:r>
      <w:r w:rsidRPr="00A808AC">
        <w:rPr>
          <w:bCs/>
        </w:rPr>
        <w:t xml:space="preserve"> or </w:t>
      </w:r>
      <w:r w:rsidRPr="00A808AC">
        <w:rPr>
          <w:bCs/>
          <w:i/>
        </w:rPr>
        <w:t>S549R</w:t>
      </w:r>
      <w:r w:rsidRPr="00A808AC">
        <w:rPr>
          <w:bCs/>
        </w:rPr>
        <w:t xml:space="preserve"> gating (class III)</w:t>
      </w:r>
      <w:r w:rsidR="009604B5">
        <w:rPr>
          <w:bCs/>
        </w:rPr>
        <w:t xml:space="preserve"> or </w:t>
      </w:r>
      <w:r w:rsidR="009604B5" w:rsidRPr="009604B5">
        <w:rPr>
          <w:bCs/>
          <w:i/>
        </w:rPr>
        <w:t>G970R</w:t>
      </w:r>
      <w:r w:rsidRPr="00A808AC">
        <w:rPr>
          <w:bCs/>
        </w:rPr>
        <w:t xml:space="preserve"> mutation in at least one allele of the </w:t>
      </w:r>
      <w:r w:rsidRPr="00A808AC">
        <w:rPr>
          <w:bCs/>
          <w:i/>
        </w:rPr>
        <w:t>CFTR</w:t>
      </w:r>
      <w:r w:rsidRPr="00A808AC">
        <w:rPr>
          <w:bCs/>
        </w:rPr>
        <w:t xml:space="preserve"> gene were included in studies 1, 2, 5 and 7 (see section</w:t>
      </w:r>
      <w:r w:rsidRPr="00A808AC">
        <w:t> </w:t>
      </w:r>
      <w:r w:rsidRPr="00A808AC">
        <w:rPr>
          <w:bCs/>
        </w:rPr>
        <w:t>5.1).</w:t>
      </w:r>
    </w:p>
    <w:p w14:paraId="65F82004" w14:textId="77777777" w:rsidR="007E4B80" w:rsidRDefault="007E4B80" w:rsidP="000A093B">
      <w:pPr>
        <w:suppressLineNumbers/>
        <w:tabs>
          <w:tab w:val="clear" w:pos="567"/>
          <w:tab w:val="left" w:pos="0"/>
        </w:tabs>
        <w:spacing w:line="240" w:lineRule="auto"/>
        <w:rPr>
          <w:bCs/>
        </w:rPr>
      </w:pPr>
    </w:p>
    <w:p w14:paraId="7AF13681" w14:textId="237C865B" w:rsidR="007E4B80" w:rsidRDefault="005A3D7D" w:rsidP="000A093B">
      <w:pPr>
        <w:suppressLineNumbers/>
        <w:tabs>
          <w:tab w:val="clear" w:pos="567"/>
          <w:tab w:val="left" w:pos="0"/>
        </w:tabs>
        <w:spacing w:line="240" w:lineRule="auto"/>
        <w:rPr>
          <w:bCs/>
        </w:rPr>
      </w:pPr>
      <w:r>
        <w:rPr>
          <w:bCs/>
        </w:rPr>
        <w:t>Less evidence of a p</w:t>
      </w:r>
      <w:r>
        <w:rPr>
          <w:bCs/>
        </w:rPr>
        <w:t xml:space="preserve">ositive effect of ivacaftor has been shown for patients with an </w:t>
      </w:r>
      <w:r w:rsidRPr="007E4B80">
        <w:rPr>
          <w:bCs/>
          <w:i/>
          <w:iCs/>
        </w:rPr>
        <w:t>R117H-7T</w:t>
      </w:r>
      <w:r>
        <w:rPr>
          <w:bCs/>
        </w:rPr>
        <w:t xml:space="preserve"> mutation associated with less severe disease in </w:t>
      </w:r>
      <w:r w:rsidR="0032138D">
        <w:rPr>
          <w:bCs/>
        </w:rPr>
        <w:t>study </w:t>
      </w:r>
      <w:r>
        <w:rPr>
          <w:bCs/>
        </w:rPr>
        <w:t>6 (see section 5.1).</w:t>
      </w:r>
    </w:p>
    <w:p w14:paraId="12C4F923" w14:textId="77777777" w:rsidR="00520C0B" w:rsidRDefault="00520C0B" w:rsidP="000A093B">
      <w:pPr>
        <w:suppressLineNumbers/>
        <w:tabs>
          <w:tab w:val="clear" w:pos="567"/>
          <w:tab w:val="left" w:pos="0"/>
        </w:tabs>
        <w:spacing w:line="240" w:lineRule="auto"/>
        <w:rPr>
          <w:bCs/>
        </w:rPr>
      </w:pPr>
    </w:p>
    <w:p w14:paraId="29967A60" w14:textId="77777777" w:rsidR="00096B0E" w:rsidRPr="00A808AC" w:rsidRDefault="005A3D7D" w:rsidP="000D02CF">
      <w:pPr>
        <w:suppressLineNumbers/>
        <w:spacing w:line="240" w:lineRule="auto"/>
        <w:rPr>
          <w:bCs/>
        </w:rPr>
      </w:pPr>
      <w:r w:rsidRPr="00A808AC">
        <w:rPr>
          <w:bCs/>
        </w:rPr>
        <w:t xml:space="preserve">In </w:t>
      </w:r>
      <w:r w:rsidR="0032138D">
        <w:rPr>
          <w:bCs/>
        </w:rPr>
        <w:t>study </w:t>
      </w:r>
      <w:r w:rsidRPr="00A808AC">
        <w:rPr>
          <w:bCs/>
        </w:rPr>
        <w:t xml:space="preserve">5, four patients with the </w:t>
      </w:r>
      <w:r w:rsidRPr="00A808AC">
        <w:rPr>
          <w:bCs/>
          <w:i/>
        </w:rPr>
        <w:t>G970R</w:t>
      </w:r>
      <w:r w:rsidRPr="00A808AC">
        <w:rPr>
          <w:bCs/>
        </w:rPr>
        <w:t xml:space="preserve"> mutation were included. In three of four patients the change in th</w:t>
      </w:r>
      <w:r w:rsidRPr="00A808AC">
        <w:rPr>
          <w:bCs/>
        </w:rPr>
        <w:t>e sweat chloride test was &lt;</w:t>
      </w:r>
      <w:r w:rsidR="006D6288">
        <w:rPr>
          <w:bCs/>
        </w:rPr>
        <w:t> </w:t>
      </w:r>
      <w:r w:rsidRPr="00A808AC">
        <w:rPr>
          <w:bCs/>
        </w:rPr>
        <w:t>5</w:t>
      </w:r>
      <w:r w:rsidRPr="00A808AC">
        <w:t> </w:t>
      </w:r>
      <w:r w:rsidRPr="00A808AC">
        <w:rPr>
          <w:bCs/>
        </w:rPr>
        <w:t>mmol/L and this group did not demonstrate a clinically relevant improvement in FEV</w:t>
      </w:r>
      <w:r w:rsidRPr="00A808AC">
        <w:rPr>
          <w:bCs/>
          <w:vertAlign w:val="subscript"/>
        </w:rPr>
        <w:t>1</w:t>
      </w:r>
      <w:r w:rsidRPr="00A808AC">
        <w:rPr>
          <w:bCs/>
        </w:rPr>
        <w:t xml:space="preserve"> after 8 weeks of treatment. Clinical efficacy in patients with the </w:t>
      </w:r>
      <w:r w:rsidRPr="00A808AC">
        <w:rPr>
          <w:bCs/>
          <w:i/>
        </w:rPr>
        <w:t>G970R</w:t>
      </w:r>
      <w:r w:rsidRPr="00A808AC">
        <w:rPr>
          <w:bCs/>
        </w:rPr>
        <w:t xml:space="preserve"> mutation of the </w:t>
      </w:r>
      <w:r w:rsidRPr="00A808AC">
        <w:rPr>
          <w:bCs/>
          <w:i/>
        </w:rPr>
        <w:t>CFTR</w:t>
      </w:r>
      <w:r w:rsidRPr="00A808AC">
        <w:rPr>
          <w:bCs/>
        </w:rPr>
        <w:t xml:space="preserve"> gene could not be established (see section 5.1).</w:t>
      </w:r>
    </w:p>
    <w:p w14:paraId="0CE1735E" w14:textId="77777777" w:rsidR="00096B0E" w:rsidRPr="00A808AC" w:rsidRDefault="00096B0E" w:rsidP="000D02CF">
      <w:pPr>
        <w:suppressLineNumbers/>
        <w:spacing w:line="240" w:lineRule="auto"/>
        <w:rPr>
          <w:bCs/>
        </w:rPr>
      </w:pPr>
    </w:p>
    <w:p w14:paraId="4013A35B" w14:textId="0BEAA9F9" w:rsidR="00096B0E" w:rsidRPr="00A808AC" w:rsidRDefault="005A3D7D" w:rsidP="000D02CF">
      <w:pPr>
        <w:suppressLineNumbers/>
        <w:spacing w:line="240" w:lineRule="auto"/>
        <w:rPr>
          <w:bCs/>
        </w:rPr>
      </w:pPr>
      <w:r w:rsidRPr="00A808AC">
        <w:rPr>
          <w:bCs/>
        </w:rPr>
        <w:t xml:space="preserve">Efficacy results from a </w:t>
      </w:r>
      <w:r w:rsidR="00BA40DB">
        <w:rPr>
          <w:bCs/>
        </w:rPr>
        <w:t>p</w:t>
      </w:r>
      <w:r w:rsidRPr="00A808AC">
        <w:rPr>
          <w:bCs/>
        </w:rPr>
        <w:t xml:space="preserve">hase 2 study in patients with CF who are homozygous for the </w:t>
      </w:r>
      <w:r w:rsidRPr="00A808AC">
        <w:rPr>
          <w:bCs/>
          <w:i/>
        </w:rPr>
        <w:t xml:space="preserve">F508del </w:t>
      </w:r>
      <w:r w:rsidRPr="00A808AC">
        <w:rPr>
          <w:bCs/>
        </w:rPr>
        <w:t xml:space="preserve">mutation in the </w:t>
      </w:r>
      <w:r w:rsidRPr="00A808AC">
        <w:rPr>
          <w:bCs/>
          <w:i/>
        </w:rPr>
        <w:t>CFTR</w:t>
      </w:r>
      <w:r w:rsidRPr="00A808AC">
        <w:rPr>
          <w:bCs/>
        </w:rPr>
        <w:t xml:space="preserve"> gene showed no statistically significant difference in FEV</w:t>
      </w:r>
      <w:r w:rsidRPr="00A808AC">
        <w:rPr>
          <w:bCs/>
          <w:vertAlign w:val="subscript"/>
        </w:rPr>
        <w:t>1</w:t>
      </w:r>
      <w:r w:rsidRPr="00A808AC">
        <w:rPr>
          <w:bCs/>
        </w:rPr>
        <w:t xml:space="preserve"> over 16 weeks of ivacaftor treatment compared to placebo (see section 5.1). Ther</w:t>
      </w:r>
      <w:r w:rsidRPr="00A808AC">
        <w:rPr>
          <w:bCs/>
        </w:rPr>
        <w:t xml:space="preserve">efore, use of </w:t>
      </w:r>
      <w:r w:rsidR="00570552">
        <w:rPr>
          <w:bCs/>
        </w:rPr>
        <w:t>ivacaftor as</w:t>
      </w:r>
      <w:r w:rsidR="00570552" w:rsidRPr="00A808AC">
        <w:rPr>
          <w:bCs/>
        </w:rPr>
        <w:t xml:space="preserve"> </w:t>
      </w:r>
      <w:r w:rsidR="002166B8">
        <w:rPr>
          <w:bCs/>
        </w:rPr>
        <w:t xml:space="preserve">monotherapy </w:t>
      </w:r>
      <w:r w:rsidRPr="00A808AC">
        <w:rPr>
          <w:bCs/>
        </w:rPr>
        <w:t>in these patients is not recommended.</w:t>
      </w:r>
    </w:p>
    <w:p w14:paraId="4C6EBB77" w14:textId="77777777" w:rsidR="00096B0E" w:rsidRPr="00A808AC" w:rsidRDefault="00096B0E" w:rsidP="000D02CF">
      <w:pPr>
        <w:pStyle w:val="labeltextheading"/>
        <w:rPr>
          <w:i w:val="0"/>
          <w:iCs w:val="0"/>
          <w:sz w:val="22"/>
          <w:lang w:val="en-GB"/>
        </w:rPr>
      </w:pPr>
    </w:p>
    <w:p w14:paraId="4F1AA32A" w14:textId="77777777" w:rsidR="00096B0E" w:rsidRDefault="005A3D7D" w:rsidP="00A0798C">
      <w:pPr>
        <w:keepNext/>
        <w:tabs>
          <w:tab w:val="clear" w:pos="567"/>
        </w:tabs>
        <w:spacing w:line="240" w:lineRule="auto"/>
        <w:rPr>
          <w:rFonts w:eastAsia="Times New Roman"/>
          <w:bCs/>
          <w:u w:val="single"/>
          <w:lang w:eastAsia="es-ES"/>
        </w:rPr>
      </w:pPr>
      <w:r w:rsidRPr="00A808AC">
        <w:rPr>
          <w:rFonts w:eastAsia="Times New Roman"/>
          <w:bCs/>
          <w:u w:val="single"/>
          <w:lang w:eastAsia="es-ES"/>
        </w:rPr>
        <w:t>Effect on liver function tests</w:t>
      </w:r>
    </w:p>
    <w:p w14:paraId="4BF2616B" w14:textId="77777777" w:rsidR="00E810AB" w:rsidRPr="00A808AC" w:rsidRDefault="00E810AB" w:rsidP="0069106A">
      <w:pPr>
        <w:keepNext/>
        <w:tabs>
          <w:tab w:val="clear" w:pos="567"/>
        </w:tabs>
        <w:spacing w:line="240" w:lineRule="auto"/>
        <w:rPr>
          <w:rFonts w:eastAsia="Times New Roman"/>
          <w:bCs/>
          <w:u w:val="single"/>
          <w:lang w:eastAsia="es-ES"/>
        </w:rPr>
      </w:pPr>
    </w:p>
    <w:p w14:paraId="2C901393" w14:textId="77777777" w:rsidR="005B21D5" w:rsidRPr="000A093B" w:rsidRDefault="005A3D7D" w:rsidP="000A093B">
      <w:pPr>
        <w:pStyle w:val="labeltext"/>
        <w:keepNext/>
        <w:rPr>
          <w:sz w:val="22"/>
        </w:rPr>
      </w:pPr>
      <w:r w:rsidRPr="001F42DB">
        <w:rPr>
          <w:rFonts w:eastAsia="Times New Roman"/>
          <w:sz w:val="22"/>
          <w:szCs w:val="22"/>
          <w:lang w:eastAsia="es-ES"/>
        </w:rPr>
        <w:t xml:space="preserve">Moderate transaminase (alanine transaminase [ALT] or aspartate transaminase [AST]) elevations are common in subjects with CF. </w:t>
      </w:r>
      <w:r w:rsidR="00150C98" w:rsidRPr="001F42DB">
        <w:rPr>
          <w:rFonts w:eastAsia="Times New Roman"/>
          <w:sz w:val="22"/>
          <w:szCs w:val="22"/>
          <w:lang w:eastAsia="es-ES"/>
        </w:rPr>
        <w:t xml:space="preserve">Transaminase elevations have been observed in some patients treated with ivacaftor monotherapy. </w:t>
      </w:r>
      <w:r w:rsidRPr="001F42DB">
        <w:rPr>
          <w:rFonts w:eastAsia="Times New Roman"/>
          <w:sz w:val="22"/>
          <w:szCs w:val="22"/>
          <w:lang w:eastAsia="es-ES"/>
        </w:rPr>
        <w:t>Therefore, liver function tests ar</w:t>
      </w:r>
      <w:r w:rsidRPr="001F42DB">
        <w:rPr>
          <w:rFonts w:eastAsia="Times New Roman"/>
          <w:sz w:val="22"/>
          <w:szCs w:val="22"/>
          <w:lang w:eastAsia="es-ES"/>
        </w:rPr>
        <w:t>e recommended for all patients prior to initiating ivacaftor, every 3</w:t>
      </w:r>
      <w:r w:rsidRPr="001F42DB">
        <w:rPr>
          <w:bCs/>
          <w:sz w:val="22"/>
          <w:szCs w:val="22"/>
        </w:rPr>
        <w:t> </w:t>
      </w:r>
      <w:r w:rsidRPr="001F42DB">
        <w:rPr>
          <w:rFonts w:eastAsia="Times New Roman"/>
          <w:sz w:val="22"/>
          <w:szCs w:val="22"/>
          <w:lang w:eastAsia="es-ES"/>
        </w:rPr>
        <w:t xml:space="preserve">months during the first year of treatment and annually thereafter. </w:t>
      </w:r>
      <w:r w:rsidRPr="001F42DB">
        <w:rPr>
          <w:sz w:val="22"/>
          <w:szCs w:val="22"/>
        </w:rPr>
        <w:t xml:space="preserve">For all patients with a history of transaminase elevations, more frequent monitoring of liver function tests should be </w:t>
      </w:r>
      <w:r w:rsidRPr="001F42DB">
        <w:rPr>
          <w:sz w:val="22"/>
          <w:szCs w:val="22"/>
        </w:rPr>
        <w:t>considered.</w:t>
      </w:r>
      <w:r w:rsidR="00150C98" w:rsidRPr="001F42DB">
        <w:rPr>
          <w:sz w:val="22"/>
          <w:szCs w:val="22"/>
        </w:rPr>
        <w:t xml:space="preserve"> </w:t>
      </w:r>
      <w:r w:rsidR="00150C98" w:rsidRPr="001F42DB">
        <w:rPr>
          <w:rFonts w:eastAsia="Times New Roman"/>
          <w:sz w:val="22"/>
          <w:szCs w:val="22"/>
          <w:lang w:eastAsia="es-ES"/>
        </w:rPr>
        <w:t>In the event of significant elevations of transaminases (e.g., patients with ALT or AST &gt;</w:t>
      </w:r>
      <w:r w:rsidR="00CE76B9">
        <w:rPr>
          <w:rFonts w:eastAsia="Times New Roman"/>
          <w:sz w:val="22"/>
          <w:szCs w:val="22"/>
          <w:lang w:eastAsia="es-ES"/>
        </w:rPr>
        <w:t> </w:t>
      </w:r>
      <w:r w:rsidR="00150C98" w:rsidRPr="001F42DB">
        <w:rPr>
          <w:rFonts w:eastAsia="Times New Roman"/>
          <w:sz w:val="22"/>
          <w:szCs w:val="22"/>
          <w:lang w:eastAsia="es-ES"/>
        </w:rPr>
        <w:t>5 x the upper limit of normal (ULN), or ALT or AST &gt;</w:t>
      </w:r>
      <w:r w:rsidR="00CE76B9">
        <w:rPr>
          <w:rFonts w:eastAsia="Times New Roman"/>
          <w:sz w:val="22"/>
          <w:szCs w:val="22"/>
          <w:lang w:eastAsia="es-ES"/>
        </w:rPr>
        <w:t> </w:t>
      </w:r>
      <w:r w:rsidR="00150C98" w:rsidRPr="001F42DB">
        <w:rPr>
          <w:rFonts w:eastAsia="Times New Roman"/>
          <w:sz w:val="22"/>
          <w:szCs w:val="22"/>
          <w:lang w:eastAsia="es-ES"/>
        </w:rPr>
        <w:t>3 x ULN with bilirubin &gt;</w:t>
      </w:r>
      <w:r w:rsidR="00CE76B9">
        <w:rPr>
          <w:rFonts w:eastAsia="Times New Roman"/>
          <w:sz w:val="22"/>
          <w:szCs w:val="22"/>
          <w:lang w:eastAsia="es-ES"/>
        </w:rPr>
        <w:t> </w:t>
      </w:r>
      <w:r w:rsidR="00150C98" w:rsidRPr="001F42DB">
        <w:rPr>
          <w:rFonts w:eastAsia="Times New Roman"/>
          <w:sz w:val="22"/>
          <w:szCs w:val="22"/>
          <w:lang w:eastAsia="es-ES"/>
        </w:rPr>
        <w:t>2 x ULN), dosing should be interrupted</w:t>
      </w:r>
      <w:r w:rsidR="00177F4B">
        <w:rPr>
          <w:rFonts w:eastAsia="Times New Roman"/>
          <w:sz w:val="22"/>
          <w:szCs w:val="22"/>
          <w:lang w:eastAsia="es-ES"/>
        </w:rPr>
        <w:t>,</w:t>
      </w:r>
      <w:r w:rsidR="00150C98" w:rsidRPr="001F42DB">
        <w:rPr>
          <w:rFonts w:eastAsia="Times New Roman"/>
          <w:sz w:val="22"/>
          <w:szCs w:val="22"/>
          <w:lang w:eastAsia="es-ES"/>
        </w:rPr>
        <w:t xml:space="preserve"> and laboratory tests closely followed until the abnormalities resolve. Following resolution of transaminase elevations, the benefits and risks of resuming treatment should be considered (see section 4.8).</w:t>
      </w:r>
    </w:p>
    <w:p w14:paraId="2E4BAFBE" w14:textId="77777777" w:rsidR="001F42DB" w:rsidRPr="00A808AC" w:rsidRDefault="001F42DB" w:rsidP="005B21D5">
      <w:pPr>
        <w:pStyle w:val="labeltext"/>
        <w:rPr>
          <w:sz w:val="22"/>
          <w:szCs w:val="22"/>
        </w:rPr>
      </w:pPr>
    </w:p>
    <w:p w14:paraId="28A1CE7D" w14:textId="77777777" w:rsidR="005B21D5" w:rsidRDefault="005A3D7D" w:rsidP="00A0798C">
      <w:pPr>
        <w:keepNext/>
        <w:spacing w:line="240" w:lineRule="auto"/>
        <w:rPr>
          <w:u w:val="single"/>
        </w:rPr>
      </w:pPr>
      <w:r w:rsidRPr="00A808AC">
        <w:rPr>
          <w:u w:val="single"/>
        </w:rPr>
        <w:t>Hepatic impairment</w:t>
      </w:r>
    </w:p>
    <w:p w14:paraId="627B494E" w14:textId="77777777" w:rsidR="00E810AB" w:rsidRPr="00A808AC" w:rsidRDefault="00E810AB" w:rsidP="0069106A">
      <w:pPr>
        <w:keepNext/>
        <w:spacing w:line="240" w:lineRule="auto"/>
        <w:rPr>
          <w:u w:val="single"/>
        </w:rPr>
      </w:pPr>
    </w:p>
    <w:p w14:paraId="2EB82282" w14:textId="44876530" w:rsidR="005B21D5" w:rsidRPr="00A808AC" w:rsidRDefault="005A3D7D" w:rsidP="000A093B">
      <w:pPr>
        <w:keepNext/>
        <w:spacing w:line="240" w:lineRule="auto"/>
      </w:pPr>
      <w:r w:rsidRPr="00A808AC">
        <w:t xml:space="preserve">Use of ivacaftor is not recommended in patients with severe </w:t>
      </w:r>
      <w:r w:rsidRPr="00A808AC">
        <w:t>hepatic impairment unless the benefits are expected to outweigh the risks (see sections 4.2 and 5.2).</w:t>
      </w:r>
      <w:r w:rsidR="00415305">
        <w:t xml:space="preserve"> </w:t>
      </w:r>
      <w:r w:rsidR="00415305" w:rsidRPr="0076719D">
        <w:t xml:space="preserve">No safety data are available in infants aged </w:t>
      </w:r>
      <w:r w:rsidR="004F0618">
        <w:t>4</w:t>
      </w:r>
      <w:r w:rsidR="00415305" w:rsidRPr="0076719D">
        <w:t xml:space="preserve"> to less than 12 months of age with moderate or severe hepatic impairment treated with ivacaftor.</w:t>
      </w:r>
    </w:p>
    <w:p w14:paraId="6910A1A7" w14:textId="77777777" w:rsidR="00096B0E" w:rsidRPr="00A808AC" w:rsidRDefault="00096B0E" w:rsidP="000D02CF">
      <w:pPr>
        <w:spacing w:line="240" w:lineRule="auto"/>
      </w:pPr>
    </w:p>
    <w:p w14:paraId="3E1667FF" w14:textId="77777777" w:rsidR="00096B0E" w:rsidRDefault="005A3D7D" w:rsidP="000A093B">
      <w:pPr>
        <w:keepNext/>
        <w:spacing w:line="240" w:lineRule="auto"/>
        <w:rPr>
          <w:iCs/>
          <w:u w:val="single"/>
        </w:rPr>
      </w:pPr>
      <w:r w:rsidRPr="00A808AC">
        <w:rPr>
          <w:iCs/>
          <w:u w:val="single"/>
        </w:rPr>
        <w:t>Renal imp</w:t>
      </w:r>
      <w:r w:rsidRPr="00A808AC">
        <w:rPr>
          <w:iCs/>
          <w:u w:val="single"/>
        </w:rPr>
        <w:t>airment</w:t>
      </w:r>
    </w:p>
    <w:p w14:paraId="7CA083CA" w14:textId="77777777" w:rsidR="00E810AB" w:rsidRPr="00A808AC" w:rsidRDefault="00E810AB" w:rsidP="000A093B">
      <w:pPr>
        <w:keepNext/>
        <w:spacing w:line="240" w:lineRule="auto"/>
        <w:rPr>
          <w:iCs/>
          <w:u w:val="single"/>
        </w:rPr>
      </w:pPr>
    </w:p>
    <w:p w14:paraId="34ECDAA3" w14:textId="77777777" w:rsidR="00096B0E" w:rsidRPr="00A808AC" w:rsidRDefault="005A3D7D" w:rsidP="000A093B">
      <w:pPr>
        <w:pStyle w:val="labeltext"/>
        <w:keepNext/>
        <w:rPr>
          <w:sz w:val="22"/>
          <w:szCs w:val="22"/>
        </w:rPr>
      </w:pPr>
      <w:r w:rsidRPr="00A808AC">
        <w:rPr>
          <w:sz w:val="22"/>
          <w:szCs w:val="22"/>
        </w:rPr>
        <w:t>Caution is recommended while using ivacaftor in patients with severe renal impairment or end</w:t>
      </w:r>
      <w:r w:rsidR="004E4558" w:rsidRPr="00A808AC">
        <w:rPr>
          <w:sz w:val="22"/>
          <w:szCs w:val="22"/>
        </w:rPr>
        <w:noBreakHyphen/>
      </w:r>
      <w:r w:rsidRPr="00A808AC">
        <w:rPr>
          <w:sz w:val="22"/>
          <w:szCs w:val="22"/>
        </w:rPr>
        <w:t>stage renal disease (see sections 4.2 and 5.2).</w:t>
      </w:r>
    </w:p>
    <w:p w14:paraId="7D8C7B99" w14:textId="77777777" w:rsidR="00E763F6" w:rsidRPr="00A808AC" w:rsidRDefault="00E763F6" w:rsidP="000D02CF">
      <w:pPr>
        <w:spacing w:line="240" w:lineRule="auto"/>
      </w:pPr>
    </w:p>
    <w:p w14:paraId="116E9B5D" w14:textId="77777777" w:rsidR="00096B0E" w:rsidRDefault="005A3D7D" w:rsidP="00A0798C">
      <w:pPr>
        <w:keepNext/>
        <w:spacing w:line="240" w:lineRule="auto"/>
        <w:rPr>
          <w:u w:val="single"/>
        </w:rPr>
      </w:pPr>
      <w:r w:rsidRPr="00A808AC">
        <w:rPr>
          <w:u w:val="single"/>
        </w:rPr>
        <w:t>Patients after organ transplantation</w:t>
      </w:r>
    </w:p>
    <w:p w14:paraId="5B4AFF26" w14:textId="77777777" w:rsidR="00E810AB" w:rsidRPr="00A808AC" w:rsidRDefault="00E810AB" w:rsidP="0069106A">
      <w:pPr>
        <w:keepNext/>
        <w:spacing w:line="240" w:lineRule="auto"/>
        <w:rPr>
          <w:u w:val="single"/>
        </w:rPr>
      </w:pPr>
    </w:p>
    <w:p w14:paraId="672B2FC4" w14:textId="77777777" w:rsidR="00096B0E" w:rsidRPr="00A808AC" w:rsidRDefault="005A3D7D" w:rsidP="000A093B">
      <w:pPr>
        <w:keepNext/>
        <w:spacing w:line="240" w:lineRule="auto"/>
      </w:pPr>
      <w:r w:rsidRPr="00A808AC">
        <w:t>Ivacaftor has not been studied in patients with CF who have undergo</w:t>
      </w:r>
      <w:r w:rsidRPr="00A808AC">
        <w:t>ne organ transplantation. Therefore, use in transplanted patients is not recommended. See section 4.5 for interactions with ciclosporin or tacrolimus.</w:t>
      </w:r>
    </w:p>
    <w:p w14:paraId="7ED45FAB" w14:textId="77777777" w:rsidR="00096B0E" w:rsidRPr="00A808AC" w:rsidRDefault="00096B0E" w:rsidP="00096B0E">
      <w:pPr>
        <w:spacing w:line="240" w:lineRule="auto"/>
      </w:pPr>
    </w:p>
    <w:p w14:paraId="346731C9" w14:textId="77777777" w:rsidR="00096B0E" w:rsidRDefault="005A3D7D" w:rsidP="001F42DB">
      <w:pPr>
        <w:pStyle w:val="labeltext"/>
        <w:keepNext/>
        <w:rPr>
          <w:sz w:val="22"/>
          <w:szCs w:val="22"/>
          <w:u w:val="single"/>
        </w:rPr>
      </w:pPr>
      <w:r w:rsidRPr="003F1CB4">
        <w:rPr>
          <w:sz w:val="22"/>
          <w:szCs w:val="22"/>
          <w:u w:val="single"/>
        </w:rPr>
        <w:t>Interactions with medicinal products</w:t>
      </w:r>
    </w:p>
    <w:p w14:paraId="75EDBFDC" w14:textId="77777777" w:rsidR="00E810AB" w:rsidRPr="003F1CB4" w:rsidRDefault="00E810AB" w:rsidP="001F42DB">
      <w:pPr>
        <w:pStyle w:val="labeltext"/>
        <w:keepNext/>
        <w:rPr>
          <w:sz w:val="22"/>
          <w:szCs w:val="22"/>
          <w:u w:val="single"/>
        </w:rPr>
      </w:pPr>
    </w:p>
    <w:p w14:paraId="3CE664F1" w14:textId="77777777" w:rsidR="000C0CAC" w:rsidRDefault="005A3D7D" w:rsidP="00A0798C">
      <w:pPr>
        <w:pStyle w:val="labeltext"/>
        <w:keepNext/>
        <w:rPr>
          <w:sz w:val="22"/>
          <w:szCs w:val="22"/>
        </w:rPr>
      </w:pPr>
      <w:r w:rsidRPr="003F1CB4">
        <w:rPr>
          <w:i/>
          <w:sz w:val="22"/>
          <w:szCs w:val="22"/>
        </w:rPr>
        <w:t>CYP3A inducers</w:t>
      </w:r>
      <w:r w:rsidRPr="003F1CB4">
        <w:rPr>
          <w:sz w:val="22"/>
          <w:szCs w:val="22"/>
        </w:rPr>
        <w:t xml:space="preserve"> </w:t>
      </w:r>
    </w:p>
    <w:p w14:paraId="6DBB3B81" w14:textId="77777777" w:rsidR="00987822" w:rsidRPr="003F1CB4" w:rsidRDefault="00987822" w:rsidP="0069106A">
      <w:pPr>
        <w:pStyle w:val="labeltext"/>
        <w:keepNext/>
        <w:rPr>
          <w:sz w:val="22"/>
          <w:szCs w:val="22"/>
        </w:rPr>
      </w:pPr>
    </w:p>
    <w:p w14:paraId="42E6A86B" w14:textId="63B2BFD7" w:rsidR="000C0CAC" w:rsidRPr="003F1CB4" w:rsidRDefault="005A3D7D" w:rsidP="000A093B">
      <w:pPr>
        <w:pStyle w:val="labeltext"/>
        <w:keepNext/>
        <w:rPr>
          <w:sz w:val="22"/>
          <w:szCs w:val="22"/>
        </w:rPr>
      </w:pPr>
      <w:r w:rsidRPr="003F1CB4">
        <w:rPr>
          <w:sz w:val="22"/>
          <w:szCs w:val="22"/>
        </w:rPr>
        <w:t>Exposure to ivacaftor</w:t>
      </w:r>
      <w:r w:rsidR="00B66DED">
        <w:rPr>
          <w:sz w:val="22"/>
          <w:szCs w:val="22"/>
        </w:rPr>
        <w:t xml:space="preserve"> is significantly decreased</w:t>
      </w:r>
      <w:r w:rsidRPr="003F1CB4">
        <w:rPr>
          <w:sz w:val="22"/>
          <w:szCs w:val="22"/>
        </w:rPr>
        <w:t xml:space="preserve"> by the concomitant use of CYP3A inducers, potentially resulting in the loss of ivacaftor efficacy</w:t>
      </w:r>
      <w:r w:rsidR="00B66DED">
        <w:rPr>
          <w:sz w:val="22"/>
          <w:szCs w:val="22"/>
        </w:rPr>
        <w:t>; t</w:t>
      </w:r>
      <w:r w:rsidRPr="003F1CB4">
        <w:rPr>
          <w:sz w:val="22"/>
          <w:szCs w:val="22"/>
        </w:rPr>
        <w:t xml:space="preserve">herefore, </w:t>
      </w:r>
      <w:r w:rsidRPr="003F1CB4">
        <w:rPr>
          <w:sz w:val="22"/>
          <w:szCs w:val="22"/>
          <w:lang w:val="en-GB"/>
        </w:rPr>
        <w:t>co-</w:t>
      </w:r>
      <w:r w:rsidRPr="008E6849">
        <w:rPr>
          <w:sz w:val="22"/>
          <w:szCs w:val="22"/>
          <w:lang w:val="en-GB"/>
        </w:rPr>
        <w:t xml:space="preserve">administration </w:t>
      </w:r>
      <w:r w:rsidR="008E6849" w:rsidRPr="008E6849">
        <w:rPr>
          <w:sz w:val="22"/>
          <w:szCs w:val="22"/>
        </w:rPr>
        <w:t xml:space="preserve">of </w:t>
      </w:r>
      <w:r w:rsidR="00B66DED">
        <w:rPr>
          <w:sz w:val="22"/>
          <w:szCs w:val="22"/>
        </w:rPr>
        <w:t>ivacaftor</w:t>
      </w:r>
      <w:r w:rsidR="00B66DED" w:rsidRPr="008E6849">
        <w:rPr>
          <w:sz w:val="22"/>
          <w:szCs w:val="22"/>
        </w:rPr>
        <w:t xml:space="preserve"> </w:t>
      </w:r>
      <w:r w:rsidRPr="008E6849">
        <w:rPr>
          <w:sz w:val="22"/>
          <w:szCs w:val="22"/>
          <w:lang w:val="en-GB"/>
        </w:rPr>
        <w:t>with</w:t>
      </w:r>
      <w:r w:rsidRPr="003F1CB4">
        <w:rPr>
          <w:sz w:val="22"/>
          <w:szCs w:val="22"/>
          <w:lang w:val="en-GB"/>
        </w:rPr>
        <w:t xml:space="preserve"> strong CYP3A inducers is not recommended</w:t>
      </w:r>
      <w:r w:rsidRPr="003F1CB4">
        <w:rPr>
          <w:sz w:val="22"/>
          <w:szCs w:val="22"/>
        </w:rPr>
        <w:t xml:space="preserve"> (see section 4.5).</w:t>
      </w:r>
    </w:p>
    <w:p w14:paraId="25D7E1B8" w14:textId="77777777" w:rsidR="000C0CAC" w:rsidRPr="003F1CB4" w:rsidRDefault="000C0CAC" w:rsidP="00096B0E">
      <w:pPr>
        <w:pStyle w:val="labeltext"/>
        <w:rPr>
          <w:sz w:val="22"/>
          <w:szCs w:val="22"/>
        </w:rPr>
      </w:pPr>
    </w:p>
    <w:p w14:paraId="65FB294E" w14:textId="77777777" w:rsidR="000C0CAC" w:rsidRDefault="005A3D7D" w:rsidP="000A093B">
      <w:pPr>
        <w:pStyle w:val="labeltext"/>
        <w:keepNext/>
        <w:rPr>
          <w:i/>
          <w:sz w:val="22"/>
          <w:szCs w:val="22"/>
        </w:rPr>
      </w:pPr>
      <w:r w:rsidRPr="003F1CB4">
        <w:rPr>
          <w:i/>
          <w:sz w:val="22"/>
          <w:szCs w:val="22"/>
        </w:rPr>
        <w:t xml:space="preserve">CYP3A inhibitors </w:t>
      </w:r>
    </w:p>
    <w:p w14:paraId="6F6C90E4" w14:textId="77777777" w:rsidR="00987822" w:rsidRPr="003F1CB4" w:rsidRDefault="00987822" w:rsidP="000A093B">
      <w:pPr>
        <w:pStyle w:val="labeltext"/>
        <w:keepNext/>
        <w:rPr>
          <w:i/>
          <w:sz w:val="22"/>
          <w:szCs w:val="22"/>
        </w:rPr>
      </w:pPr>
    </w:p>
    <w:p w14:paraId="32FF68D3" w14:textId="1941B0F7" w:rsidR="00096B0E" w:rsidRPr="003F1CB4" w:rsidRDefault="005A3D7D" w:rsidP="000A093B">
      <w:pPr>
        <w:pStyle w:val="labeltext"/>
        <w:keepNext/>
        <w:rPr>
          <w:sz w:val="22"/>
          <w:szCs w:val="22"/>
        </w:rPr>
      </w:pPr>
      <w:r>
        <w:rPr>
          <w:sz w:val="22"/>
          <w:szCs w:val="22"/>
        </w:rPr>
        <w:t>Ex</w:t>
      </w:r>
      <w:r>
        <w:rPr>
          <w:sz w:val="22"/>
          <w:szCs w:val="22"/>
        </w:rPr>
        <w:t xml:space="preserve">posure to ivacaftor is increased when co-administered with strong or moderate CYP3A inhibitors. </w:t>
      </w:r>
      <w:r w:rsidRPr="003F1CB4">
        <w:rPr>
          <w:sz w:val="22"/>
          <w:szCs w:val="22"/>
        </w:rPr>
        <w:t xml:space="preserve">The dose of </w:t>
      </w:r>
      <w:r>
        <w:rPr>
          <w:sz w:val="22"/>
          <w:szCs w:val="22"/>
        </w:rPr>
        <w:t>ivacaftor</w:t>
      </w:r>
      <w:r w:rsidRPr="003F1CB4">
        <w:rPr>
          <w:sz w:val="22"/>
          <w:szCs w:val="22"/>
        </w:rPr>
        <w:t xml:space="preserve"> must be adjusted when </w:t>
      </w:r>
      <w:r w:rsidR="008E6849">
        <w:rPr>
          <w:sz w:val="22"/>
          <w:szCs w:val="22"/>
        </w:rPr>
        <w:t xml:space="preserve">used </w:t>
      </w:r>
      <w:r w:rsidRPr="003F1CB4">
        <w:rPr>
          <w:sz w:val="22"/>
          <w:szCs w:val="22"/>
        </w:rPr>
        <w:t>concomitantly with strong or moderate CYP3A inhibitors (see section</w:t>
      </w:r>
      <w:r w:rsidR="00EF2FE6" w:rsidRPr="003F1CB4">
        <w:rPr>
          <w:sz w:val="22"/>
          <w:szCs w:val="22"/>
        </w:rPr>
        <w:t>s</w:t>
      </w:r>
      <w:r w:rsidRPr="003F1CB4">
        <w:rPr>
          <w:sz w:val="22"/>
          <w:szCs w:val="22"/>
        </w:rPr>
        <w:t> 4.2</w:t>
      </w:r>
      <w:r w:rsidR="000326C4" w:rsidRPr="003F1CB4">
        <w:rPr>
          <w:sz w:val="22"/>
          <w:szCs w:val="22"/>
        </w:rPr>
        <w:t xml:space="preserve"> and 4.5</w:t>
      </w:r>
      <w:r w:rsidRPr="003F1CB4">
        <w:rPr>
          <w:sz w:val="22"/>
          <w:szCs w:val="22"/>
        </w:rPr>
        <w:t>).</w:t>
      </w:r>
      <w:r w:rsidR="00415305">
        <w:rPr>
          <w:sz w:val="22"/>
          <w:szCs w:val="22"/>
        </w:rPr>
        <w:t xml:space="preserve"> </w:t>
      </w:r>
      <w:r w:rsidR="00415305" w:rsidRPr="0076719D">
        <w:rPr>
          <w:sz w:val="22"/>
          <w:szCs w:val="22"/>
        </w:rPr>
        <w:t xml:space="preserve">No safety data are available in infants aged </w:t>
      </w:r>
      <w:r w:rsidR="004F0618">
        <w:rPr>
          <w:sz w:val="22"/>
          <w:szCs w:val="22"/>
        </w:rPr>
        <w:t>4</w:t>
      </w:r>
      <w:r w:rsidR="004F0618" w:rsidRPr="0076719D">
        <w:rPr>
          <w:sz w:val="22"/>
          <w:szCs w:val="22"/>
        </w:rPr>
        <w:t xml:space="preserve"> </w:t>
      </w:r>
      <w:r w:rsidR="00415305" w:rsidRPr="0076719D">
        <w:rPr>
          <w:sz w:val="22"/>
          <w:szCs w:val="22"/>
        </w:rPr>
        <w:t>to less than 12 months of age who are treated with ivacaftor and moderate or strong CYP3A inhibitors</w:t>
      </w:r>
      <w:r>
        <w:rPr>
          <w:sz w:val="22"/>
          <w:szCs w:val="22"/>
        </w:rPr>
        <w:t xml:space="preserve"> (see sections 4.2 and 4.5)</w:t>
      </w:r>
      <w:r w:rsidR="00415305" w:rsidRPr="0076719D">
        <w:rPr>
          <w:sz w:val="22"/>
          <w:szCs w:val="22"/>
        </w:rPr>
        <w:t>.</w:t>
      </w:r>
    </w:p>
    <w:p w14:paraId="0B653302" w14:textId="77777777" w:rsidR="00096B0E" w:rsidRPr="00A808AC" w:rsidRDefault="00096B0E" w:rsidP="00096B0E">
      <w:pPr>
        <w:spacing w:line="240" w:lineRule="auto"/>
        <w:rPr>
          <w:u w:val="single"/>
        </w:rPr>
      </w:pPr>
    </w:p>
    <w:p w14:paraId="44628AB9" w14:textId="77777777" w:rsidR="005A6BFF" w:rsidRDefault="005A3D7D" w:rsidP="006C4477">
      <w:pPr>
        <w:keepNext/>
        <w:keepLines/>
        <w:spacing w:line="240" w:lineRule="auto"/>
        <w:rPr>
          <w:bCs/>
          <w:u w:val="single"/>
        </w:rPr>
      </w:pPr>
      <w:r>
        <w:rPr>
          <w:bCs/>
          <w:u w:val="single"/>
        </w:rPr>
        <w:t xml:space="preserve">Paediatric population </w:t>
      </w:r>
    </w:p>
    <w:p w14:paraId="1370C17D" w14:textId="77777777" w:rsidR="005A6BFF" w:rsidRDefault="005A6BFF" w:rsidP="006C4477">
      <w:pPr>
        <w:keepNext/>
        <w:keepLines/>
        <w:spacing w:line="240" w:lineRule="auto"/>
        <w:rPr>
          <w:bCs/>
          <w:u w:val="single"/>
        </w:rPr>
      </w:pPr>
    </w:p>
    <w:p w14:paraId="67BB8990" w14:textId="77777777" w:rsidR="00096B0E" w:rsidRPr="00A808AC" w:rsidRDefault="005A3D7D" w:rsidP="006C4477">
      <w:pPr>
        <w:keepNext/>
        <w:keepLines/>
        <w:spacing w:line="240" w:lineRule="auto"/>
        <w:rPr>
          <w:iCs/>
          <w:u w:val="single"/>
        </w:rPr>
      </w:pPr>
      <w:r w:rsidRPr="00A808AC">
        <w:rPr>
          <w:bCs/>
          <w:iCs/>
        </w:rPr>
        <w:t>Cases of non</w:t>
      </w:r>
      <w:r w:rsidR="004E4558" w:rsidRPr="00A808AC">
        <w:rPr>
          <w:bCs/>
          <w:iCs/>
        </w:rPr>
        <w:noBreakHyphen/>
      </w:r>
      <w:r w:rsidRPr="00A808AC">
        <w:rPr>
          <w:bCs/>
          <w:iCs/>
        </w:rPr>
        <w:t>congenital lens opacities</w:t>
      </w:r>
      <w:r w:rsidR="005A6BFF">
        <w:rPr>
          <w:bCs/>
          <w:iCs/>
        </w:rPr>
        <w:t>/cataracts</w:t>
      </w:r>
      <w:r w:rsidRPr="00A808AC">
        <w:rPr>
          <w:bCs/>
          <w:iCs/>
        </w:rPr>
        <w:t xml:space="preserve"> without impact on vision have been reported in paediatric patients treated with ivacaftor. Although other risk factors were present in some cases (such as corticosteroid use and exposure to radiation), a possible risk attributable to </w:t>
      </w:r>
      <w:r w:rsidR="008E6849">
        <w:rPr>
          <w:bCs/>
          <w:iCs/>
        </w:rPr>
        <w:t>treatment</w:t>
      </w:r>
      <w:r w:rsidR="008E6849" w:rsidRPr="00A808AC">
        <w:rPr>
          <w:bCs/>
          <w:iCs/>
        </w:rPr>
        <w:t xml:space="preserve"> </w:t>
      </w:r>
      <w:r w:rsidR="005A6BFF">
        <w:rPr>
          <w:bCs/>
          <w:iCs/>
        </w:rPr>
        <w:t xml:space="preserve">with ivacaftor </w:t>
      </w:r>
      <w:r w:rsidRPr="00A808AC">
        <w:rPr>
          <w:bCs/>
          <w:iCs/>
        </w:rPr>
        <w:t>cannot be excluded. Baseline</w:t>
      </w:r>
      <w:r w:rsidR="005E1791" w:rsidRPr="00A808AC">
        <w:rPr>
          <w:bCs/>
          <w:iCs/>
        </w:rPr>
        <w:t xml:space="preserve"> </w:t>
      </w:r>
      <w:r w:rsidRPr="00A808AC">
        <w:rPr>
          <w:bCs/>
          <w:iCs/>
        </w:rPr>
        <w:t>and follow</w:t>
      </w:r>
      <w:r w:rsidR="007178AD" w:rsidRPr="00A808AC">
        <w:rPr>
          <w:bCs/>
          <w:iCs/>
        </w:rPr>
        <w:noBreakHyphen/>
      </w:r>
      <w:r w:rsidRPr="00A808AC">
        <w:rPr>
          <w:bCs/>
          <w:iCs/>
        </w:rPr>
        <w:t>up ophthalmological examinations are recommended in paediatric patients initiating ivacaftor treatment.</w:t>
      </w:r>
    </w:p>
    <w:p w14:paraId="20993926" w14:textId="77777777" w:rsidR="00096B0E" w:rsidRDefault="00096B0E" w:rsidP="00096B0E">
      <w:pPr>
        <w:spacing w:line="240" w:lineRule="auto"/>
        <w:rPr>
          <w:u w:val="single"/>
        </w:rPr>
      </w:pPr>
    </w:p>
    <w:p w14:paraId="3132267F" w14:textId="77777777" w:rsidR="00096B0E" w:rsidRDefault="005A3D7D" w:rsidP="000A093B">
      <w:pPr>
        <w:keepNext/>
        <w:spacing w:line="240" w:lineRule="auto"/>
        <w:rPr>
          <w:u w:val="single"/>
        </w:rPr>
      </w:pPr>
      <w:r w:rsidRPr="00A808AC">
        <w:rPr>
          <w:u w:val="single"/>
        </w:rPr>
        <w:t>Lactose</w:t>
      </w:r>
      <w:r w:rsidR="00E810AB">
        <w:rPr>
          <w:u w:val="single"/>
        </w:rPr>
        <w:t xml:space="preserve"> content</w:t>
      </w:r>
    </w:p>
    <w:p w14:paraId="6BFB98BF" w14:textId="77777777" w:rsidR="00E810AB" w:rsidRPr="00A808AC" w:rsidRDefault="00E810AB" w:rsidP="000A093B">
      <w:pPr>
        <w:keepNext/>
        <w:spacing w:line="240" w:lineRule="auto"/>
        <w:rPr>
          <w:u w:val="single"/>
        </w:rPr>
      </w:pPr>
    </w:p>
    <w:p w14:paraId="2E1FC396" w14:textId="7DA1FA7D" w:rsidR="00096B0E" w:rsidRPr="00A808AC" w:rsidRDefault="005A3D7D" w:rsidP="000A093B">
      <w:pPr>
        <w:keepNext/>
        <w:spacing w:line="240" w:lineRule="auto"/>
      </w:pPr>
      <w:r w:rsidRPr="00A808AC">
        <w:t>Kalydeco</w:t>
      </w:r>
      <w:r w:rsidR="009B1867" w:rsidRPr="00A808AC">
        <w:t xml:space="preserve"> contains lactose. Patients with rare hereditary problems of galactose intolerance, </w:t>
      </w:r>
      <w:r w:rsidR="00444B97">
        <w:t>total</w:t>
      </w:r>
      <w:r w:rsidR="004E4558" w:rsidRPr="00A808AC">
        <w:t xml:space="preserve"> lactase deficiency or glucose</w:t>
      </w:r>
      <w:r w:rsidR="004E4558" w:rsidRPr="00A808AC">
        <w:noBreakHyphen/>
      </w:r>
      <w:r w:rsidR="009B1867" w:rsidRPr="00A808AC">
        <w:t>galactose malabsorption should not take this medicin</w:t>
      </w:r>
      <w:r w:rsidR="00444B97">
        <w:t>e</w:t>
      </w:r>
      <w:r w:rsidR="009B1867" w:rsidRPr="00A808AC">
        <w:t>.</w:t>
      </w:r>
    </w:p>
    <w:p w14:paraId="139F100F" w14:textId="77777777" w:rsidR="00096B0E" w:rsidRDefault="00096B0E" w:rsidP="00096B0E">
      <w:pPr>
        <w:spacing w:line="240" w:lineRule="auto"/>
      </w:pPr>
    </w:p>
    <w:p w14:paraId="5837DCA0" w14:textId="77777777" w:rsidR="00714FC1" w:rsidRDefault="005A3D7D" w:rsidP="000A093B">
      <w:pPr>
        <w:keepNext/>
        <w:spacing w:line="240" w:lineRule="auto"/>
        <w:rPr>
          <w:u w:val="single"/>
        </w:rPr>
      </w:pPr>
      <w:r w:rsidRPr="00714FC1">
        <w:rPr>
          <w:u w:val="single"/>
        </w:rPr>
        <w:t>Sodium</w:t>
      </w:r>
      <w:r w:rsidR="00E810AB">
        <w:rPr>
          <w:u w:val="single"/>
        </w:rPr>
        <w:t xml:space="preserve"> content</w:t>
      </w:r>
    </w:p>
    <w:p w14:paraId="7217C368" w14:textId="77777777" w:rsidR="00E810AB" w:rsidRPr="00714FC1" w:rsidRDefault="00E810AB" w:rsidP="000A093B">
      <w:pPr>
        <w:keepNext/>
        <w:spacing w:line="240" w:lineRule="auto"/>
        <w:rPr>
          <w:u w:val="single"/>
        </w:rPr>
      </w:pPr>
    </w:p>
    <w:p w14:paraId="14B07275" w14:textId="77777777" w:rsidR="00714FC1" w:rsidRDefault="005A3D7D" w:rsidP="000A093B">
      <w:pPr>
        <w:keepNext/>
        <w:spacing w:line="240" w:lineRule="auto"/>
      </w:pPr>
      <w:r w:rsidRPr="00714FC1">
        <w:t>This medicine contains less than 1</w:t>
      </w:r>
      <w:r>
        <w:t> </w:t>
      </w:r>
      <w:r w:rsidRPr="00714FC1">
        <w:t>mmol sodium (23</w:t>
      </w:r>
      <w:r>
        <w:t> </w:t>
      </w:r>
      <w:r w:rsidRPr="00714FC1">
        <w:t>mg) per dose, that is to say essentially ‘sodium</w:t>
      </w:r>
      <w:r>
        <w:noBreakHyphen/>
      </w:r>
      <w:r w:rsidRPr="00714FC1">
        <w:t>free’</w:t>
      </w:r>
      <w:r>
        <w:t>.</w:t>
      </w:r>
    </w:p>
    <w:p w14:paraId="5023A7C7" w14:textId="77777777" w:rsidR="00714FC1" w:rsidRPr="00A808AC" w:rsidRDefault="00714FC1" w:rsidP="00096B0E">
      <w:pPr>
        <w:spacing w:line="240" w:lineRule="auto"/>
      </w:pPr>
    </w:p>
    <w:p w14:paraId="02E85CC1" w14:textId="77777777" w:rsidR="00096B0E" w:rsidRPr="00A808AC" w:rsidRDefault="005A3D7D" w:rsidP="000A093B">
      <w:pPr>
        <w:keepNext/>
        <w:numPr>
          <w:ilvl w:val="1"/>
          <w:numId w:val="16"/>
        </w:numPr>
        <w:suppressLineNumbers/>
        <w:spacing w:line="240" w:lineRule="auto"/>
        <w:outlineLvl w:val="1"/>
        <w:rPr>
          <w:b/>
          <w:bCs/>
        </w:rPr>
      </w:pPr>
      <w:r w:rsidRPr="00A808AC">
        <w:rPr>
          <w:b/>
          <w:bCs/>
        </w:rPr>
        <w:t xml:space="preserve">Interaction with other </w:t>
      </w:r>
      <w:r w:rsidRPr="00A808AC">
        <w:rPr>
          <w:b/>
          <w:bCs/>
        </w:rPr>
        <w:t>medicinal products and other forms of interaction</w:t>
      </w:r>
    </w:p>
    <w:p w14:paraId="273B1B53" w14:textId="77777777" w:rsidR="00096B0E" w:rsidRPr="00A808AC" w:rsidRDefault="00096B0E" w:rsidP="000A093B">
      <w:pPr>
        <w:keepNext/>
        <w:spacing w:line="240" w:lineRule="auto"/>
        <w:rPr>
          <w:bCs/>
          <w:iCs/>
        </w:rPr>
      </w:pPr>
    </w:p>
    <w:p w14:paraId="21941660" w14:textId="0E88E2FB" w:rsidR="00096B0E" w:rsidRPr="00A808AC" w:rsidRDefault="005A3D7D" w:rsidP="000A093B">
      <w:pPr>
        <w:keepNext/>
        <w:spacing w:line="240" w:lineRule="auto"/>
        <w:rPr>
          <w:bCs/>
          <w:iCs/>
        </w:rPr>
      </w:pPr>
      <w:r w:rsidRPr="00A808AC">
        <w:rPr>
          <w:bCs/>
          <w:iCs/>
        </w:rPr>
        <w:t>Ivacaftor is a substrate of CYP3A4 and CYP3A5. It is a weak inhibitor of CYP3A and P</w:t>
      </w:r>
      <w:r w:rsidR="004E4558" w:rsidRPr="00A808AC">
        <w:rPr>
          <w:bCs/>
          <w:iCs/>
        </w:rPr>
        <w:noBreakHyphen/>
      </w:r>
      <w:r w:rsidRPr="00A808AC">
        <w:rPr>
          <w:bCs/>
          <w:iCs/>
        </w:rPr>
        <w:t>gp and a potential inhibitor of CYP2C9.</w:t>
      </w:r>
      <w:r w:rsidR="008E6849">
        <w:rPr>
          <w:bCs/>
          <w:iCs/>
        </w:rPr>
        <w:t xml:space="preserve"> </w:t>
      </w:r>
      <w:r w:rsidR="008E6849" w:rsidRPr="008275D4">
        <w:rPr>
          <w:i/>
        </w:rPr>
        <w:t>In vitro</w:t>
      </w:r>
      <w:r w:rsidR="008E6849">
        <w:t xml:space="preserve"> studies showed that ivacaftor is not a substrate for P</w:t>
      </w:r>
      <w:r w:rsidR="008E6849">
        <w:noBreakHyphen/>
        <w:t>gp.</w:t>
      </w:r>
      <w:r w:rsidR="00CB7840">
        <w:t xml:space="preserve"> </w:t>
      </w:r>
    </w:p>
    <w:p w14:paraId="492B1579" w14:textId="77777777" w:rsidR="00096B0E" w:rsidRPr="00A808AC" w:rsidRDefault="00096B0E" w:rsidP="00096B0E">
      <w:pPr>
        <w:spacing w:line="240" w:lineRule="auto"/>
        <w:rPr>
          <w:bCs/>
          <w:iCs/>
        </w:rPr>
      </w:pPr>
    </w:p>
    <w:p w14:paraId="14E3B06E" w14:textId="77777777" w:rsidR="00096B0E" w:rsidRPr="006C4477" w:rsidRDefault="005A3D7D" w:rsidP="000A093B">
      <w:pPr>
        <w:keepNext/>
        <w:spacing w:line="240" w:lineRule="auto"/>
      </w:pPr>
      <w:r w:rsidRPr="007B0741">
        <w:rPr>
          <w:u w:val="single"/>
        </w:rPr>
        <w:t xml:space="preserve">Medicinal </w:t>
      </w:r>
      <w:r w:rsidRPr="007B0741">
        <w:rPr>
          <w:u w:val="single"/>
        </w:rPr>
        <w:t>products affecting the pharmacokinetics of ivacaftor</w:t>
      </w:r>
    </w:p>
    <w:p w14:paraId="7DF42DE5" w14:textId="77777777" w:rsidR="00A35275" w:rsidRPr="006C4477" w:rsidRDefault="00A35275" w:rsidP="000A093B">
      <w:pPr>
        <w:keepNext/>
        <w:spacing w:line="240" w:lineRule="auto"/>
      </w:pPr>
    </w:p>
    <w:p w14:paraId="1B91A467" w14:textId="77777777" w:rsidR="005C3E46" w:rsidRDefault="005A3D7D" w:rsidP="00A0798C">
      <w:pPr>
        <w:pStyle w:val="CommentText"/>
        <w:keepNext/>
        <w:spacing w:line="240" w:lineRule="auto"/>
        <w:rPr>
          <w:i/>
          <w:sz w:val="22"/>
        </w:rPr>
      </w:pPr>
      <w:r w:rsidRPr="007B0741">
        <w:rPr>
          <w:i/>
          <w:sz w:val="22"/>
        </w:rPr>
        <w:t>CYP3A inducers</w:t>
      </w:r>
    </w:p>
    <w:p w14:paraId="3D5CC0C9" w14:textId="77777777" w:rsidR="005A6BFF" w:rsidRPr="007B0741" w:rsidRDefault="005A6BFF" w:rsidP="0069106A">
      <w:pPr>
        <w:pStyle w:val="CommentText"/>
        <w:keepNext/>
        <w:spacing w:line="240" w:lineRule="auto"/>
        <w:rPr>
          <w:i/>
          <w:sz w:val="22"/>
        </w:rPr>
      </w:pPr>
    </w:p>
    <w:p w14:paraId="2A5CAFCB" w14:textId="34787141" w:rsidR="005C3E46" w:rsidRPr="00A808AC" w:rsidRDefault="005A3D7D" w:rsidP="000A093B">
      <w:pPr>
        <w:pStyle w:val="CommentText"/>
        <w:keepNext/>
        <w:spacing w:line="240" w:lineRule="auto"/>
        <w:rPr>
          <w:sz w:val="22"/>
          <w:szCs w:val="22"/>
        </w:rPr>
      </w:pPr>
      <w:r w:rsidRPr="00A808AC">
        <w:rPr>
          <w:sz w:val="22"/>
          <w:szCs w:val="22"/>
        </w:rPr>
        <w:t>Co</w:t>
      </w:r>
      <w:r w:rsidRPr="00A808AC">
        <w:rPr>
          <w:sz w:val="22"/>
          <w:szCs w:val="22"/>
        </w:rPr>
        <w:noBreakHyphen/>
        <w:t xml:space="preserve">administration of ivacaftor with rifampicin, a strong CYP3A inducer, decreased ivacaftor exposure (AUC) </w:t>
      </w:r>
      <w:r w:rsidRPr="00A808AC">
        <w:rPr>
          <w:kern w:val="28"/>
          <w:sz w:val="22"/>
          <w:szCs w:val="22"/>
        </w:rPr>
        <w:t xml:space="preserve">by 89% and decreased </w:t>
      </w:r>
      <w:r w:rsidR="00150C98" w:rsidRPr="002902CB">
        <w:rPr>
          <w:kern w:val="28"/>
          <w:sz w:val="22"/>
          <w:szCs w:val="22"/>
        </w:rPr>
        <w:t xml:space="preserve">hydroxymethyl ivacaftor </w:t>
      </w:r>
      <w:r w:rsidR="00150C98">
        <w:rPr>
          <w:kern w:val="28"/>
          <w:sz w:val="22"/>
          <w:szCs w:val="22"/>
        </w:rPr>
        <w:t>(</w:t>
      </w:r>
      <w:r w:rsidRPr="00A808AC">
        <w:rPr>
          <w:kern w:val="28"/>
          <w:sz w:val="22"/>
          <w:szCs w:val="22"/>
        </w:rPr>
        <w:t>M1</w:t>
      </w:r>
      <w:r w:rsidR="00150C98">
        <w:rPr>
          <w:kern w:val="28"/>
          <w:sz w:val="22"/>
          <w:szCs w:val="22"/>
        </w:rPr>
        <w:t>)</w:t>
      </w:r>
      <w:r w:rsidRPr="00A808AC">
        <w:rPr>
          <w:kern w:val="28"/>
          <w:sz w:val="22"/>
          <w:szCs w:val="22"/>
        </w:rPr>
        <w:t xml:space="preserve"> to a lesser extent than ivacaftor. Co</w:t>
      </w:r>
      <w:r w:rsidRPr="00A808AC">
        <w:rPr>
          <w:kern w:val="28"/>
          <w:sz w:val="22"/>
          <w:szCs w:val="22"/>
        </w:rPr>
        <w:noBreakHyphen/>
        <w:t xml:space="preserve">administration </w:t>
      </w:r>
      <w:r w:rsidR="008E6849" w:rsidRPr="00B6008D">
        <w:rPr>
          <w:kern w:val="28"/>
          <w:sz w:val="22"/>
          <w:szCs w:val="22"/>
        </w:rPr>
        <w:t xml:space="preserve">of </w:t>
      </w:r>
      <w:r w:rsidR="005A6BFF">
        <w:rPr>
          <w:kern w:val="28"/>
          <w:sz w:val="22"/>
          <w:szCs w:val="22"/>
        </w:rPr>
        <w:t>ivacaftor</w:t>
      </w:r>
      <w:r w:rsidR="005A6BFF" w:rsidRPr="00B6008D">
        <w:rPr>
          <w:kern w:val="28"/>
          <w:sz w:val="22"/>
          <w:szCs w:val="22"/>
        </w:rPr>
        <w:t xml:space="preserve"> </w:t>
      </w:r>
      <w:r w:rsidRPr="00A808AC">
        <w:rPr>
          <w:kern w:val="28"/>
          <w:sz w:val="22"/>
          <w:szCs w:val="22"/>
        </w:rPr>
        <w:t xml:space="preserve">with strong </w:t>
      </w:r>
      <w:r w:rsidRPr="00A808AC">
        <w:rPr>
          <w:sz w:val="22"/>
          <w:szCs w:val="22"/>
        </w:rPr>
        <w:t>CYP3A inducers, such as rifampicin, rifabutin, phenobarbital, carbamazepine, phenytoin and St. John’s wort (</w:t>
      </w:r>
      <w:r w:rsidRPr="00A808AC">
        <w:rPr>
          <w:i/>
          <w:sz w:val="22"/>
          <w:szCs w:val="22"/>
        </w:rPr>
        <w:t>Hypericum perforatum</w:t>
      </w:r>
      <w:r w:rsidRPr="00A808AC">
        <w:rPr>
          <w:sz w:val="22"/>
          <w:szCs w:val="22"/>
        </w:rPr>
        <w:t>), is not recommended (see section 4.4).</w:t>
      </w:r>
    </w:p>
    <w:p w14:paraId="40D0D13E" w14:textId="77777777" w:rsidR="005C3E46" w:rsidRPr="00A808AC" w:rsidRDefault="005C3E46" w:rsidP="005C3E46">
      <w:pPr>
        <w:pStyle w:val="CommentText"/>
        <w:spacing w:line="240" w:lineRule="auto"/>
        <w:rPr>
          <w:sz w:val="22"/>
          <w:szCs w:val="22"/>
        </w:rPr>
      </w:pPr>
    </w:p>
    <w:p w14:paraId="25F810D7" w14:textId="0B9D9BB0" w:rsidR="000C0CAC" w:rsidRPr="003F1CB4" w:rsidRDefault="005A3D7D" w:rsidP="000C0CAC">
      <w:pPr>
        <w:pStyle w:val="CommentText"/>
        <w:spacing w:line="240" w:lineRule="auto"/>
        <w:rPr>
          <w:sz w:val="22"/>
          <w:szCs w:val="22"/>
        </w:rPr>
      </w:pPr>
      <w:r w:rsidRPr="00B6008D">
        <w:rPr>
          <w:sz w:val="22"/>
          <w:szCs w:val="22"/>
        </w:rPr>
        <w:t xml:space="preserve">No </w:t>
      </w:r>
      <w:r w:rsidRPr="00B6008D">
        <w:rPr>
          <w:sz w:val="22"/>
          <w:szCs w:val="22"/>
        </w:rPr>
        <w:t>dose adjustment is re</w:t>
      </w:r>
      <w:r>
        <w:rPr>
          <w:sz w:val="22"/>
          <w:szCs w:val="22"/>
        </w:rPr>
        <w:t xml:space="preserve">commended when </w:t>
      </w:r>
      <w:r w:rsidR="005A6BFF">
        <w:rPr>
          <w:sz w:val="22"/>
          <w:szCs w:val="22"/>
        </w:rPr>
        <w:t>ivacaftor</w:t>
      </w:r>
      <w:r w:rsidR="005A6BFF" w:rsidRPr="00B6008D">
        <w:rPr>
          <w:sz w:val="22"/>
          <w:szCs w:val="22"/>
        </w:rPr>
        <w:t xml:space="preserve"> </w:t>
      </w:r>
      <w:r w:rsidRPr="00B6008D">
        <w:rPr>
          <w:sz w:val="22"/>
          <w:szCs w:val="22"/>
        </w:rPr>
        <w:t>is used with moderate or weak CYP3A inducers</w:t>
      </w:r>
      <w:r>
        <w:rPr>
          <w:sz w:val="22"/>
          <w:szCs w:val="22"/>
        </w:rPr>
        <w:t>.</w:t>
      </w:r>
      <w:r w:rsidR="002C61CC" w:rsidRPr="003F1CB4">
        <w:rPr>
          <w:sz w:val="22"/>
          <w:szCs w:val="22"/>
        </w:rPr>
        <w:t xml:space="preserve"> </w:t>
      </w:r>
    </w:p>
    <w:p w14:paraId="38AACF5D" w14:textId="77777777" w:rsidR="005C3E46" w:rsidRPr="003F1CB4" w:rsidRDefault="005C3E46" w:rsidP="00096B0E">
      <w:pPr>
        <w:spacing w:line="240" w:lineRule="auto"/>
        <w:rPr>
          <w:bCs/>
          <w:iCs/>
        </w:rPr>
      </w:pPr>
    </w:p>
    <w:p w14:paraId="0BE1F2AA" w14:textId="77777777" w:rsidR="00096B0E" w:rsidRDefault="005A3D7D" w:rsidP="000A093B">
      <w:pPr>
        <w:pStyle w:val="labeltext"/>
        <w:keepNext/>
        <w:rPr>
          <w:i/>
          <w:sz w:val="22"/>
        </w:rPr>
      </w:pPr>
      <w:r w:rsidRPr="007B0741">
        <w:rPr>
          <w:i/>
          <w:sz w:val="22"/>
        </w:rPr>
        <w:t>CYP3A inhibitors</w:t>
      </w:r>
    </w:p>
    <w:p w14:paraId="762708FF" w14:textId="77777777" w:rsidR="005A6BFF" w:rsidRPr="007B0741" w:rsidRDefault="005A6BFF" w:rsidP="000A093B">
      <w:pPr>
        <w:pStyle w:val="labeltext"/>
        <w:keepNext/>
        <w:rPr>
          <w:i/>
          <w:sz w:val="22"/>
        </w:rPr>
      </w:pPr>
    </w:p>
    <w:p w14:paraId="5291030A" w14:textId="386A76F2" w:rsidR="00096B0E" w:rsidRPr="00A808AC" w:rsidRDefault="005A3D7D" w:rsidP="000A093B">
      <w:pPr>
        <w:pStyle w:val="labeltext"/>
        <w:keepNext/>
        <w:rPr>
          <w:sz w:val="22"/>
          <w:szCs w:val="22"/>
          <w:lang w:val="en-GB"/>
        </w:rPr>
      </w:pPr>
      <w:r w:rsidRPr="003F1CB4">
        <w:rPr>
          <w:sz w:val="22"/>
          <w:szCs w:val="22"/>
          <w:lang w:val="en-GB"/>
        </w:rPr>
        <w:t>Ivacaftor is a sensitive CYP3A substrate. Co</w:t>
      </w:r>
      <w:r w:rsidR="004E4558" w:rsidRPr="003F1CB4">
        <w:rPr>
          <w:sz w:val="22"/>
          <w:szCs w:val="22"/>
          <w:lang w:val="en-GB"/>
        </w:rPr>
        <w:noBreakHyphen/>
      </w:r>
      <w:r w:rsidRPr="003F1CB4">
        <w:rPr>
          <w:sz w:val="22"/>
          <w:szCs w:val="22"/>
          <w:lang w:val="en-GB"/>
        </w:rPr>
        <w:t xml:space="preserve">administration with ketoconazole, a strong CYP3A inhibitor, increased ivacaftor exposure </w:t>
      </w:r>
      <w:r w:rsidRPr="003F1CB4">
        <w:rPr>
          <w:sz w:val="22"/>
          <w:szCs w:val="22"/>
          <w:lang w:val="en-GB"/>
        </w:rPr>
        <w:t>(measured as area under the curve [AUC]) by 8.5</w:t>
      </w:r>
      <w:r w:rsidR="004E4558" w:rsidRPr="003F1CB4">
        <w:rPr>
          <w:sz w:val="22"/>
          <w:szCs w:val="22"/>
          <w:lang w:val="en-GB"/>
        </w:rPr>
        <w:noBreakHyphen/>
      </w:r>
      <w:r w:rsidRPr="003F1CB4">
        <w:rPr>
          <w:sz w:val="22"/>
          <w:szCs w:val="22"/>
          <w:lang w:val="en-GB"/>
        </w:rPr>
        <w:t>fold and increased M1 to a lesser extent</w:t>
      </w:r>
      <w:r w:rsidRPr="00A808AC">
        <w:rPr>
          <w:sz w:val="22"/>
          <w:szCs w:val="22"/>
          <w:lang w:val="en-GB"/>
        </w:rPr>
        <w:t xml:space="preserve"> than ivacaftor. A reduction of the </w:t>
      </w:r>
      <w:r w:rsidR="005A6BFF">
        <w:rPr>
          <w:bCs/>
          <w:iCs/>
          <w:sz w:val="22"/>
          <w:szCs w:val="22"/>
        </w:rPr>
        <w:t>ivacaftor</w:t>
      </w:r>
      <w:r w:rsidR="005A6BFF" w:rsidRPr="00A808AC">
        <w:rPr>
          <w:bCs/>
          <w:iCs/>
          <w:sz w:val="22"/>
          <w:szCs w:val="22"/>
        </w:rPr>
        <w:t xml:space="preserve"> </w:t>
      </w:r>
      <w:r w:rsidRPr="00A808AC">
        <w:rPr>
          <w:bCs/>
          <w:iCs/>
          <w:sz w:val="22"/>
          <w:szCs w:val="22"/>
        </w:rPr>
        <w:t xml:space="preserve">dose </w:t>
      </w:r>
      <w:r w:rsidRPr="00A808AC">
        <w:rPr>
          <w:sz w:val="22"/>
          <w:szCs w:val="22"/>
          <w:lang w:val="en-GB"/>
        </w:rPr>
        <w:t>is recommended for co</w:t>
      </w:r>
      <w:r w:rsidR="007178AD" w:rsidRPr="00A808AC">
        <w:rPr>
          <w:sz w:val="22"/>
          <w:szCs w:val="22"/>
          <w:lang w:val="en-GB"/>
        </w:rPr>
        <w:noBreakHyphen/>
      </w:r>
      <w:r w:rsidRPr="00A808AC">
        <w:rPr>
          <w:sz w:val="22"/>
          <w:szCs w:val="22"/>
          <w:lang w:val="en-GB"/>
        </w:rPr>
        <w:t xml:space="preserve">administration with strong CYP3A inhibitors, such as ketoconazole, itraconazole, posaconazole, </w:t>
      </w:r>
      <w:r w:rsidRPr="00A808AC">
        <w:rPr>
          <w:sz w:val="22"/>
          <w:szCs w:val="22"/>
          <w:lang w:val="en-GB"/>
        </w:rPr>
        <w:t>voriconazole, telithromycin and clarithromycin</w:t>
      </w:r>
      <w:r w:rsidR="000326C4" w:rsidRPr="00A808AC">
        <w:rPr>
          <w:sz w:val="22"/>
          <w:szCs w:val="22"/>
          <w:lang w:val="en-GB"/>
        </w:rPr>
        <w:t xml:space="preserve"> (see section</w:t>
      </w:r>
      <w:r w:rsidR="00EF2FE6" w:rsidRPr="00A808AC">
        <w:rPr>
          <w:sz w:val="22"/>
          <w:szCs w:val="22"/>
          <w:lang w:val="en-GB"/>
        </w:rPr>
        <w:t>s</w:t>
      </w:r>
      <w:r w:rsidR="000326C4" w:rsidRPr="00A808AC">
        <w:rPr>
          <w:sz w:val="22"/>
          <w:szCs w:val="22"/>
          <w:lang w:val="en-GB"/>
        </w:rPr>
        <w:t> 4.2 and 4.4)</w:t>
      </w:r>
      <w:r w:rsidRPr="00A808AC">
        <w:rPr>
          <w:sz w:val="22"/>
          <w:szCs w:val="22"/>
          <w:lang w:val="en-GB"/>
        </w:rPr>
        <w:t>.</w:t>
      </w:r>
    </w:p>
    <w:p w14:paraId="202E7FC2" w14:textId="77777777" w:rsidR="00096B0E" w:rsidRPr="00A808AC" w:rsidRDefault="00096B0E" w:rsidP="00096B0E">
      <w:pPr>
        <w:pStyle w:val="labeltext"/>
        <w:rPr>
          <w:sz w:val="22"/>
          <w:szCs w:val="22"/>
          <w:lang w:val="en-GB"/>
        </w:rPr>
      </w:pPr>
    </w:p>
    <w:p w14:paraId="32E8093F" w14:textId="32776A25" w:rsidR="00096B0E" w:rsidRPr="00A808AC" w:rsidRDefault="005A3D7D" w:rsidP="00096B0E">
      <w:pPr>
        <w:pStyle w:val="labeltext"/>
        <w:rPr>
          <w:sz w:val="22"/>
          <w:szCs w:val="22"/>
          <w:lang w:val="en-GB"/>
        </w:rPr>
      </w:pPr>
      <w:r w:rsidRPr="00A808AC">
        <w:rPr>
          <w:sz w:val="22"/>
          <w:szCs w:val="22"/>
          <w:lang w:val="en-GB"/>
        </w:rPr>
        <w:t>Co</w:t>
      </w:r>
      <w:r w:rsidR="007178AD" w:rsidRPr="00A808AC">
        <w:rPr>
          <w:sz w:val="22"/>
          <w:szCs w:val="22"/>
          <w:lang w:val="en-GB"/>
        </w:rPr>
        <w:noBreakHyphen/>
      </w:r>
      <w:r w:rsidRPr="00A808AC">
        <w:rPr>
          <w:sz w:val="22"/>
          <w:szCs w:val="22"/>
          <w:lang w:val="en-GB"/>
        </w:rPr>
        <w:t>administration with fluconazole, a moderate inhibitor of CYP3A, increased ivacaftor exposure by 3</w:t>
      </w:r>
      <w:r w:rsidRPr="00A808AC">
        <w:rPr>
          <w:sz w:val="22"/>
          <w:szCs w:val="22"/>
          <w:lang w:val="en-GB"/>
        </w:rPr>
        <w:noBreakHyphen/>
        <w:t xml:space="preserve">fold and increased M1 to a lesser extent than ivacaftor. A reduction of the </w:t>
      </w:r>
      <w:r w:rsidR="00D3392A">
        <w:rPr>
          <w:bCs/>
          <w:iCs/>
          <w:sz w:val="22"/>
          <w:szCs w:val="22"/>
        </w:rPr>
        <w:t>i</w:t>
      </w:r>
      <w:r w:rsidR="009800DB">
        <w:rPr>
          <w:bCs/>
          <w:iCs/>
          <w:sz w:val="22"/>
          <w:szCs w:val="22"/>
        </w:rPr>
        <w:t>vacaftor</w:t>
      </w:r>
      <w:r w:rsidRPr="00A808AC">
        <w:rPr>
          <w:bCs/>
          <w:iCs/>
          <w:sz w:val="22"/>
          <w:szCs w:val="22"/>
        </w:rPr>
        <w:t xml:space="preserve"> dose is recommended </w:t>
      </w:r>
      <w:r w:rsidRPr="00A808AC">
        <w:rPr>
          <w:sz w:val="22"/>
          <w:szCs w:val="22"/>
          <w:lang w:val="en-GB"/>
        </w:rPr>
        <w:t>for patients taking concomitant moderate CYP3A inhibitors, such as fluconazole</w:t>
      </w:r>
      <w:r w:rsidR="003F66CF">
        <w:rPr>
          <w:sz w:val="22"/>
          <w:szCs w:val="22"/>
          <w:lang w:val="en-GB"/>
        </w:rPr>
        <w:t xml:space="preserve">, </w:t>
      </w:r>
      <w:r w:rsidRPr="00A808AC">
        <w:rPr>
          <w:sz w:val="22"/>
          <w:szCs w:val="22"/>
          <w:lang w:val="en-GB"/>
        </w:rPr>
        <w:t>erythromycin</w:t>
      </w:r>
      <w:r w:rsidR="003F66CF">
        <w:rPr>
          <w:sz w:val="22"/>
          <w:szCs w:val="22"/>
          <w:lang w:val="en-GB"/>
        </w:rPr>
        <w:t>, and verapamil</w:t>
      </w:r>
      <w:r w:rsidR="000326C4" w:rsidRPr="00A808AC">
        <w:rPr>
          <w:sz w:val="22"/>
          <w:szCs w:val="22"/>
          <w:lang w:val="en-GB"/>
        </w:rPr>
        <w:t xml:space="preserve"> (see section</w:t>
      </w:r>
      <w:r w:rsidR="00EF2FE6" w:rsidRPr="00A808AC">
        <w:rPr>
          <w:sz w:val="22"/>
          <w:szCs w:val="22"/>
          <w:lang w:val="en-GB"/>
        </w:rPr>
        <w:t>s</w:t>
      </w:r>
      <w:r w:rsidR="000326C4" w:rsidRPr="00A808AC">
        <w:rPr>
          <w:sz w:val="22"/>
          <w:szCs w:val="22"/>
          <w:lang w:val="en-GB"/>
        </w:rPr>
        <w:t> 4.2 and 4.4)</w:t>
      </w:r>
      <w:r w:rsidRPr="00A808AC">
        <w:rPr>
          <w:sz w:val="22"/>
          <w:szCs w:val="22"/>
          <w:lang w:val="en-GB"/>
        </w:rPr>
        <w:t>.</w:t>
      </w:r>
    </w:p>
    <w:p w14:paraId="0AB79294" w14:textId="77777777" w:rsidR="00096B0E" w:rsidRPr="00A808AC" w:rsidRDefault="00096B0E" w:rsidP="00096B0E">
      <w:pPr>
        <w:pStyle w:val="labeltext"/>
        <w:rPr>
          <w:sz w:val="22"/>
          <w:szCs w:val="22"/>
          <w:lang w:val="en-GB"/>
        </w:rPr>
      </w:pPr>
    </w:p>
    <w:p w14:paraId="3F7EDF54" w14:textId="082EB4FF" w:rsidR="00096B0E" w:rsidRPr="00A808AC" w:rsidRDefault="005A3D7D" w:rsidP="00096B0E">
      <w:pPr>
        <w:pStyle w:val="labeltext"/>
        <w:rPr>
          <w:sz w:val="22"/>
          <w:szCs w:val="22"/>
          <w:lang w:val="en-GB"/>
        </w:rPr>
      </w:pPr>
      <w:r w:rsidRPr="00A808AC">
        <w:rPr>
          <w:sz w:val="22"/>
          <w:szCs w:val="22"/>
          <w:lang w:val="en-GB"/>
        </w:rPr>
        <w:t xml:space="preserve">Co-administration of ivacaftor with grapefruit juice, which contains one or more components </w:t>
      </w:r>
      <w:r w:rsidRPr="00A808AC">
        <w:rPr>
          <w:sz w:val="22"/>
          <w:szCs w:val="22"/>
          <w:lang w:val="en-GB"/>
        </w:rPr>
        <w:t xml:space="preserve">that moderately inhibit CYP3A, may increase exposure to ivacaftor. Food </w:t>
      </w:r>
      <w:r w:rsidR="008E0FFC">
        <w:rPr>
          <w:sz w:val="22"/>
          <w:szCs w:val="22"/>
          <w:lang w:val="en-GB"/>
        </w:rPr>
        <w:t xml:space="preserve">or drink </w:t>
      </w:r>
      <w:r w:rsidRPr="00A808AC">
        <w:rPr>
          <w:sz w:val="22"/>
          <w:szCs w:val="22"/>
          <w:lang w:val="en-GB"/>
        </w:rPr>
        <w:t xml:space="preserve">containing grapefruit should be avoided during treatment with </w:t>
      </w:r>
      <w:r w:rsidR="003F66CF">
        <w:rPr>
          <w:sz w:val="22"/>
          <w:szCs w:val="22"/>
          <w:lang w:val="en-GB"/>
        </w:rPr>
        <w:t>ivacaftor</w:t>
      </w:r>
      <w:r w:rsidR="003F66CF" w:rsidRPr="00A808AC">
        <w:rPr>
          <w:sz w:val="22"/>
          <w:szCs w:val="22"/>
          <w:lang w:val="en-GB"/>
        </w:rPr>
        <w:t xml:space="preserve"> </w:t>
      </w:r>
      <w:r w:rsidR="000326C4" w:rsidRPr="00A808AC">
        <w:rPr>
          <w:sz w:val="22"/>
          <w:szCs w:val="22"/>
          <w:lang w:val="en-GB"/>
        </w:rPr>
        <w:t>(see section</w:t>
      </w:r>
      <w:r w:rsidR="009329EC" w:rsidRPr="00A808AC">
        <w:rPr>
          <w:sz w:val="22"/>
          <w:szCs w:val="22"/>
          <w:lang w:val="en-GB"/>
        </w:rPr>
        <w:t> </w:t>
      </w:r>
      <w:r w:rsidR="000326C4" w:rsidRPr="00A808AC">
        <w:rPr>
          <w:sz w:val="22"/>
          <w:szCs w:val="22"/>
          <w:lang w:val="en-GB"/>
        </w:rPr>
        <w:t>4.2)</w:t>
      </w:r>
      <w:r w:rsidRPr="00A808AC">
        <w:rPr>
          <w:sz w:val="22"/>
          <w:szCs w:val="22"/>
          <w:lang w:val="en-GB"/>
        </w:rPr>
        <w:t>.</w:t>
      </w:r>
    </w:p>
    <w:p w14:paraId="014A6FC3" w14:textId="77777777" w:rsidR="00096B0E" w:rsidRPr="00A808AC" w:rsidRDefault="00096B0E" w:rsidP="00096B0E">
      <w:pPr>
        <w:pStyle w:val="labeltext"/>
        <w:rPr>
          <w:sz w:val="22"/>
          <w:szCs w:val="22"/>
          <w:lang w:val="en-GB"/>
        </w:rPr>
      </w:pPr>
    </w:p>
    <w:p w14:paraId="1FAE41F1" w14:textId="77777777" w:rsidR="003F66CF" w:rsidRDefault="005A3D7D" w:rsidP="000A093B">
      <w:pPr>
        <w:pStyle w:val="CommentText"/>
        <w:keepNext/>
        <w:spacing w:line="240" w:lineRule="auto"/>
        <w:rPr>
          <w:rFonts w:eastAsia="MS Mincho"/>
          <w:sz w:val="22"/>
          <w:szCs w:val="22"/>
          <w:u w:val="single"/>
          <w:lang w:eastAsia="ja-JP"/>
        </w:rPr>
      </w:pPr>
      <w:r w:rsidRPr="008B6996">
        <w:rPr>
          <w:rFonts w:eastAsia="MS Mincho"/>
          <w:sz w:val="22"/>
          <w:szCs w:val="22"/>
          <w:u w:val="single"/>
          <w:lang w:eastAsia="ja-JP"/>
        </w:rPr>
        <w:t>Potential for ivacaftor to interact with transporters</w:t>
      </w:r>
    </w:p>
    <w:p w14:paraId="7B247392" w14:textId="77777777" w:rsidR="003F66CF" w:rsidRPr="008B6996" w:rsidRDefault="003F66CF" w:rsidP="000A093B">
      <w:pPr>
        <w:pStyle w:val="CommentText"/>
        <w:keepNext/>
        <w:spacing w:line="240" w:lineRule="auto"/>
        <w:rPr>
          <w:rFonts w:eastAsia="MS Mincho"/>
          <w:sz w:val="22"/>
          <w:szCs w:val="22"/>
          <w:u w:val="single"/>
          <w:lang w:eastAsia="ja-JP"/>
        </w:rPr>
      </w:pPr>
    </w:p>
    <w:p w14:paraId="40729626" w14:textId="77777777" w:rsidR="003F66CF" w:rsidRPr="00A26FB4" w:rsidRDefault="005A3D7D" w:rsidP="000A093B">
      <w:pPr>
        <w:pStyle w:val="CommentText"/>
        <w:keepNext/>
        <w:spacing w:line="240" w:lineRule="auto"/>
        <w:rPr>
          <w:rFonts w:eastAsia="MS Mincho"/>
          <w:sz w:val="22"/>
          <w:szCs w:val="22"/>
          <w:lang w:eastAsia="ja-JP"/>
        </w:rPr>
      </w:pPr>
      <w:r w:rsidRPr="00A26FB4">
        <w:rPr>
          <w:rFonts w:eastAsia="MS Mincho"/>
          <w:i/>
          <w:sz w:val="22"/>
          <w:szCs w:val="22"/>
          <w:lang w:eastAsia="ja-JP"/>
        </w:rPr>
        <w:t>In vitro</w:t>
      </w:r>
      <w:r w:rsidRPr="00A26FB4">
        <w:rPr>
          <w:rFonts w:eastAsia="MS Mincho"/>
          <w:sz w:val="22"/>
          <w:szCs w:val="22"/>
          <w:lang w:eastAsia="ja-JP"/>
        </w:rPr>
        <w:t xml:space="preserve"> studies showed that ivacaftor is not a substrate for OATP1B1 or OATP1B3. Ivacaftor and its metabolites are substrates of BCRP </w:t>
      </w:r>
      <w:r w:rsidRPr="00A26FB4">
        <w:rPr>
          <w:rFonts w:eastAsia="MS Mincho"/>
          <w:i/>
          <w:sz w:val="22"/>
          <w:szCs w:val="22"/>
          <w:lang w:eastAsia="ja-JP"/>
        </w:rPr>
        <w:t>in vitro</w:t>
      </w:r>
      <w:r w:rsidRPr="00A26FB4">
        <w:rPr>
          <w:rFonts w:eastAsia="MS Mincho"/>
          <w:sz w:val="22"/>
          <w:szCs w:val="22"/>
          <w:lang w:eastAsia="ja-JP"/>
        </w:rPr>
        <w:t>. Due to its high intrinsic permeability and low likelihood of being excreted intact, co</w:t>
      </w:r>
      <w:r>
        <w:rPr>
          <w:rFonts w:eastAsia="MS Mincho"/>
          <w:sz w:val="22"/>
          <w:szCs w:val="22"/>
          <w:lang w:eastAsia="ja-JP"/>
        </w:rPr>
        <w:noBreakHyphen/>
      </w:r>
      <w:r w:rsidRPr="00A26FB4">
        <w:rPr>
          <w:rFonts w:eastAsia="MS Mincho"/>
          <w:sz w:val="22"/>
          <w:szCs w:val="22"/>
          <w:lang w:eastAsia="ja-JP"/>
        </w:rPr>
        <w:t>administration of BCRP inhibitor</w:t>
      </w:r>
      <w:r w:rsidRPr="00A26FB4">
        <w:rPr>
          <w:rFonts w:eastAsia="MS Mincho"/>
          <w:sz w:val="22"/>
          <w:szCs w:val="22"/>
          <w:lang w:eastAsia="ja-JP"/>
        </w:rPr>
        <w:t xml:space="preserve">s is not expected to alter exposure of ivacaftor </w:t>
      </w:r>
      <w:r w:rsidRPr="00AB6E3A">
        <w:rPr>
          <w:rFonts w:eastAsia="MS Mincho"/>
          <w:sz w:val="22"/>
          <w:szCs w:val="22"/>
          <w:lang w:eastAsia="ja-JP"/>
        </w:rPr>
        <w:t>and M1</w:t>
      </w:r>
      <w:r w:rsidRPr="00AB6E3A">
        <w:rPr>
          <w:rFonts w:eastAsia="MS Mincho"/>
          <w:sz w:val="22"/>
          <w:szCs w:val="22"/>
          <w:lang w:eastAsia="ja-JP"/>
        </w:rPr>
        <w:noBreakHyphen/>
        <w:t xml:space="preserve">IVA, </w:t>
      </w:r>
      <w:r w:rsidRPr="006C54FB">
        <w:rPr>
          <w:rFonts w:eastAsia="MS Mincho"/>
          <w:sz w:val="22"/>
          <w:szCs w:val="22"/>
          <w:lang w:eastAsia="ja-JP"/>
        </w:rPr>
        <w:t>while any potential changes in M6</w:t>
      </w:r>
      <w:r w:rsidRPr="006C54FB">
        <w:rPr>
          <w:rFonts w:eastAsia="MS Mincho"/>
          <w:sz w:val="22"/>
          <w:szCs w:val="22"/>
          <w:lang w:eastAsia="ja-JP"/>
        </w:rPr>
        <w:noBreakHyphen/>
        <w:t>IVA exposures are not expected to be clinically relevant.</w:t>
      </w:r>
      <w:r w:rsidRPr="00A26FB4">
        <w:rPr>
          <w:rFonts w:eastAsia="MS Mincho"/>
          <w:sz w:val="22"/>
          <w:szCs w:val="22"/>
          <w:lang w:eastAsia="ja-JP"/>
        </w:rPr>
        <w:t xml:space="preserve"> </w:t>
      </w:r>
    </w:p>
    <w:p w14:paraId="06F6F378" w14:textId="77777777" w:rsidR="003F66CF" w:rsidRPr="000A093B" w:rsidRDefault="003F66CF" w:rsidP="000A093B">
      <w:pPr>
        <w:suppressLineNumbers/>
        <w:spacing w:line="240" w:lineRule="auto"/>
        <w:rPr>
          <w:i/>
        </w:rPr>
      </w:pPr>
    </w:p>
    <w:p w14:paraId="4AE6F6E5" w14:textId="77777777" w:rsidR="00096B0E" w:rsidRDefault="005A3D7D" w:rsidP="000A093B">
      <w:pPr>
        <w:keepNext/>
        <w:suppressLineNumbers/>
        <w:spacing w:line="240" w:lineRule="auto"/>
        <w:rPr>
          <w:i/>
        </w:rPr>
      </w:pPr>
      <w:r w:rsidRPr="007B0741">
        <w:rPr>
          <w:i/>
        </w:rPr>
        <w:t>Ciprofloxacin</w:t>
      </w:r>
    </w:p>
    <w:p w14:paraId="199A80CA" w14:textId="77777777" w:rsidR="003F66CF" w:rsidRPr="007B0741" w:rsidRDefault="003F66CF" w:rsidP="000A093B">
      <w:pPr>
        <w:keepNext/>
        <w:suppressLineNumbers/>
        <w:spacing w:line="240" w:lineRule="auto"/>
        <w:rPr>
          <w:i/>
        </w:rPr>
      </w:pPr>
    </w:p>
    <w:p w14:paraId="574B97CE" w14:textId="072DD058" w:rsidR="00096B0E" w:rsidRPr="00A808AC" w:rsidRDefault="005A3D7D" w:rsidP="000A093B">
      <w:pPr>
        <w:pStyle w:val="labeltext"/>
        <w:keepNext/>
        <w:rPr>
          <w:sz w:val="22"/>
          <w:szCs w:val="22"/>
        </w:rPr>
      </w:pPr>
      <w:r w:rsidRPr="00A808AC">
        <w:rPr>
          <w:sz w:val="22"/>
          <w:szCs w:val="22"/>
        </w:rPr>
        <w:t xml:space="preserve">Co-administration of ciprofloxacin with ivacaftor did not affect the exposure of ivacaftor. No dose adjustment is required when </w:t>
      </w:r>
      <w:r w:rsidR="003F66CF">
        <w:rPr>
          <w:sz w:val="22"/>
          <w:szCs w:val="22"/>
        </w:rPr>
        <w:t>ivacaftor</w:t>
      </w:r>
      <w:r w:rsidR="003F66CF" w:rsidRPr="00A808AC">
        <w:rPr>
          <w:sz w:val="22"/>
          <w:szCs w:val="22"/>
        </w:rPr>
        <w:t xml:space="preserve"> </w:t>
      </w:r>
      <w:r w:rsidRPr="00A808AC">
        <w:rPr>
          <w:sz w:val="22"/>
          <w:szCs w:val="22"/>
        </w:rPr>
        <w:t>is co</w:t>
      </w:r>
      <w:r w:rsidR="007178AD" w:rsidRPr="00A808AC">
        <w:rPr>
          <w:sz w:val="22"/>
          <w:szCs w:val="22"/>
        </w:rPr>
        <w:noBreakHyphen/>
      </w:r>
      <w:r w:rsidRPr="00A808AC">
        <w:rPr>
          <w:sz w:val="22"/>
          <w:szCs w:val="22"/>
        </w:rPr>
        <w:t>administered with ciprofloxacin.</w:t>
      </w:r>
    </w:p>
    <w:p w14:paraId="0A0B8C30" w14:textId="77777777" w:rsidR="00096B0E" w:rsidRPr="00A808AC" w:rsidRDefault="00096B0E" w:rsidP="00096B0E">
      <w:pPr>
        <w:pStyle w:val="labeltext"/>
        <w:rPr>
          <w:iCs/>
          <w:sz w:val="22"/>
          <w:szCs w:val="22"/>
        </w:rPr>
      </w:pPr>
    </w:p>
    <w:p w14:paraId="780DB273" w14:textId="77777777" w:rsidR="00096B0E" w:rsidRPr="006C4477" w:rsidRDefault="005A3D7D" w:rsidP="000A093B">
      <w:pPr>
        <w:pStyle w:val="labeltext"/>
        <w:keepNext/>
        <w:rPr>
          <w:sz w:val="22"/>
          <w:u w:val="single"/>
        </w:rPr>
      </w:pPr>
      <w:r w:rsidRPr="007B0741">
        <w:rPr>
          <w:sz w:val="22"/>
          <w:u w:val="single"/>
        </w:rPr>
        <w:t>Medicinal products affected by ivacaftor</w:t>
      </w:r>
    </w:p>
    <w:p w14:paraId="4083DBA4" w14:textId="77777777" w:rsidR="002C402F" w:rsidRPr="006C4477" w:rsidRDefault="002C402F" w:rsidP="000A093B">
      <w:pPr>
        <w:pStyle w:val="labeltext"/>
        <w:keepNext/>
        <w:rPr>
          <w:sz w:val="22"/>
          <w:u w:val="single"/>
        </w:rPr>
      </w:pPr>
    </w:p>
    <w:p w14:paraId="1D8DF1C8" w14:textId="77777777" w:rsidR="00E706D7" w:rsidRDefault="005A3D7D" w:rsidP="000A093B">
      <w:pPr>
        <w:pStyle w:val="CommentText"/>
        <w:keepNext/>
        <w:spacing w:line="240" w:lineRule="auto"/>
        <w:rPr>
          <w:sz w:val="22"/>
          <w:szCs w:val="22"/>
        </w:rPr>
      </w:pPr>
      <w:r w:rsidRPr="00E706D7">
        <w:rPr>
          <w:sz w:val="22"/>
          <w:szCs w:val="22"/>
        </w:rPr>
        <w:t>Administration of ivacaftor may incr</w:t>
      </w:r>
      <w:r w:rsidRPr="00E706D7">
        <w:rPr>
          <w:sz w:val="22"/>
          <w:szCs w:val="22"/>
        </w:rPr>
        <w:t xml:space="preserve">ease systemic exposure of medicinal products that are sensitive substrates of </w:t>
      </w:r>
      <w:r w:rsidR="008928A0" w:rsidRPr="00AB6E3A">
        <w:rPr>
          <w:sz w:val="22"/>
          <w:szCs w:val="22"/>
        </w:rPr>
        <w:t>CYP2C9</w:t>
      </w:r>
      <w:r w:rsidRPr="00AB6E3A">
        <w:rPr>
          <w:sz w:val="22"/>
          <w:szCs w:val="22"/>
        </w:rPr>
        <w:t xml:space="preserve">, </w:t>
      </w:r>
      <w:r w:rsidR="00037046" w:rsidRPr="00AB6E3A">
        <w:rPr>
          <w:sz w:val="22"/>
          <w:szCs w:val="22"/>
        </w:rPr>
        <w:t xml:space="preserve">and/or </w:t>
      </w:r>
      <w:r w:rsidRPr="00AB6E3A">
        <w:rPr>
          <w:sz w:val="22"/>
          <w:szCs w:val="22"/>
        </w:rPr>
        <w:t>P</w:t>
      </w:r>
      <w:r w:rsidRPr="00AB6E3A">
        <w:rPr>
          <w:sz w:val="22"/>
          <w:szCs w:val="22"/>
        </w:rPr>
        <w:noBreakHyphen/>
        <w:t xml:space="preserve">gp, and/or </w:t>
      </w:r>
      <w:r w:rsidR="008928A0" w:rsidRPr="00AB6E3A">
        <w:rPr>
          <w:sz w:val="22"/>
          <w:szCs w:val="22"/>
        </w:rPr>
        <w:t xml:space="preserve">CYP3A </w:t>
      </w:r>
      <w:r w:rsidRPr="00E706D7">
        <w:rPr>
          <w:sz w:val="22"/>
          <w:szCs w:val="22"/>
        </w:rPr>
        <w:t>which may increase or prolong their therapeutic effect and adverse reactions.</w:t>
      </w:r>
    </w:p>
    <w:p w14:paraId="698138E8" w14:textId="77777777" w:rsidR="00E706D7" w:rsidRDefault="00E706D7" w:rsidP="00087469">
      <w:pPr>
        <w:pStyle w:val="CommentText"/>
        <w:spacing w:line="240" w:lineRule="auto"/>
        <w:rPr>
          <w:sz w:val="22"/>
          <w:szCs w:val="22"/>
        </w:rPr>
      </w:pPr>
    </w:p>
    <w:p w14:paraId="1D70FF6A" w14:textId="77777777" w:rsidR="008E6849" w:rsidRDefault="005A3D7D" w:rsidP="006C4477">
      <w:pPr>
        <w:keepNext/>
        <w:keepLines/>
        <w:rPr>
          <w:i/>
        </w:rPr>
      </w:pPr>
      <w:r w:rsidRPr="007B0741">
        <w:rPr>
          <w:i/>
        </w:rPr>
        <w:t>CYP2C9 substrates</w:t>
      </w:r>
    </w:p>
    <w:p w14:paraId="130344E6" w14:textId="77777777" w:rsidR="003F66CF" w:rsidRPr="007B0741" w:rsidRDefault="003F66CF" w:rsidP="006C4477">
      <w:pPr>
        <w:keepNext/>
        <w:keepLines/>
        <w:rPr>
          <w:i/>
        </w:rPr>
      </w:pPr>
    </w:p>
    <w:p w14:paraId="7F76F8A7" w14:textId="039E8582" w:rsidR="008E6849" w:rsidRPr="000A62A0" w:rsidRDefault="005A3D7D" w:rsidP="006C4477">
      <w:pPr>
        <w:pStyle w:val="CommentText"/>
        <w:keepNext/>
        <w:keepLines/>
        <w:spacing w:line="240" w:lineRule="auto"/>
        <w:rPr>
          <w:i/>
          <w:sz w:val="22"/>
          <w:szCs w:val="22"/>
          <w:bdr w:val="single" w:sz="4" w:space="0" w:color="auto"/>
        </w:rPr>
      </w:pPr>
      <w:r w:rsidRPr="000A62A0">
        <w:rPr>
          <w:sz w:val="22"/>
          <w:szCs w:val="22"/>
        </w:rPr>
        <w:t xml:space="preserve">Ivacaftor may inhibit CYP2C9. Therefore, monitoring of the international normalised ratio (INR) </w:t>
      </w:r>
      <w:r>
        <w:rPr>
          <w:sz w:val="22"/>
          <w:szCs w:val="22"/>
        </w:rPr>
        <w:t xml:space="preserve">is recommended </w:t>
      </w:r>
      <w:r w:rsidRPr="000A62A0">
        <w:rPr>
          <w:sz w:val="22"/>
          <w:szCs w:val="22"/>
        </w:rPr>
        <w:t>during co</w:t>
      </w:r>
      <w:r w:rsidRPr="000A62A0">
        <w:rPr>
          <w:sz w:val="22"/>
          <w:szCs w:val="22"/>
        </w:rPr>
        <w:noBreakHyphen/>
        <w:t xml:space="preserve">administration </w:t>
      </w:r>
      <w:r>
        <w:rPr>
          <w:sz w:val="22"/>
          <w:szCs w:val="22"/>
        </w:rPr>
        <w:t xml:space="preserve">of </w:t>
      </w:r>
      <w:r w:rsidRPr="000A62A0">
        <w:rPr>
          <w:sz w:val="22"/>
          <w:szCs w:val="22"/>
        </w:rPr>
        <w:t>warfarin</w:t>
      </w:r>
      <w:r>
        <w:rPr>
          <w:sz w:val="22"/>
          <w:szCs w:val="22"/>
        </w:rPr>
        <w:t xml:space="preserve"> with </w:t>
      </w:r>
      <w:r w:rsidR="003F66CF">
        <w:rPr>
          <w:sz w:val="22"/>
          <w:szCs w:val="22"/>
        </w:rPr>
        <w:t>ivacaftor</w:t>
      </w:r>
      <w:r w:rsidRPr="000A62A0">
        <w:rPr>
          <w:sz w:val="22"/>
          <w:szCs w:val="22"/>
        </w:rPr>
        <w:t>. Other medicinal products for which exposure may be increased include glimepiride and glipizi</w:t>
      </w:r>
      <w:r w:rsidRPr="000A62A0">
        <w:rPr>
          <w:sz w:val="22"/>
          <w:szCs w:val="22"/>
        </w:rPr>
        <w:t>de; these medicinal products should be used with caution.</w:t>
      </w:r>
    </w:p>
    <w:p w14:paraId="122E1B5A" w14:textId="77777777" w:rsidR="008E6849" w:rsidRPr="00454DF0" w:rsidRDefault="008E6849" w:rsidP="008E6849">
      <w:pPr>
        <w:pStyle w:val="CommentText"/>
        <w:spacing w:line="240" w:lineRule="auto"/>
        <w:rPr>
          <w:sz w:val="22"/>
          <w:szCs w:val="22"/>
          <w:u w:val="single"/>
        </w:rPr>
      </w:pPr>
    </w:p>
    <w:p w14:paraId="0DDC08C4" w14:textId="77777777" w:rsidR="008E6849" w:rsidRDefault="005A3D7D" w:rsidP="000A093B">
      <w:pPr>
        <w:keepNext/>
        <w:spacing w:line="240" w:lineRule="auto"/>
        <w:rPr>
          <w:i/>
        </w:rPr>
      </w:pPr>
      <w:r w:rsidRPr="007B0741">
        <w:rPr>
          <w:i/>
        </w:rPr>
        <w:t>Digoxin and other P</w:t>
      </w:r>
      <w:r w:rsidR="004809B7" w:rsidRPr="007B0741">
        <w:rPr>
          <w:i/>
        </w:rPr>
        <w:noBreakHyphen/>
      </w:r>
      <w:r w:rsidRPr="007B0741">
        <w:rPr>
          <w:i/>
        </w:rPr>
        <w:t>gp substrates</w:t>
      </w:r>
    </w:p>
    <w:p w14:paraId="4D48FC1A" w14:textId="77777777" w:rsidR="003F66CF" w:rsidRPr="007B0741" w:rsidRDefault="003F66CF" w:rsidP="000A093B">
      <w:pPr>
        <w:keepNext/>
        <w:spacing w:line="240" w:lineRule="auto"/>
        <w:rPr>
          <w:i/>
        </w:rPr>
      </w:pPr>
    </w:p>
    <w:p w14:paraId="03FC546E" w14:textId="73746EEA" w:rsidR="008E6849" w:rsidRPr="000A62A0" w:rsidRDefault="005A3D7D" w:rsidP="000A093B">
      <w:pPr>
        <w:pStyle w:val="CommentText"/>
        <w:keepNext/>
        <w:spacing w:line="240" w:lineRule="auto"/>
        <w:rPr>
          <w:sz w:val="22"/>
          <w:szCs w:val="22"/>
        </w:rPr>
      </w:pPr>
      <w:r w:rsidRPr="000A62A0">
        <w:rPr>
          <w:sz w:val="22"/>
          <w:szCs w:val="22"/>
        </w:rPr>
        <w:t>Co</w:t>
      </w:r>
      <w:r w:rsidRPr="000A62A0">
        <w:rPr>
          <w:sz w:val="22"/>
          <w:szCs w:val="22"/>
        </w:rPr>
        <w:noBreakHyphen/>
        <w:t>administration with digoxin, a sensitive P</w:t>
      </w:r>
      <w:r w:rsidRPr="000A62A0">
        <w:rPr>
          <w:sz w:val="22"/>
          <w:szCs w:val="22"/>
        </w:rPr>
        <w:noBreakHyphen/>
        <w:t>gp substrate, increased digoxin exposure by 1.3</w:t>
      </w:r>
      <w:r>
        <w:rPr>
          <w:sz w:val="22"/>
          <w:szCs w:val="22"/>
        </w:rPr>
        <w:noBreakHyphen/>
      </w:r>
      <w:r w:rsidRPr="000A62A0">
        <w:rPr>
          <w:sz w:val="22"/>
          <w:szCs w:val="22"/>
        </w:rPr>
        <w:t>fold, consistent with weak inhibition of P</w:t>
      </w:r>
      <w:r>
        <w:rPr>
          <w:sz w:val="22"/>
          <w:szCs w:val="22"/>
        </w:rPr>
        <w:noBreakHyphen/>
      </w:r>
      <w:r w:rsidRPr="000A62A0">
        <w:rPr>
          <w:sz w:val="22"/>
          <w:szCs w:val="22"/>
        </w:rPr>
        <w:t xml:space="preserve">gp by ivacaftor. </w:t>
      </w:r>
      <w:r w:rsidRPr="00CB17DD">
        <w:rPr>
          <w:sz w:val="22"/>
          <w:szCs w:val="22"/>
        </w:rPr>
        <w:t>Administ</w:t>
      </w:r>
      <w:r w:rsidRPr="00CB17DD">
        <w:rPr>
          <w:sz w:val="22"/>
          <w:szCs w:val="22"/>
        </w:rPr>
        <w:t xml:space="preserve">ration of </w:t>
      </w:r>
      <w:r w:rsidR="003F66CF">
        <w:rPr>
          <w:sz w:val="22"/>
          <w:szCs w:val="22"/>
        </w:rPr>
        <w:t>ivacaftor</w:t>
      </w:r>
      <w:r w:rsidR="003F66CF" w:rsidRPr="00CB17DD">
        <w:rPr>
          <w:sz w:val="22"/>
          <w:szCs w:val="22"/>
        </w:rPr>
        <w:t xml:space="preserve"> </w:t>
      </w:r>
      <w:r w:rsidRPr="00CB17DD">
        <w:rPr>
          <w:sz w:val="22"/>
          <w:szCs w:val="22"/>
        </w:rPr>
        <w:t>may increase systemic exposure of medicinal products that are sensitive substrates of P</w:t>
      </w:r>
      <w:r w:rsidR="00681301">
        <w:rPr>
          <w:sz w:val="22"/>
          <w:szCs w:val="22"/>
        </w:rPr>
        <w:noBreakHyphen/>
      </w:r>
      <w:r w:rsidRPr="00CB17DD">
        <w:rPr>
          <w:sz w:val="22"/>
          <w:szCs w:val="22"/>
        </w:rPr>
        <w:t>gp, which may increase or prolong their therapeutic effect and adverse reactions.</w:t>
      </w:r>
      <w:r>
        <w:rPr>
          <w:sz w:val="22"/>
          <w:szCs w:val="22"/>
        </w:rPr>
        <w:t xml:space="preserve"> </w:t>
      </w:r>
      <w:r w:rsidRPr="00CB17DD">
        <w:rPr>
          <w:sz w:val="22"/>
          <w:szCs w:val="22"/>
        </w:rPr>
        <w:t>When used concomitantly</w:t>
      </w:r>
      <w:r w:rsidRPr="000A62A0">
        <w:rPr>
          <w:sz w:val="22"/>
          <w:szCs w:val="22"/>
          <w:lang w:val="en-US"/>
        </w:rPr>
        <w:t xml:space="preserve"> with</w:t>
      </w:r>
      <w:r w:rsidRPr="000A62A0">
        <w:rPr>
          <w:sz w:val="22"/>
          <w:szCs w:val="22"/>
        </w:rPr>
        <w:t xml:space="preserve"> digoxin or other substrates of P</w:t>
      </w:r>
      <w:r>
        <w:rPr>
          <w:sz w:val="22"/>
          <w:szCs w:val="22"/>
        </w:rPr>
        <w:noBreakHyphen/>
      </w:r>
      <w:r w:rsidRPr="000A62A0">
        <w:rPr>
          <w:sz w:val="22"/>
          <w:szCs w:val="22"/>
        </w:rPr>
        <w:t>gp w</w:t>
      </w:r>
      <w:r w:rsidRPr="000A62A0">
        <w:rPr>
          <w:sz w:val="22"/>
          <w:szCs w:val="22"/>
        </w:rPr>
        <w:t xml:space="preserve">ith </w:t>
      </w:r>
      <w:r>
        <w:rPr>
          <w:sz w:val="22"/>
          <w:szCs w:val="22"/>
        </w:rPr>
        <w:t xml:space="preserve">a </w:t>
      </w:r>
      <w:r w:rsidRPr="000A62A0">
        <w:rPr>
          <w:sz w:val="22"/>
          <w:szCs w:val="22"/>
        </w:rPr>
        <w:t>narrow therapeutic index, such as ciclosporin, everolimus, sirolimus or tacrolimus</w:t>
      </w:r>
      <w:r>
        <w:rPr>
          <w:sz w:val="22"/>
          <w:szCs w:val="22"/>
        </w:rPr>
        <w:t xml:space="preserve">, </w:t>
      </w:r>
      <w:r w:rsidRPr="00CB17DD">
        <w:rPr>
          <w:sz w:val="22"/>
          <w:szCs w:val="22"/>
        </w:rPr>
        <w:t>caution and appropriate monitoring should be used</w:t>
      </w:r>
      <w:r w:rsidRPr="000A62A0">
        <w:rPr>
          <w:sz w:val="22"/>
          <w:szCs w:val="22"/>
        </w:rPr>
        <w:t>.</w:t>
      </w:r>
    </w:p>
    <w:p w14:paraId="023FB16B" w14:textId="77777777" w:rsidR="008E6849" w:rsidRDefault="008E6849" w:rsidP="00087469">
      <w:pPr>
        <w:pStyle w:val="CommentText"/>
        <w:spacing w:line="240" w:lineRule="auto"/>
        <w:rPr>
          <w:i/>
          <w:sz w:val="22"/>
          <w:szCs w:val="22"/>
        </w:rPr>
      </w:pPr>
    </w:p>
    <w:p w14:paraId="608604D9" w14:textId="77777777" w:rsidR="00087469" w:rsidRDefault="005A3D7D" w:rsidP="000A093B">
      <w:pPr>
        <w:pStyle w:val="CommentText"/>
        <w:keepNext/>
        <w:spacing w:line="240" w:lineRule="auto"/>
        <w:rPr>
          <w:i/>
          <w:sz w:val="22"/>
        </w:rPr>
      </w:pPr>
      <w:r w:rsidRPr="007B0741">
        <w:rPr>
          <w:i/>
          <w:sz w:val="22"/>
        </w:rPr>
        <w:t xml:space="preserve">CYP3A substrates </w:t>
      </w:r>
    </w:p>
    <w:p w14:paraId="1074F4C5" w14:textId="77777777" w:rsidR="003F66CF" w:rsidRPr="007B0741" w:rsidRDefault="003F66CF" w:rsidP="000A093B">
      <w:pPr>
        <w:pStyle w:val="CommentText"/>
        <w:keepNext/>
        <w:spacing w:line="240" w:lineRule="auto"/>
        <w:rPr>
          <w:i/>
          <w:sz w:val="22"/>
        </w:rPr>
      </w:pPr>
    </w:p>
    <w:p w14:paraId="71DEDE50" w14:textId="77777777" w:rsidR="00087469" w:rsidRDefault="005A3D7D" w:rsidP="000A093B">
      <w:pPr>
        <w:pStyle w:val="CommentText"/>
        <w:keepNext/>
        <w:spacing w:line="240" w:lineRule="auto"/>
        <w:rPr>
          <w:sz w:val="22"/>
          <w:szCs w:val="22"/>
        </w:rPr>
      </w:pPr>
      <w:r w:rsidRPr="00A808AC">
        <w:rPr>
          <w:sz w:val="22"/>
          <w:szCs w:val="22"/>
        </w:rPr>
        <w:t>Co</w:t>
      </w:r>
      <w:r w:rsidRPr="00A808AC">
        <w:rPr>
          <w:sz w:val="22"/>
          <w:szCs w:val="22"/>
        </w:rPr>
        <w:noBreakHyphen/>
        <w:t xml:space="preserve">administration with (oral) midazolam, a sensitive CYP3A substrate, increased </w:t>
      </w:r>
      <w:r w:rsidRPr="00A808AC">
        <w:rPr>
          <w:sz w:val="22"/>
          <w:szCs w:val="22"/>
        </w:rPr>
        <w:t>midazolam exposure 1.5</w:t>
      </w:r>
      <w:r w:rsidRPr="00A808AC">
        <w:rPr>
          <w:sz w:val="22"/>
          <w:szCs w:val="22"/>
        </w:rPr>
        <w:noBreakHyphen/>
        <w:t xml:space="preserve">fold, consistent with weak inhibition of CYP3A by ivacaftor. </w:t>
      </w:r>
      <w:r w:rsidR="00396AAA" w:rsidRPr="001D5FD4">
        <w:rPr>
          <w:sz w:val="22"/>
          <w:szCs w:val="22"/>
        </w:rPr>
        <w:t>No dose adjustment of CYP3A substrates</w:t>
      </w:r>
      <w:r w:rsidR="00396AAA">
        <w:rPr>
          <w:sz w:val="22"/>
          <w:szCs w:val="22"/>
        </w:rPr>
        <w:t>,</w:t>
      </w:r>
      <w:r w:rsidR="00396AAA" w:rsidRPr="001D5FD4">
        <w:rPr>
          <w:sz w:val="22"/>
          <w:szCs w:val="22"/>
        </w:rPr>
        <w:t xml:space="preserve"> such as midazolam, alprazolam, diazepam or triazolam</w:t>
      </w:r>
      <w:r w:rsidR="00396AAA">
        <w:rPr>
          <w:sz w:val="22"/>
          <w:szCs w:val="22"/>
        </w:rPr>
        <w:t>,</w:t>
      </w:r>
      <w:r w:rsidR="00396AAA" w:rsidRPr="001D5FD4">
        <w:rPr>
          <w:sz w:val="22"/>
          <w:szCs w:val="22"/>
        </w:rPr>
        <w:t xml:space="preserve"> is required when these are co-administered with ivacaftor. </w:t>
      </w:r>
    </w:p>
    <w:p w14:paraId="0E039E79" w14:textId="77777777" w:rsidR="00096B0E" w:rsidRPr="00A808AC" w:rsidRDefault="00096B0E" w:rsidP="00096B0E">
      <w:pPr>
        <w:suppressLineNumbers/>
        <w:spacing w:line="240" w:lineRule="auto"/>
      </w:pPr>
    </w:p>
    <w:p w14:paraId="3BE341BA" w14:textId="77777777" w:rsidR="00087469" w:rsidRPr="000A093B" w:rsidRDefault="005A3D7D" w:rsidP="00A0798C">
      <w:pPr>
        <w:keepNext/>
        <w:suppressLineNumbers/>
        <w:spacing w:line="240" w:lineRule="auto"/>
        <w:rPr>
          <w:i/>
        </w:rPr>
      </w:pPr>
      <w:r w:rsidRPr="000A093B">
        <w:rPr>
          <w:i/>
        </w:rPr>
        <w:t>Hormonal contrace</w:t>
      </w:r>
      <w:r w:rsidRPr="000A093B">
        <w:rPr>
          <w:i/>
        </w:rPr>
        <w:t>ptives</w:t>
      </w:r>
    </w:p>
    <w:p w14:paraId="185D5823" w14:textId="77777777" w:rsidR="00CB266A" w:rsidRPr="0093503D" w:rsidRDefault="00CB266A" w:rsidP="0069106A">
      <w:pPr>
        <w:keepNext/>
        <w:suppressLineNumbers/>
        <w:spacing w:line="240" w:lineRule="auto"/>
        <w:rPr>
          <w:u w:val="single"/>
        </w:rPr>
      </w:pPr>
    </w:p>
    <w:p w14:paraId="500AE8D7" w14:textId="77777777" w:rsidR="00087469" w:rsidRDefault="005A3D7D" w:rsidP="000A093B">
      <w:pPr>
        <w:pStyle w:val="CommentText"/>
        <w:keepNext/>
        <w:spacing w:line="240" w:lineRule="auto"/>
        <w:rPr>
          <w:sz w:val="22"/>
          <w:szCs w:val="22"/>
        </w:rPr>
      </w:pPr>
      <w:r w:rsidRPr="00A808AC">
        <w:rPr>
          <w:sz w:val="22"/>
          <w:szCs w:val="22"/>
        </w:rPr>
        <w:t>Ivacaftor has been studied with an oestrogen/progesterone oral contraceptive and was found to have no significant effect on the exposures of the oral contraceptive.</w:t>
      </w:r>
      <w:r w:rsidRPr="003F1CB4">
        <w:rPr>
          <w:rFonts w:eastAsia="MS Mincho"/>
          <w:sz w:val="22"/>
          <w:szCs w:val="22"/>
          <w:lang w:eastAsia="ja-JP"/>
        </w:rPr>
        <w:t xml:space="preserve"> </w:t>
      </w:r>
      <w:r w:rsidRPr="003F1CB4">
        <w:rPr>
          <w:sz w:val="22"/>
          <w:szCs w:val="22"/>
        </w:rPr>
        <w:t>Therefore, no dose adjustment of oral contraceptives is necessary.</w:t>
      </w:r>
    </w:p>
    <w:p w14:paraId="4D936DCD" w14:textId="77777777" w:rsidR="00087469" w:rsidRPr="00E66F6D" w:rsidRDefault="00087469" w:rsidP="000A093B">
      <w:pPr>
        <w:pStyle w:val="NormalWeb"/>
        <w:spacing w:before="0" w:beforeAutospacing="0" w:after="0" w:afterAutospacing="0"/>
        <w:rPr>
          <w:sz w:val="22"/>
        </w:rPr>
      </w:pPr>
    </w:p>
    <w:p w14:paraId="2BE82851" w14:textId="77777777" w:rsidR="005C3E46" w:rsidRDefault="005A3D7D" w:rsidP="000A093B">
      <w:pPr>
        <w:pStyle w:val="NormalWeb"/>
        <w:keepNext/>
        <w:spacing w:before="0" w:beforeAutospacing="0" w:after="0" w:afterAutospacing="0"/>
        <w:rPr>
          <w:sz w:val="22"/>
          <w:szCs w:val="22"/>
          <w:u w:val="single"/>
          <w:lang w:val="en-GB"/>
        </w:rPr>
      </w:pPr>
      <w:r w:rsidRPr="00A808AC">
        <w:rPr>
          <w:sz w:val="22"/>
          <w:szCs w:val="22"/>
          <w:u w:val="single"/>
          <w:lang w:val="en-GB"/>
        </w:rPr>
        <w:t>Paediatric population</w:t>
      </w:r>
    </w:p>
    <w:p w14:paraId="045F72E9" w14:textId="77777777" w:rsidR="00CB266A" w:rsidRPr="00A808AC" w:rsidRDefault="00CB266A" w:rsidP="000A093B">
      <w:pPr>
        <w:pStyle w:val="NormalWeb"/>
        <w:keepNext/>
        <w:spacing w:before="0" w:beforeAutospacing="0" w:after="0" w:afterAutospacing="0"/>
        <w:rPr>
          <w:sz w:val="22"/>
          <w:szCs w:val="22"/>
          <w:u w:val="single"/>
          <w:lang w:val="en-GB"/>
        </w:rPr>
      </w:pPr>
    </w:p>
    <w:p w14:paraId="5CC8130F" w14:textId="77777777" w:rsidR="00BE30FD" w:rsidRPr="000A093B" w:rsidRDefault="005A3D7D" w:rsidP="000A093B">
      <w:pPr>
        <w:pStyle w:val="NormalWeb"/>
        <w:keepNext/>
        <w:spacing w:before="0" w:beforeAutospacing="0" w:after="0" w:afterAutospacing="0"/>
        <w:rPr>
          <w:i/>
          <w:sz w:val="22"/>
          <w:lang w:val="en-GB"/>
        </w:rPr>
      </w:pPr>
      <w:r w:rsidRPr="00A808AC">
        <w:rPr>
          <w:sz w:val="22"/>
          <w:szCs w:val="22"/>
          <w:lang w:val="en-GB"/>
        </w:rPr>
        <w:t>Interaction studies have only been performed in adults.</w:t>
      </w:r>
      <w:r>
        <w:rPr>
          <w:i/>
          <w:sz w:val="22"/>
          <w:szCs w:val="22"/>
          <w:lang w:val="en-GB"/>
        </w:rPr>
        <w:t xml:space="preserve"> </w:t>
      </w:r>
    </w:p>
    <w:p w14:paraId="02900C0E" w14:textId="77777777" w:rsidR="005C3E46" w:rsidRPr="006C4477" w:rsidRDefault="005C3E46" w:rsidP="005C3E46">
      <w:pPr>
        <w:pStyle w:val="NormalWeb"/>
        <w:spacing w:before="0" w:beforeAutospacing="0" w:after="0" w:afterAutospacing="0"/>
        <w:rPr>
          <w:b/>
          <w:sz w:val="22"/>
        </w:rPr>
      </w:pPr>
    </w:p>
    <w:p w14:paraId="6B2B3440" w14:textId="77777777" w:rsidR="00096B0E" w:rsidRPr="007B0741" w:rsidRDefault="005A3D7D" w:rsidP="00A0798C">
      <w:pPr>
        <w:pStyle w:val="Heading2"/>
        <w:spacing w:before="0" w:after="0"/>
        <w:rPr>
          <w:sz w:val="22"/>
          <w:szCs w:val="22"/>
        </w:rPr>
      </w:pPr>
      <w:r w:rsidRPr="00C83CF5">
        <w:rPr>
          <w:sz w:val="22"/>
          <w:szCs w:val="22"/>
        </w:rPr>
        <w:t>4.6</w:t>
      </w:r>
      <w:r w:rsidRPr="00C83CF5">
        <w:rPr>
          <w:sz w:val="22"/>
          <w:szCs w:val="22"/>
        </w:rPr>
        <w:tab/>
        <w:t>Fertility, pregnancy and lactation</w:t>
      </w:r>
    </w:p>
    <w:p w14:paraId="738059CF" w14:textId="77777777" w:rsidR="00096B0E" w:rsidRPr="00A808AC" w:rsidRDefault="00096B0E" w:rsidP="000A093B">
      <w:pPr>
        <w:keepNext/>
        <w:suppressLineNumbers/>
        <w:spacing w:line="240" w:lineRule="auto"/>
        <w:rPr>
          <w:iCs/>
        </w:rPr>
      </w:pPr>
    </w:p>
    <w:p w14:paraId="1E0253F6" w14:textId="77777777" w:rsidR="00096B0E" w:rsidRDefault="005A3D7D" w:rsidP="000A093B">
      <w:pPr>
        <w:pStyle w:val="labeltext"/>
        <w:keepNext/>
        <w:rPr>
          <w:sz w:val="22"/>
          <w:szCs w:val="22"/>
          <w:u w:val="single"/>
        </w:rPr>
      </w:pPr>
      <w:r w:rsidRPr="00A808AC">
        <w:rPr>
          <w:sz w:val="22"/>
          <w:szCs w:val="22"/>
          <w:u w:val="single"/>
        </w:rPr>
        <w:t>Pregnancy</w:t>
      </w:r>
    </w:p>
    <w:p w14:paraId="5A5BBE49" w14:textId="77777777" w:rsidR="00487EC4" w:rsidRPr="00A808AC" w:rsidRDefault="00487EC4" w:rsidP="000A093B">
      <w:pPr>
        <w:pStyle w:val="labeltext"/>
        <w:keepNext/>
        <w:rPr>
          <w:sz w:val="22"/>
          <w:szCs w:val="22"/>
          <w:u w:val="single"/>
        </w:rPr>
      </w:pPr>
    </w:p>
    <w:p w14:paraId="0C9FE006" w14:textId="69D3EC6F" w:rsidR="006E6C8B" w:rsidRPr="00A808AC" w:rsidRDefault="005A3D7D" w:rsidP="000A093B">
      <w:pPr>
        <w:pStyle w:val="labeltext"/>
        <w:keepNext/>
        <w:rPr>
          <w:sz w:val="22"/>
          <w:szCs w:val="22"/>
          <w:lang w:val="en-GB"/>
        </w:rPr>
      </w:pPr>
      <w:r w:rsidRPr="00A808AC">
        <w:rPr>
          <w:sz w:val="22"/>
          <w:szCs w:val="22"/>
          <w:lang w:val="en-GB"/>
        </w:rPr>
        <w:t>There are no or limited amount of data (less than 300</w:t>
      </w:r>
      <w:r w:rsidR="0062140B" w:rsidRPr="00A808AC">
        <w:rPr>
          <w:sz w:val="22"/>
          <w:szCs w:val="22"/>
          <w:lang w:val="en-GB"/>
        </w:rPr>
        <w:t> </w:t>
      </w:r>
      <w:r w:rsidRPr="00A808AC">
        <w:rPr>
          <w:sz w:val="22"/>
          <w:szCs w:val="22"/>
          <w:lang w:val="en-GB"/>
        </w:rPr>
        <w:t>pregnancy outcomes) from the use of ivacaftor in pregnant women.</w:t>
      </w:r>
      <w:r w:rsidR="00096B0E" w:rsidRPr="00A808AC">
        <w:rPr>
          <w:sz w:val="22"/>
          <w:szCs w:val="22"/>
        </w:rPr>
        <w:t xml:space="preserve"> </w:t>
      </w:r>
      <w:r w:rsidR="002F0F4B" w:rsidRPr="00A808AC">
        <w:rPr>
          <w:sz w:val="22"/>
          <w:szCs w:val="22"/>
          <w:lang w:val="en-GB"/>
        </w:rPr>
        <w:t xml:space="preserve">Animals studies do not indicate direct or indirect harmful effects with respect to reproductive toxicity (see section 5.3). </w:t>
      </w:r>
      <w:r w:rsidRPr="00A808AC">
        <w:rPr>
          <w:sz w:val="22"/>
          <w:szCs w:val="22"/>
          <w:lang w:val="en-GB"/>
        </w:rPr>
        <w:t xml:space="preserve">As a precautionary measure, it is </w:t>
      </w:r>
      <w:r w:rsidR="002F0F4B" w:rsidRPr="00A808AC">
        <w:rPr>
          <w:sz w:val="22"/>
          <w:szCs w:val="22"/>
          <w:lang w:val="en-GB"/>
        </w:rPr>
        <w:t xml:space="preserve">preferable </w:t>
      </w:r>
      <w:r w:rsidRPr="00A808AC">
        <w:rPr>
          <w:sz w:val="22"/>
          <w:szCs w:val="22"/>
          <w:lang w:val="en-GB"/>
        </w:rPr>
        <w:t xml:space="preserve">avoid the use of </w:t>
      </w:r>
      <w:r w:rsidR="003F66CF">
        <w:rPr>
          <w:sz w:val="22"/>
          <w:szCs w:val="22"/>
          <w:lang w:val="en-GB"/>
        </w:rPr>
        <w:t xml:space="preserve">ivacaftor </w:t>
      </w:r>
      <w:r w:rsidR="00916630">
        <w:rPr>
          <w:sz w:val="22"/>
          <w:szCs w:val="22"/>
          <w:lang w:val="en-GB"/>
        </w:rPr>
        <w:t>during pregnancy.</w:t>
      </w:r>
    </w:p>
    <w:p w14:paraId="6C61F010" w14:textId="77777777" w:rsidR="00096B0E" w:rsidRPr="00A808AC" w:rsidRDefault="00096B0E" w:rsidP="006E6C8B">
      <w:pPr>
        <w:pStyle w:val="labeltext"/>
      </w:pPr>
    </w:p>
    <w:p w14:paraId="04438443" w14:textId="77777777" w:rsidR="00096B0E" w:rsidRDefault="005A3D7D" w:rsidP="000A093B">
      <w:pPr>
        <w:keepNext/>
        <w:spacing w:line="240" w:lineRule="auto"/>
        <w:rPr>
          <w:u w:val="single"/>
        </w:rPr>
      </w:pPr>
      <w:r w:rsidRPr="00A808AC">
        <w:rPr>
          <w:u w:val="single"/>
        </w:rPr>
        <w:t>Breast</w:t>
      </w:r>
      <w:r w:rsidRPr="00A808AC">
        <w:rPr>
          <w:u w:val="single"/>
        </w:rPr>
        <w:noBreakHyphen/>
        <w:t>feeding</w:t>
      </w:r>
    </w:p>
    <w:p w14:paraId="2D35A7ED" w14:textId="77777777" w:rsidR="00487EC4" w:rsidRPr="00A808AC" w:rsidRDefault="00487EC4" w:rsidP="000A093B">
      <w:pPr>
        <w:keepNext/>
        <w:spacing w:line="240" w:lineRule="auto"/>
        <w:rPr>
          <w:u w:val="single"/>
        </w:rPr>
      </w:pPr>
    </w:p>
    <w:p w14:paraId="7E7801AA" w14:textId="02225DC8" w:rsidR="006E6C8B" w:rsidRPr="00A808AC" w:rsidRDefault="005A3D7D" w:rsidP="000A093B">
      <w:pPr>
        <w:pStyle w:val="labeltext"/>
        <w:keepNext/>
        <w:rPr>
          <w:sz w:val="22"/>
          <w:szCs w:val="22"/>
          <w:lang w:val="en-GB"/>
        </w:rPr>
      </w:pPr>
      <w:r w:rsidRPr="00A808AC">
        <w:rPr>
          <w:sz w:val="22"/>
          <w:szCs w:val="22"/>
        </w:rPr>
        <w:t>It is unknown whether iva</w:t>
      </w:r>
      <w:r w:rsidRPr="00A808AC">
        <w:rPr>
          <w:sz w:val="22"/>
          <w:szCs w:val="22"/>
        </w:rPr>
        <w:t xml:space="preserve">caftor and/or its metabolites are excreted in human milk. </w:t>
      </w:r>
      <w:r w:rsidRPr="00A808AC">
        <w:rPr>
          <w:sz w:val="22"/>
          <w:szCs w:val="22"/>
          <w:lang w:val="en-GB"/>
        </w:rPr>
        <w:t xml:space="preserve">Available pharmacokinetic data in animals have shown excretion of </w:t>
      </w:r>
      <w:r w:rsidRPr="00A808AC">
        <w:rPr>
          <w:sz w:val="22"/>
          <w:szCs w:val="22"/>
        </w:rPr>
        <w:t xml:space="preserve">ivacaftor into the milk of lactating female rats. </w:t>
      </w:r>
      <w:r w:rsidRPr="00A808AC">
        <w:rPr>
          <w:sz w:val="22"/>
          <w:szCs w:val="22"/>
          <w:lang w:val="en-GB"/>
        </w:rPr>
        <w:t xml:space="preserve">As such, </w:t>
      </w:r>
      <w:r w:rsidR="00992BB8" w:rsidRPr="00A808AC">
        <w:rPr>
          <w:sz w:val="22"/>
          <w:szCs w:val="22"/>
          <w:lang w:val="en-GB"/>
        </w:rPr>
        <w:t xml:space="preserve">a </w:t>
      </w:r>
      <w:r w:rsidRPr="00A808AC">
        <w:rPr>
          <w:sz w:val="22"/>
          <w:szCs w:val="22"/>
          <w:lang w:val="en-GB"/>
        </w:rPr>
        <w:t>risk to the newborns/infants cannot be excluded. A decision must be mad</w:t>
      </w:r>
      <w:r w:rsidRPr="00A808AC">
        <w:rPr>
          <w:sz w:val="22"/>
          <w:szCs w:val="22"/>
          <w:lang w:val="en-GB"/>
        </w:rPr>
        <w:t xml:space="preserve">e whether to discontinue breast-feeding or to discontinue/abstain from </w:t>
      </w:r>
      <w:r w:rsidR="003F66CF">
        <w:rPr>
          <w:sz w:val="22"/>
          <w:szCs w:val="22"/>
          <w:lang w:val="en-GB"/>
        </w:rPr>
        <w:t>ivacaftor</w:t>
      </w:r>
      <w:r w:rsidR="003F66CF" w:rsidRPr="00A808AC">
        <w:rPr>
          <w:sz w:val="22"/>
          <w:szCs w:val="22"/>
          <w:lang w:val="en-GB"/>
        </w:rPr>
        <w:t xml:space="preserve"> </w:t>
      </w:r>
      <w:r w:rsidRPr="00A808AC">
        <w:rPr>
          <w:sz w:val="22"/>
          <w:szCs w:val="22"/>
          <w:lang w:val="en-GB"/>
        </w:rPr>
        <w:t>therapy taking into account the benefit of breas</w:t>
      </w:r>
      <w:r w:rsidR="005937F8" w:rsidRPr="00A808AC">
        <w:rPr>
          <w:sz w:val="22"/>
          <w:szCs w:val="22"/>
          <w:lang w:val="en-GB"/>
        </w:rPr>
        <w:t>t</w:t>
      </w:r>
      <w:r w:rsidR="005937F8" w:rsidRPr="00A808AC">
        <w:rPr>
          <w:sz w:val="22"/>
          <w:szCs w:val="22"/>
          <w:lang w:val="en-GB"/>
        </w:rPr>
        <w:noBreakHyphen/>
      </w:r>
      <w:r w:rsidRPr="00A808AC">
        <w:rPr>
          <w:sz w:val="22"/>
          <w:szCs w:val="22"/>
          <w:lang w:val="en-GB"/>
        </w:rPr>
        <w:t xml:space="preserve">feeding for the child and the benefit of therapy for the </w:t>
      </w:r>
      <w:r w:rsidR="002F0F4B" w:rsidRPr="00A808AC">
        <w:rPr>
          <w:sz w:val="22"/>
          <w:szCs w:val="22"/>
          <w:lang w:val="en-GB"/>
        </w:rPr>
        <w:t>woman</w:t>
      </w:r>
      <w:r w:rsidRPr="00A808AC">
        <w:rPr>
          <w:sz w:val="22"/>
          <w:szCs w:val="22"/>
          <w:lang w:val="en-GB"/>
        </w:rPr>
        <w:t>.</w:t>
      </w:r>
    </w:p>
    <w:p w14:paraId="5CE4DD67" w14:textId="77777777" w:rsidR="00096B0E" w:rsidRPr="00A808AC" w:rsidRDefault="00096B0E" w:rsidP="006E6C8B">
      <w:pPr>
        <w:pStyle w:val="labeltext"/>
      </w:pPr>
    </w:p>
    <w:p w14:paraId="530EA1FE" w14:textId="77777777" w:rsidR="00096B0E" w:rsidRDefault="005A3D7D" w:rsidP="00A0798C">
      <w:pPr>
        <w:pStyle w:val="NormalIndent"/>
        <w:keepNext/>
        <w:tabs>
          <w:tab w:val="left" w:pos="0"/>
        </w:tabs>
        <w:spacing w:after="0"/>
        <w:ind w:left="0"/>
        <w:rPr>
          <w:u w:val="single"/>
        </w:rPr>
      </w:pPr>
      <w:r w:rsidRPr="00A808AC">
        <w:rPr>
          <w:u w:val="single"/>
        </w:rPr>
        <w:t>Fertility</w:t>
      </w:r>
    </w:p>
    <w:p w14:paraId="7369647D" w14:textId="77777777" w:rsidR="00487EC4" w:rsidRPr="00A808AC" w:rsidRDefault="00487EC4" w:rsidP="0069106A">
      <w:pPr>
        <w:pStyle w:val="NormalIndent"/>
        <w:keepNext/>
        <w:tabs>
          <w:tab w:val="left" w:pos="0"/>
        </w:tabs>
        <w:spacing w:after="0"/>
        <w:ind w:left="0"/>
        <w:rPr>
          <w:u w:val="single"/>
        </w:rPr>
      </w:pPr>
    </w:p>
    <w:p w14:paraId="2D40F9BC" w14:textId="77777777" w:rsidR="00096B0E" w:rsidRPr="00A808AC" w:rsidRDefault="005A3D7D" w:rsidP="000A093B">
      <w:pPr>
        <w:keepNext/>
        <w:spacing w:line="240" w:lineRule="auto"/>
        <w:rPr>
          <w:rFonts w:eastAsia="MS Mincho"/>
          <w:lang w:val="en-US" w:eastAsia="ja-JP"/>
        </w:rPr>
      </w:pPr>
      <w:r w:rsidRPr="00CF556B">
        <w:rPr>
          <w:rFonts w:eastAsia="MS Mincho"/>
          <w:lang w:eastAsia="ja-JP"/>
        </w:rPr>
        <w:t xml:space="preserve">There are no data available on the effect of </w:t>
      </w:r>
      <w:r w:rsidRPr="00CF556B">
        <w:rPr>
          <w:rFonts w:eastAsia="MS Mincho"/>
          <w:lang w:eastAsia="ja-JP"/>
        </w:rPr>
        <w:t>ivacaftor on fertility in humans. Ivacaftor had an effect on fertility in rats (see section 5.3)</w:t>
      </w:r>
      <w:r w:rsidRPr="00A808AC">
        <w:rPr>
          <w:rFonts w:eastAsia="MS Mincho"/>
          <w:lang w:val="en-US" w:eastAsia="ja-JP"/>
        </w:rPr>
        <w:t>.</w:t>
      </w:r>
    </w:p>
    <w:p w14:paraId="30B9718C" w14:textId="77777777" w:rsidR="00096B0E" w:rsidRPr="00A808AC" w:rsidRDefault="00096B0E" w:rsidP="001F42DB"/>
    <w:p w14:paraId="5545CFF0" w14:textId="77777777" w:rsidR="00096B0E" w:rsidRPr="006C4477" w:rsidRDefault="005A3D7D" w:rsidP="00A0798C">
      <w:pPr>
        <w:keepNext/>
        <w:suppressLineNumbers/>
        <w:spacing w:line="240" w:lineRule="auto"/>
        <w:outlineLvl w:val="1"/>
        <w:rPr>
          <w:b/>
        </w:rPr>
      </w:pPr>
      <w:r w:rsidRPr="00A808AC">
        <w:rPr>
          <w:b/>
          <w:bCs/>
        </w:rPr>
        <w:t>4.7</w:t>
      </w:r>
      <w:r w:rsidRPr="00A808AC">
        <w:rPr>
          <w:b/>
          <w:bCs/>
        </w:rPr>
        <w:tab/>
        <w:t>Effects on ability to drive and use machines</w:t>
      </w:r>
    </w:p>
    <w:p w14:paraId="72472059" w14:textId="77777777" w:rsidR="00096B0E" w:rsidRPr="00A808AC" w:rsidRDefault="00096B0E" w:rsidP="0069106A">
      <w:pPr>
        <w:keepNext/>
        <w:spacing w:line="240" w:lineRule="auto"/>
      </w:pPr>
    </w:p>
    <w:p w14:paraId="2DB0E155" w14:textId="7B747401" w:rsidR="00096B0E" w:rsidRPr="00A808AC" w:rsidRDefault="005A3D7D" w:rsidP="000A093B">
      <w:pPr>
        <w:keepNext/>
        <w:spacing w:line="240" w:lineRule="auto"/>
        <w:rPr>
          <w:bCs/>
        </w:rPr>
      </w:pPr>
      <w:r>
        <w:rPr>
          <w:bCs/>
        </w:rPr>
        <w:t>Ivacaftor</w:t>
      </w:r>
      <w:r w:rsidRPr="00A808AC">
        <w:rPr>
          <w:bCs/>
        </w:rPr>
        <w:t xml:space="preserve"> </w:t>
      </w:r>
      <w:r w:rsidR="009B1867" w:rsidRPr="00A808AC">
        <w:rPr>
          <w:bCs/>
        </w:rPr>
        <w:t>has minor influence on the ability to drive or use machines. Ivacaftor may cause dizziness (see section</w:t>
      </w:r>
      <w:r w:rsidR="0062140B" w:rsidRPr="00A808AC">
        <w:rPr>
          <w:bCs/>
        </w:rPr>
        <w:t> </w:t>
      </w:r>
      <w:r w:rsidR="009B1867" w:rsidRPr="00A808AC">
        <w:rPr>
          <w:bCs/>
        </w:rPr>
        <w:t>4.8) and, therefore, patients experiencing dizziness should be advised not to drive or use machines until symptoms abate.</w:t>
      </w:r>
    </w:p>
    <w:p w14:paraId="75C13C0A" w14:textId="77777777" w:rsidR="00096B0E" w:rsidRPr="00A808AC" w:rsidRDefault="00096B0E" w:rsidP="001F42DB"/>
    <w:p w14:paraId="11293463" w14:textId="77777777" w:rsidR="00096B0E" w:rsidRPr="00A808AC" w:rsidRDefault="005A3D7D" w:rsidP="006C4477">
      <w:pPr>
        <w:keepNext/>
        <w:keepLines/>
        <w:suppressLineNumbers/>
        <w:spacing w:line="240" w:lineRule="auto"/>
        <w:outlineLvl w:val="1"/>
        <w:rPr>
          <w:b/>
          <w:bCs/>
        </w:rPr>
      </w:pPr>
      <w:r w:rsidRPr="00A808AC">
        <w:rPr>
          <w:b/>
          <w:bCs/>
        </w:rPr>
        <w:t>4.8</w:t>
      </w:r>
      <w:r w:rsidRPr="00A808AC">
        <w:rPr>
          <w:b/>
          <w:bCs/>
        </w:rPr>
        <w:tab/>
        <w:t>Undesirable effects</w:t>
      </w:r>
    </w:p>
    <w:p w14:paraId="74CB6B0A" w14:textId="77777777" w:rsidR="00096B0E" w:rsidRPr="00A808AC" w:rsidRDefault="00096B0E" w:rsidP="006C4477">
      <w:pPr>
        <w:pStyle w:val="labeltext"/>
        <w:keepNext/>
        <w:keepLines/>
        <w:rPr>
          <w:sz w:val="22"/>
          <w:szCs w:val="22"/>
          <w:u w:val="single"/>
        </w:rPr>
      </w:pPr>
    </w:p>
    <w:p w14:paraId="3AD65DDD" w14:textId="77777777" w:rsidR="00096B0E" w:rsidRPr="006C4477" w:rsidRDefault="005A3D7D" w:rsidP="006C4477">
      <w:pPr>
        <w:pStyle w:val="labeltext"/>
        <w:keepNext/>
        <w:keepLines/>
        <w:rPr>
          <w:sz w:val="22"/>
          <w:u w:val="single"/>
        </w:rPr>
      </w:pPr>
      <w:r w:rsidRPr="00A808AC">
        <w:rPr>
          <w:sz w:val="22"/>
          <w:szCs w:val="22"/>
          <w:u w:val="single"/>
        </w:rPr>
        <w:t>Summary of the safety profile</w:t>
      </w:r>
    </w:p>
    <w:p w14:paraId="4CDBAB3F" w14:textId="77777777" w:rsidR="00487EC4" w:rsidRPr="00A808AC" w:rsidRDefault="00487EC4" w:rsidP="00D92961">
      <w:pPr>
        <w:pStyle w:val="labeltext"/>
        <w:keepNext/>
        <w:keepLines/>
        <w:rPr>
          <w:sz w:val="22"/>
          <w:szCs w:val="22"/>
        </w:rPr>
      </w:pPr>
    </w:p>
    <w:p w14:paraId="22456010" w14:textId="23D3A023" w:rsidR="00096B0E" w:rsidRPr="00A808AC" w:rsidRDefault="005A3D7D" w:rsidP="006C4477">
      <w:pPr>
        <w:keepNext/>
        <w:keepLines/>
        <w:spacing w:line="240" w:lineRule="auto"/>
        <w:rPr>
          <w:rFonts w:eastAsia="Times New Roman"/>
        </w:rPr>
      </w:pPr>
      <w:r w:rsidRPr="00A808AC">
        <w:rPr>
          <w:rFonts w:eastAsia="Times New Roman"/>
        </w:rPr>
        <w:t xml:space="preserve">The most common adverse reactions </w:t>
      </w:r>
      <w:r w:rsidRPr="00A808AC">
        <w:rPr>
          <w:rFonts w:eastAsia="Times New Roman"/>
        </w:rPr>
        <w:t>experienced by patients aged 6</w:t>
      </w:r>
      <w:r w:rsidR="0062140B" w:rsidRPr="00A808AC">
        <w:rPr>
          <w:rFonts w:eastAsia="Times New Roman"/>
        </w:rPr>
        <w:t> </w:t>
      </w:r>
      <w:r w:rsidRPr="00A808AC">
        <w:rPr>
          <w:rFonts w:eastAsia="Times New Roman"/>
        </w:rPr>
        <w:t>years and older</w:t>
      </w:r>
      <w:r w:rsidR="001A751C">
        <w:rPr>
          <w:rFonts w:eastAsia="Times New Roman"/>
        </w:rPr>
        <w:t xml:space="preserve"> are</w:t>
      </w:r>
      <w:r w:rsidRPr="00A808AC">
        <w:rPr>
          <w:rFonts w:eastAsia="Times New Roman"/>
        </w:rPr>
        <w:t xml:space="preserve"> headache (23.9%), oropharyngeal pain (22.0%), upper respiratory tract infection (22.0%), nasal congestion (20.2%), abdominal pain (15.6%), nasopharyngitis (14.7%), diarrhoea (12.8%), dizziness (9.2%), rash</w:t>
      </w:r>
      <w:r w:rsidRPr="00A808AC">
        <w:rPr>
          <w:rFonts w:eastAsia="Times New Roman"/>
        </w:rPr>
        <w:t xml:space="preserve"> (12.8%) and bacteria in sputum (12.8%).</w:t>
      </w:r>
      <w:r w:rsidRPr="00A808AC">
        <w:t xml:space="preserve"> </w:t>
      </w:r>
      <w:r w:rsidRPr="00A808AC">
        <w:rPr>
          <w:rFonts w:eastAsia="Times New Roman"/>
        </w:rPr>
        <w:t>Transaminase elevations occurred in 12.8% of ivacaftor</w:t>
      </w:r>
      <w:r w:rsidR="0062140B" w:rsidRPr="00A808AC">
        <w:rPr>
          <w:rFonts w:eastAsia="Times New Roman"/>
        </w:rPr>
        <w:noBreakHyphen/>
      </w:r>
      <w:r w:rsidRPr="00A808AC">
        <w:rPr>
          <w:rFonts w:eastAsia="Times New Roman"/>
        </w:rPr>
        <w:t>treated patients versus 11.5% of placebo-treated patients.</w:t>
      </w:r>
    </w:p>
    <w:p w14:paraId="5A8306ED" w14:textId="77777777" w:rsidR="00096B0E" w:rsidRPr="00A808AC" w:rsidRDefault="00096B0E" w:rsidP="00096B0E">
      <w:pPr>
        <w:pStyle w:val="labeltext"/>
        <w:rPr>
          <w:sz w:val="22"/>
          <w:szCs w:val="22"/>
        </w:rPr>
      </w:pPr>
    </w:p>
    <w:p w14:paraId="6FAD8604" w14:textId="77777777" w:rsidR="00096B0E" w:rsidRPr="00A808AC" w:rsidRDefault="005A3D7D" w:rsidP="00096B0E">
      <w:pPr>
        <w:spacing w:line="240" w:lineRule="auto"/>
        <w:rPr>
          <w:rFonts w:eastAsia="Times New Roman"/>
        </w:rPr>
      </w:pPr>
      <w:r w:rsidRPr="00A808AC">
        <w:rPr>
          <w:rFonts w:eastAsia="Times New Roman"/>
        </w:rPr>
        <w:t>In patients aged 2 to less than 6</w:t>
      </w:r>
      <w:r w:rsidR="0062140B" w:rsidRPr="00A808AC">
        <w:rPr>
          <w:rFonts w:eastAsia="Times New Roman"/>
        </w:rPr>
        <w:t> </w:t>
      </w:r>
      <w:r w:rsidRPr="00A808AC">
        <w:rPr>
          <w:rFonts w:eastAsia="Times New Roman"/>
        </w:rPr>
        <w:t>years the most common adverse reactions were nasal congestion (26.</w:t>
      </w:r>
      <w:r w:rsidRPr="00A808AC">
        <w:rPr>
          <w:rFonts w:eastAsia="Times New Roman"/>
        </w:rPr>
        <w:t>5%), upper respiratory tract infection (23.5%), transaminase elevations (14.7%), rash (11.8%), and bacteria in sputum (11.8%).</w:t>
      </w:r>
    </w:p>
    <w:p w14:paraId="6EFB3213" w14:textId="77777777" w:rsidR="00096B0E" w:rsidRPr="00A808AC" w:rsidRDefault="00096B0E" w:rsidP="00096B0E">
      <w:pPr>
        <w:spacing w:line="240" w:lineRule="auto"/>
        <w:rPr>
          <w:rFonts w:eastAsia="Times New Roman"/>
        </w:rPr>
      </w:pPr>
    </w:p>
    <w:p w14:paraId="35BCEF06" w14:textId="77777777" w:rsidR="00096B0E" w:rsidRPr="00A808AC" w:rsidRDefault="005A3D7D" w:rsidP="00096B0E">
      <w:pPr>
        <w:spacing w:line="240" w:lineRule="auto"/>
        <w:rPr>
          <w:rFonts w:eastAsia="Times New Roman"/>
        </w:rPr>
      </w:pPr>
      <w:r w:rsidRPr="00A808AC">
        <w:rPr>
          <w:rFonts w:eastAsia="Times New Roman"/>
        </w:rPr>
        <w:t>Serious adverse reactions in patients who received ivacaftor included abdominal pain and transaminase elevations (see section 4.</w:t>
      </w:r>
      <w:r w:rsidRPr="00A808AC">
        <w:rPr>
          <w:rFonts w:eastAsia="Times New Roman"/>
        </w:rPr>
        <w:t>4).</w:t>
      </w:r>
    </w:p>
    <w:p w14:paraId="2C2A9737" w14:textId="77777777" w:rsidR="00096B0E" w:rsidRPr="00A808AC" w:rsidRDefault="00096B0E" w:rsidP="00096B0E">
      <w:pPr>
        <w:pStyle w:val="labeltext"/>
        <w:rPr>
          <w:sz w:val="22"/>
          <w:szCs w:val="22"/>
          <w:u w:val="single"/>
        </w:rPr>
      </w:pPr>
    </w:p>
    <w:p w14:paraId="78F7F13E" w14:textId="77777777" w:rsidR="00096B0E" w:rsidRDefault="005A3D7D" w:rsidP="00A0798C">
      <w:pPr>
        <w:pStyle w:val="labeltext"/>
        <w:keepNext/>
        <w:rPr>
          <w:sz w:val="22"/>
          <w:szCs w:val="22"/>
          <w:u w:val="single"/>
        </w:rPr>
      </w:pPr>
      <w:r w:rsidRPr="00A808AC">
        <w:rPr>
          <w:sz w:val="22"/>
          <w:szCs w:val="22"/>
          <w:u w:val="single"/>
        </w:rPr>
        <w:t>Tabulated list of adverse reactions</w:t>
      </w:r>
    </w:p>
    <w:p w14:paraId="5AEED6AD" w14:textId="77777777" w:rsidR="00487EC4" w:rsidRPr="00A808AC" w:rsidRDefault="00487EC4" w:rsidP="0069106A">
      <w:pPr>
        <w:pStyle w:val="labeltext"/>
        <w:keepNext/>
        <w:rPr>
          <w:sz w:val="22"/>
          <w:szCs w:val="22"/>
          <w:u w:val="single"/>
        </w:rPr>
      </w:pPr>
    </w:p>
    <w:p w14:paraId="17AE8E21" w14:textId="77777777" w:rsidR="00096B0E" w:rsidRPr="00A808AC" w:rsidRDefault="005A3D7D" w:rsidP="000A093B">
      <w:pPr>
        <w:keepNext/>
        <w:spacing w:line="240" w:lineRule="auto"/>
        <w:rPr>
          <w:rFonts w:eastAsia="Times New Roman"/>
        </w:rPr>
      </w:pPr>
      <w:r w:rsidRPr="00A808AC">
        <w:rPr>
          <w:rFonts w:eastAsia="Times New Roman"/>
        </w:rPr>
        <w:t xml:space="preserve">Table 2 reflects the adverse reactions observed with </w:t>
      </w:r>
      <w:r w:rsidRPr="00CB0B55">
        <w:rPr>
          <w:rFonts w:eastAsia="Times New Roman"/>
        </w:rPr>
        <w:t xml:space="preserve">ivacaftor </w:t>
      </w:r>
      <w:r w:rsidRPr="00A808AC">
        <w:rPr>
          <w:rFonts w:eastAsia="Times New Roman"/>
        </w:rPr>
        <w:t>in clinical trials (placebo</w:t>
      </w:r>
      <w:r w:rsidR="0062140B" w:rsidRPr="00A808AC">
        <w:rPr>
          <w:rFonts w:eastAsia="Times New Roman"/>
        </w:rPr>
        <w:noBreakHyphen/>
      </w:r>
      <w:r w:rsidRPr="00A808AC">
        <w:rPr>
          <w:rFonts w:eastAsia="Times New Roman"/>
        </w:rPr>
        <w:t>controlled and uncontrolled studies) in which the length of exposure to ivacaftor ranged from 16</w:t>
      </w:r>
      <w:r w:rsidR="0062140B" w:rsidRPr="00A808AC">
        <w:rPr>
          <w:rFonts w:eastAsia="Times New Roman"/>
        </w:rPr>
        <w:t> </w:t>
      </w:r>
      <w:r w:rsidRPr="00A808AC">
        <w:rPr>
          <w:rFonts w:eastAsia="Times New Roman"/>
        </w:rPr>
        <w:t>weeks to 144</w:t>
      </w:r>
      <w:r w:rsidR="0062140B" w:rsidRPr="00A808AC">
        <w:rPr>
          <w:rFonts w:eastAsia="Times New Roman"/>
        </w:rPr>
        <w:t> </w:t>
      </w:r>
      <w:r w:rsidRPr="00A808AC">
        <w:rPr>
          <w:rFonts w:eastAsia="Times New Roman"/>
        </w:rPr>
        <w:t xml:space="preserve">weeks. The </w:t>
      </w:r>
      <w:r w:rsidRPr="00A808AC">
        <w:rPr>
          <w:rFonts w:eastAsia="Times New Roman"/>
        </w:rPr>
        <w:t>frequency of adverse reactions is defined as</w:t>
      </w:r>
      <w:r w:rsidRPr="00A808AC">
        <w:rPr>
          <w:rFonts w:eastAsia="Times New Roman" w:hint="eastAsia"/>
        </w:rPr>
        <w:t xml:space="preserve"> follows: very common (≥</w:t>
      </w:r>
      <w:r w:rsidR="006D6288">
        <w:rPr>
          <w:rFonts w:eastAsia="Times New Roman"/>
        </w:rPr>
        <w:t> </w:t>
      </w:r>
      <w:r w:rsidRPr="00A808AC">
        <w:rPr>
          <w:rFonts w:eastAsia="Times New Roman" w:hint="eastAsia"/>
        </w:rPr>
        <w:t>1/10); common (≥</w:t>
      </w:r>
      <w:r w:rsidR="006D6288">
        <w:rPr>
          <w:rFonts w:eastAsia="Times New Roman"/>
        </w:rPr>
        <w:t> </w:t>
      </w:r>
      <w:r w:rsidRPr="00A808AC">
        <w:rPr>
          <w:rFonts w:eastAsia="Times New Roman" w:hint="eastAsia"/>
        </w:rPr>
        <w:t>1/100 to &lt;</w:t>
      </w:r>
      <w:r w:rsidR="006D6288">
        <w:rPr>
          <w:rFonts w:eastAsia="Times New Roman"/>
        </w:rPr>
        <w:t> </w:t>
      </w:r>
      <w:r w:rsidRPr="00A808AC">
        <w:rPr>
          <w:rFonts w:eastAsia="Times New Roman" w:hint="eastAsia"/>
        </w:rPr>
        <w:t>1/10); uncommon (≥</w:t>
      </w:r>
      <w:r w:rsidR="006D6288">
        <w:rPr>
          <w:rFonts w:eastAsia="Times New Roman"/>
        </w:rPr>
        <w:t> </w:t>
      </w:r>
      <w:r w:rsidRPr="00A808AC">
        <w:rPr>
          <w:rFonts w:eastAsia="Times New Roman" w:hint="eastAsia"/>
        </w:rPr>
        <w:t>1/1,000 to &lt;</w:t>
      </w:r>
      <w:r w:rsidR="006D6288">
        <w:rPr>
          <w:rFonts w:eastAsia="Times New Roman"/>
        </w:rPr>
        <w:t> </w:t>
      </w:r>
      <w:r w:rsidRPr="00A808AC">
        <w:rPr>
          <w:rFonts w:eastAsia="Times New Roman" w:hint="eastAsia"/>
        </w:rPr>
        <w:t>1/100); rare (≥</w:t>
      </w:r>
      <w:r w:rsidR="006D6288">
        <w:rPr>
          <w:rFonts w:eastAsia="Times New Roman"/>
        </w:rPr>
        <w:t> </w:t>
      </w:r>
      <w:r w:rsidRPr="00A808AC">
        <w:rPr>
          <w:rFonts w:eastAsia="Times New Roman" w:hint="eastAsia"/>
        </w:rPr>
        <w:t>1/10,000 to &lt;</w:t>
      </w:r>
      <w:r w:rsidR="006D6288">
        <w:rPr>
          <w:rFonts w:eastAsia="Times New Roman"/>
        </w:rPr>
        <w:t> </w:t>
      </w:r>
      <w:r w:rsidRPr="00A808AC">
        <w:rPr>
          <w:rFonts w:eastAsia="Times New Roman" w:hint="eastAsia"/>
        </w:rPr>
        <w:t>1/1,000); very rare (&lt;</w:t>
      </w:r>
      <w:r w:rsidR="006D6288">
        <w:rPr>
          <w:rFonts w:eastAsia="Times New Roman"/>
        </w:rPr>
        <w:t> </w:t>
      </w:r>
      <w:r w:rsidRPr="00A808AC">
        <w:rPr>
          <w:rFonts w:eastAsia="Times New Roman" w:hint="eastAsia"/>
        </w:rPr>
        <w:t>1/10,000)</w:t>
      </w:r>
      <w:r w:rsidR="00BB3560" w:rsidRPr="00BB3560">
        <w:rPr>
          <w:rFonts w:eastAsia="Times New Roman"/>
        </w:rPr>
        <w:t>; not known (cannot be estimated from the available data)</w:t>
      </w:r>
      <w:r w:rsidRPr="00A808AC">
        <w:rPr>
          <w:rFonts w:eastAsia="Times New Roman" w:hint="eastAsia"/>
        </w:rPr>
        <w:t xml:space="preserve">. </w:t>
      </w:r>
      <w:r w:rsidRPr="00A808AC">
        <w:rPr>
          <w:bCs/>
        </w:rPr>
        <w:t>Within each frequency grouping, adverse reactions are presented in order of decreasing seriousness.</w:t>
      </w:r>
    </w:p>
    <w:p w14:paraId="1E8F5551" w14:textId="77777777" w:rsidR="00096B0E" w:rsidRPr="00A808AC" w:rsidRDefault="00096B0E" w:rsidP="00096B0E">
      <w:pPr>
        <w:spacing w:line="240" w:lineRule="auto"/>
      </w:pPr>
    </w:p>
    <w:p w14:paraId="7BC8C948" w14:textId="02E25622" w:rsidR="009955AF" w:rsidRDefault="005A3D7D" w:rsidP="000A093B">
      <w:pPr>
        <w:keepNext/>
        <w:spacing w:after="120" w:line="240" w:lineRule="auto"/>
        <w:rPr>
          <w:b/>
          <w:bCs/>
          <w:lang w:val="en-US"/>
        </w:rPr>
      </w:pPr>
      <w:r w:rsidRPr="00A808AC">
        <w:rPr>
          <w:b/>
          <w:bCs/>
          <w:lang w:val="en-US"/>
        </w:rPr>
        <w:t>Table 2</w:t>
      </w:r>
      <w:r>
        <w:rPr>
          <w:b/>
          <w:bCs/>
          <w:lang w:val="en-US"/>
        </w:rPr>
        <w:t>:</w:t>
      </w:r>
      <w:r w:rsidRPr="00A808AC">
        <w:rPr>
          <w:b/>
          <w:bCs/>
          <w:lang w:val="en-US"/>
        </w:rPr>
        <w:t xml:space="preserve"> </w:t>
      </w:r>
      <w:r w:rsidRPr="00CC35F5">
        <w:rPr>
          <w:b/>
          <w:bCs/>
          <w:lang w:val="en-US"/>
        </w:rPr>
        <w:t xml:space="preserve">Adverse reactions </w:t>
      </w:r>
      <w:r w:rsidR="00FF04CB" w:rsidRPr="00CC35F5">
        <w:rPr>
          <w:b/>
          <w:bCs/>
          <w:lang w:val="en-US"/>
        </w:rPr>
        <w:t>in</w:t>
      </w:r>
      <w:r w:rsidR="00644FFA">
        <w:rPr>
          <w:b/>
          <w:bCs/>
          <w:lang w:val="en-US"/>
        </w:rPr>
        <w:t xml:space="preserve"> ivacaftor</w:t>
      </w:r>
      <w:r w:rsidR="009750B1">
        <w:rPr>
          <w:b/>
          <w:bCs/>
          <w:lang w:val="en-US"/>
        </w:rPr>
        <w:noBreakHyphen/>
      </w:r>
      <w:r w:rsidR="00644FFA">
        <w:rPr>
          <w:b/>
          <w:bCs/>
          <w:lang w:val="en-US"/>
        </w:rPr>
        <w:t xml:space="preserve">treated patients aged </w:t>
      </w:r>
      <w:r w:rsidR="00A5176E">
        <w:rPr>
          <w:b/>
          <w:bCs/>
          <w:lang w:val="en-US"/>
        </w:rPr>
        <w:t>4</w:t>
      </w:r>
      <w:r w:rsidR="003A58FF">
        <w:rPr>
          <w:b/>
          <w:bCs/>
          <w:lang w:val="en-US"/>
        </w:rPr>
        <w:t> </w:t>
      </w:r>
      <w:r w:rsidR="00966DCC">
        <w:rPr>
          <w:b/>
          <w:bCs/>
          <w:lang w:val="en-US"/>
        </w:rPr>
        <w:t>months and older</w:t>
      </w:r>
    </w:p>
    <w:tbl>
      <w:tblPr>
        <w:tblW w:w="4764" w:type="pct"/>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2"/>
        <w:gridCol w:w="2919"/>
        <w:gridCol w:w="2916"/>
      </w:tblGrid>
      <w:tr w:rsidR="00476058" w14:paraId="67E064AD" w14:textId="77777777" w:rsidTr="006878A4">
        <w:trPr>
          <w:cantSplit/>
          <w:trHeight w:val="251"/>
          <w:tblHeader/>
        </w:trPr>
        <w:tc>
          <w:tcPr>
            <w:tcW w:w="1626" w:type="pct"/>
          </w:tcPr>
          <w:p w14:paraId="60DECC96" w14:textId="77777777" w:rsidR="00AA5BEA" w:rsidRPr="00A808AC" w:rsidRDefault="005A3D7D" w:rsidP="00A0798C">
            <w:pPr>
              <w:keepNext/>
              <w:spacing w:line="240" w:lineRule="auto"/>
            </w:pPr>
            <w:r w:rsidRPr="00A808AC">
              <w:rPr>
                <w:b/>
                <w:bCs/>
              </w:rPr>
              <w:t>System organ class</w:t>
            </w:r>
          </w:p>
        </w:tc>
        <w:tc>
          <w:tcPr>
            <w:tcW w:w="1688" w:type="pct"/>
          </w:tcPr>
          <w:p w14:paraId="5E5B7307" w14:textId="77777777" w:rsidR="00AA5BEA" w:rsidRPr="00A808AC" w:rsidRDefault="005A3D7D" w:rsidP="0069106A">
            <w:pPr>
              <w:keepNext/>
              <w:spacing w:line="240" w:lineRule="auto"/>
              <w:jc w:val="center"/>
              <w:rPr>
                <w:b/>
                <w:bCs/>
                <w:lang w:val="en-US"/>
              </w:rPr>
            </w:pPr>
            <w:r w:rsidRPr="00A808AC">
              <w:rPr>
                <w:b/>
                <w:bCs/>
                <w:lang w:val="en-US"/>
              </w:rPr>
              <w:t>Adverse reactions</w:t>
            </w:r>
          </w:p>
        </w:tc>
        <w:tc>
          <w:tcPr>
            <w:tcW w:w="1686" w:type="pct"/>
          </w:tcPr>
          <w:p w14:paraId="7558B9E4" w14:textId="77777777" w:rsidR="00AA5BEA" w:rsidRPr="00A808AC" w:rsidRDefault="005A3D7D">
            <w:pPr>
              <w:keepNext/>
              <w:spacing w:line="240" w:lineRule="auto"/>
              <w:rPr>
                <w:b/>
                <w:bCs/>
                <w:lang w:val="nl-BE"/>
              </w:rPr>
            </w:pPr>
            <w:r w:rsidRPr="00A808AC">
              <w:rPr>
                <w:b/>
                <w:bCs/>
                <w:lang w:val="nl-BE"/>
              </w:rPr>
              <w:t xml:space="preserve">Frequency </w:t>
            </w:r>
          </w:p>
        </w:tc>
      </w:tr>
      <w:tr w:rsidR="00476058" w14:paraId="18666650" w14:textId="77777777" w:rsidTr="006878A4">
        <w:trPr>
          <w:cantSplit/>
          <w:trHeight w:val="128"/>
        </w:trPr>
        <w:tc>
          <w:tcPr>
            <w:tcW w:w="1626" w:type="pct"/>
            <w:vMerge w:val="restart"/>
          </w:tcPr>
          <w:p w14:paraId="26831CA3" w14:textId="77777777" w:rsidR="00AA5BEA" w:rsidRPr="00A808AC" w:rsidRDefault="005A3D7D" w:rsidP="006878A4">
            <w:pPr>
              <w:spacing w:line="240" w:lineRule="auto"/>
            </w:pPr>
            <w:r w:rsidRPr="00A808AC">
              <w:t>Infections and infestatio</w:t>
            </w:r>
            <w:r w:rsidRPr="00A808AC">
              <w:t>ns</w:t>
            </w:r>
          </w:p>
        </w:tc>
        <w:tc>
          <w:tcPr>
            <w:tcW w:w="1688" w:type="pct"/>
          </w:tcPr>
          <w:p w14:paraId="0EEE6040" w14:textId="77777777" w:rsidR="00AA5BEA" w:rsidRPr="00A808AC" w:rsidRDefault="005A3D7D" w:rsidP="006878A4">
            <w:pPr>
              <w:spacing w:line="240" w:lineRule="auto"/>
            </w:pPr>
            <w:r w:rsidRPr="00A808AC">
              <w:t>Upper respiratory tract infection</w:t>
            </w:r>
          </w:p>
        </w:tc>
        <w:tc>
          <w:tcPr>
            <w:tcW w:w="1686" w:type="pct"/>
          </w:tcPr>
          <w:p w14:paraId="69EF3237" w14:textId="77777777" w:rsidR="00AA5BEA" w:rsidRPr="00A808AC" w:rsidRDefault="005A3D7D" w:rsidP="006878A4">
            <w:pPr>
              <w:spacing w:line="240" w:lineRule="auto"/>
            </w:pPr>
            <w:r w:rsidRPr="00A808AC">
              <w:t>very common</w:t>
            </w:r>
          </w:p>
        </w:tc>
      </w:tr>
      <w:tr w:rsidR="00476058" w14:paraId="1F853DEC" w14:textId="77777777" w:rsidTr="006878A4">
        <w:trPr>
          <w:cantSplit/>
          <w:trHeight w:val="128"/>
        </w:trPr>
        <w:tc>
          <w:tcPr>
            <w:tcW w:w="1626" w:type="pct"/>
            <w:vMerge/>
          </w:tcPr>
          <w:p w14:paraId="2B6FC7FB" w14:textId="77777777" w:rsidR="00AA5BEA" w:rsidRPr="00A808AC" w:rsidRDefault="00AA5BEA" w:rsidP="006878A4">
            <w:pPr>
              <w:spacing w:line="240" w:lineRule="auto"/>
            </w:pPr>
          </w:p>
        </w:tc>
        <w:tc>
          <w:tcPr>
            <w:tcW w:w="1688" w:type="pct"/>
          </w:tcPr>
          <w:p w14:paraId="7A57B582" w14:textId="77777777" w:rsidR="00AA5BEA" w:rsidRPr="00A808AC" w:rsidRDefault="005A3D7D" w:rsidP="006878A4">
            <w:pPr>
              <w:spacing w:line="240" w:lineRule="auto"/>
            </w:pPr>
            <w:r w:rsidRPr="00A808AC">
              <w:t>Nasopharyngitis</w:t>
            </w:r>
          </w:p>
        </w:tc>
        <w:tc>
          <w:tcPr>
            <w:tcW w:w="1686" w:type="pct"/>
          </w:tcPr>
          <w:p w14:paraId="11DB2774" w14:textId="77777777" w:rsidR="00AA5BEA" w:rsidRPr="00A808AC" w:rsidRDefault="005A3D7D" w:rsidP="006878A4">
            <w:pPr>
              <w:spacing w:line="240" w:lineRule="auto"/>
            </w:pPr>
            <w:r w:rsidRPr="00A808AC">
              <w:t>very common</w:t>
            </w:r>
          </w:p>
        </w:tc>
      </w:tr>
      <w:tr w:rsidR="00476058" w14:paraId="3D3F5868" w14:textId="77777777" w:rsidTr="006878A4">
        <w:trPr>
          <w:cantSplit/>
          <w:trHeight w:val="127"/>
        </w:trPr>
        <w:tc>
          <w:tcPr>
            <w:tcW w:w="1626" w:type="pct"/>
            <w:vMerge/>
          </w:tcPr>
          <w:p w14:paraId="55A543BA" w14:textId="77777777" w:rsidR="00AA5BEA" w:rsidRPr="00A808AC" w:rsidRDefault="00AA5BEA" w:rsidP="006878A4">
            <w:pPr>
              <w:spacing w:line="240" w:lineRule="auto"/>
            </w:pPr>
          </w:p>
        </w:tc>
        <w:tc>
          <w:tcPr>
            <w:tcW w:w="1688" w:type="pct"/>
          </w:tcPr>
          <w:p w14:paraId="40240ADD" w14:textId="77777777" w:rsidR="00AA5BEA" w:rsidRPr="00A808AC" w:rsidRDefault="005A3D7D" w:rsidP="006878A4">
            <w:pPr>
              <w:spacing w:line="240" w:lineRule="auto"/>
            </w:pPr>
            <w:r w:rsidRPr="00A808AC">
              <w:t xml:space="preserve">Rhinitis </w:t>
            </w:r>
          </w:p>
        </w:tc>
        <w:tc>
          <w:tcPr>
            <w:tcW w:w="1686" w:type="pct"/>
          </w:tcPr>
          <w:p w14:paraId="41C1A763" w14:textId="77777777" w:rsidR="00AA5BEA" w:rsidRPr="00A808AC" w:rsidRDefault="005A3D7D" w:rsidP="006878A4">
            <w:pPr>
              <w:spacing w:line="240" w:lineRule="auto"/>
            </w:pPr>
            <w:r w:rsidRPr="00A808AC">
              <w:t>common</w:t>
            </w:r>
          </w:p>
        </w:tc>
      </w:tr>
      <w:tr w:rsidR="00476058" w14:paraId="5B3B6711" w14:textId="77777777" w:rsidTr="006878A4">
        <w:trPr>
          <w:cantSplit/>
        </w:trPr>
        <w:tc>
          <w:tcPr>
            <w:tcW w:w="1626" w:type="pct"/>
            <w:vMerge w:val="restart"/>
          </w:tcPr>
          <w:p w14:paraId="422F66A5" w14:textId="77777777" w:rsidR="00AA5BEA" w:rsidRPr="00A808AC" w:rsidRDefault="005A3D7D" w:rsidP="006878A4">
            <w:pPr>
              <w:spacing w:line="240" w:lineRule="auto"/>
            </w:pPr>
            <w:r w:rsidRPr="00A808AC">
              <w:t>Nervous system disorders</w:t>
            </w:r>
          </w:p>
        </w:tc>
        <w:tc>
          <w:tcPr>
            <w:tcW w:w="1688" w:type="pct"/>
          </w:tcPr>
          <w:p w14:paraId="2F81B21E" w14:textId="77777777" w:rsidR="00AA5BEA" w:rsidRPr="00A808AC" w:rsidRDefault="005A3D7D" w:rsidP="006878A4">
            <w:pPr>
              <w:spacing w:line="240" w:lineRule="auto"/>
            </w:pPr>
            <w:r w:rsidRPr="00A808AC">
              <w:t>Headache</w:t>
            </w:r>
          </w:p>
        </w:tc>
        <w:tc>
          <w:tcPr>
            <w:tcW w:w="1686" w:type="pct"/>
          </w:tcPr>
          <w:p w14:paraId="1D9AEB23" w14:textId="77777777" w:rsidR="00AA5BEA" w:rsidRPr="00A808AC" w:rsidRDefault="005A3D7D" w:rsidP="006878A4">
            <w:pPr>
              <w:spacing w:line="240" w:lineRule="auto"/>
            </w:pPr>
            <w:r w:rsidRPr="00A808AC">
              <w:t>very common</w:t>
            </w:r>
          </w:p>
        </w:tc>
      </w:tr>
      <w:tr w:rsidR="00476058" w14:paraId="5F81F672" w14:textId="77777777" w:rsidTr="006878A4">
        <w:trPr>
          <w:cantSplit/>
        </w:trPr>
        <w:tc>
          <w:tcPr>
            <w:tcW w:w="1626" w:type="pct"/>
            <w:vMerge/>
          </w:tcPr>
          <w:p w14:paraId="10EDF0B6" w14:textId="77777777" w:rsidR="00AA5BEA" w:rsidRPr="00A808AC" w:rsidRDefault="00AA5BEA" w:rsidP="006878A4">
            <w:pPr>
              <w:spacing w:line="240" w:lineRule="auto"/>
            </w:pPr>
          </w:p>
        </w:tc>
        <w:tc>
          <w:tcPr>
            <w:tcW w:w="1688" w:type="pct"/>
          </w:tcPr>
          <w:p w14:paraId="1338416C" w14:textId="77777777" w:rsidR="00AA5BEA" w:rsidRPr="00A808AC" w:rsidRDefault="005A3D7D" w:rsidP="006878A4">
            <w:pPr>
              <w:spacing w:line="240" w:lineRule="auto"/>
            </w:pPr>
            <w:r w:rsidRPr="00A808AC">
              <w:t>Dizziness</w:t>
            </w:r>
          </w:p>
        </w:tc>
        <w:tc>
          <w:tcPr>
            <w:tcW w:w="1686" w:type="pct"/>
          </w:tcPr>
          <w:p w14:paraId="703294C3" w14:textId="77777777" w:rsidR="00AA5BEA" w:rsidRPr="00A808AC" w:rsidRDefault="005A3D7D" w:rsidP="006878A4">
            <w:pPr>
              <w:spacing w:line="240" w:lineRule="auto"/>
            </w:pPr>
            <w:r w:rsidRPr="00A808AC">
              <w:t>very common</w:t>
            </w:r>
          </w:p>
        </w:tc>
      </w:tr>
      <w:tr w:rsidR="00476058" w14:paraId="51259969" w14:textId="77777777" w:rsidTr="006878A4">
        <w:trPr>
          <w:cantSplit/>
          <w:trHeight w:val="263"/>
        </w:trPr>
        <w:tc>
          <w:tcPr>
            <w:tcW w:w="1626" w:type="pct"/>
            <w:vMerge w:val="restart"/>
          </w:tcPr>
          <w:p w14:paraId="17D86C20" w14:textId="77777777" w:rsidR="00AA5BEA" w:rsidRPr="00A808AC" w:rsidRDefault="005A3D7D" w:rsidP="006878A4">
            <w:pPr>
              <w:spacing w:line="240" w:lineRule="auto"/>
            </w:pPr>
            <w:r w:rsidRPr="00A808AC">
              <w:t>Ear and labyrinth disorders</w:t>
            </w:r>
          </w:p>
        </w:tc>
        <w:tc>
          <w:tcPr>
            <w:tcW w:w="1688" w:type="pct"/>
          </w:tcPr>
          <w:p w14:paraId="64B8D300" w14:textId="77777777" w:rsidR="00AA5BEA" w:rsidRPr="00A808AC" w:rsidRDefault="005A3D7D" w:rsidP="006878A4">
            <w:pPr>
              <w:spacing w:line="240" w:lineRule="auto"/>
            </w:pPr>
            <w:r w:rsidRPr="00A808AC">
              <w:t>Ear pain</w:t>
            </w:r>
          </w:p>
        </w:tc>
        <w:tc>
          <w:tcPr>
            <w:tcW w:w="1686" w:type="pct"/>
          </w:tcPr>
          <w:p w14:paraId="21839CDD" w14:textId="77777777" w:rsidR="00AA5BEA" w:rsidRPr="00A808AC" w:rsidRDefault="005A3D7D" w:rsidP="006878A4">
            <w:pPr>
              <w:spacing w:line="240" w:lineRule="auto"/>
            </w:pPr>
            <w:r w:rsidRPr="00A808AC">
              <w:t>common</w:t>
            </w:r>
          </w:p>
        </w:tc>
      </w:tr>
      <w:tr w:rsidR="00476058" w14:paraId="653FDF0E" w14:textId="77777777" w:rsidTr="006878A4">
        <w:trPr>
          <w:cantSplit/>
          <w:trHeight w:val="263"/>
        </w:trPr>
        <w:tc>
          <w:tcPr>
            <w:tcW w:w="1626" w:type="pct"/>
            <w:vMerge/>
          </w:tcPr>
          <w:p w14:paraId="2A7B23CB" w14:textId="77777777" w:rsidR="00AA5BEA" w:rsidRPr="00A808AC" w:rsidRDefault="00AA5BEA" w:rsidP="006878A4">
            <w:pPr>
              <w:spacing w:line="240" w:lineRule="auto"/>
            </w:pPr>
          </w:p>
        </w:tc>
        <w:tc>
          <w:tcPr>
            <w:tcW w:w="1688" w:type="pct"/>
          </w:tcPr>
          <w:p w14:paraId="5118E3A2" w14:textId="77777777" w:rsidR="00AA5BEA" w:rsidRPr="00A808AC" w:rsidRDefault="005A3D7D" w:rsidP="006878A4">
            <w:pPr>
              <w:spacing w:line="240" w:lineRule="auto"/>
            </w:pPr>
            <w:r w:rsidRPr="00A808AC">
              <w:t>Ear discomfort</w:t>
            </w:r>
          </w:p>
        </w:tc>
        <w:tc>
          <w:tcPr>
            <w:tcW w:w="1686" w:type="pct"/>
          </w:tcPr>
          <w:p w14:paraId="42E1A33B" w14:textId="77777777" w:rsidR="00AA5BEA" w:rsidRPr="00A808AC" w:rsidRDefault="005A3D7D" w:rsidP="006878A4">
            <w:pPr>
              <w:spacing w:line="240" w:lineRule="auto"/>
            </w:pPr>
            <w:r w:rsidRPr="00A808AC">
              <w:t>common</w:t>
            </w:r>
          </w:p>
        </w:tc>
      </w:tr>
      <w:tr w:rsidR="00476058" w14:paraId="0C6D9F77" w14:textId="77777777" w:rsidTr="006878A4">
        <w:trPr>
          <w:cantSplit/>
          <w:trHeight w:val="263"/>
        </w:trPr>
        <w:tc>
          <w:tcPr>
            <w:tcW w:w="1626" w:type="pct"/>
            <w:vMerge/>
          </w:tcPr>
          <w:p w14:paraId="5E5D0702" w14:textId="77777777" w:rsidR="00AA5BEA" w:rsidRPr="00A808AC" w:rsidRDefault="00AA5BEA" w:rsidP="006878A4">
            <w:pPr>
              <w:spacing w:line="240" w:lineRule="auto"/>
            </w:pPr>
          </w:p>
        </w:tc>
        <w:tc>
          <w:tcPr>
            <w:tcW w:w="1688" w:type="pct"/>
          </w:tcPr>
          <w:p w14:paraId="31E2B949" w14:textId="77777777" w:rsidR="00AA5BEA" w:rsidRPr="00A808AC" w:rsidRDefault="005A3D7D" w:rsidP="006878A4">
            <w:pPr>
              <w:spacing w:line="240" w:lineRule="auto"/>
            </w:pPr>
            <w:r w:rsidRPr="00A808AC">
              <w:t>Tinnitus</w:t>
            </w:r>
          </w:p>
        </w:tc>
        <w:tc>
          <w:tcPr>
            <w:tcW w:w="1686" w:type="pct"/>
          </w:tcPr>
          <w:p w14:paraId="61EAEC06" w14:textId="77777777" w:rsidR="00AA5BEA" w:rsidRPr="00A808AC" w:rsidRDefault="005A3D7D" w:rsidP="006878A4">
            <w:pPr>
              <w:spacing w:line="240" w:lineRule="auto"/>
            </w:pPr>
            <w:r w:rsidRPr="00A808AC">
              <w:t>common</w:t>
            </w:r>
          </w:p>
        </w:tc>
      </w:tr>
      <w:tr w:rsidR="00476058" w14:paraId="0CEA7F51" w14:textId="77777777" w:rsidTr="006878A4">
        <w:trPr>
          <w:cantSplit/>
          <w:trHeight w:val="263"/>
        </w:trPr>
        <w:tc>
          <w:tcPr>
            <w:tcW w:w="1626" w:type="pct"/>
            <w:vMerge/>
          </w:tcPr>
          <w:p w14:paraId="648B4051" w14:textId="77777777" w:rsidR="00AA5BEA" w:rsidRPr="00A808AC" w:rsidRDefault="00AA5BEA" w:rsidP="006878A4">
            <w:pPr>
              <w:spacing w:line="240" w:lineRule="auto"/>
            </w:pPr>
          </w:p>
        </w:tc>
        <w:tc>
          <w:tcPr>
            <w:tcW w:w="1688" w:type="pct"/>
          </w:tcPr>
          <w:p w14:paraId="4D2F4415" w14:textId="77777777" w:rsidR="00AA5BEA" w:rsidRPr="00A808AC" w:rsidRDefault="005A3D7D" w:rsidP="006878A4">
            <w:pPr>
              <w:spacing w:line="240" w:lineRule="auto"/>
            </w:pPr>
            <w:r w:rsidRPr="00A808AC">
              <w:t>Tympanic membrane hyperaemia</w:t>
            </w:r>
          </w:p>
        </w:tc>
        <w:tc>
          <w:tcPr>
            <w:tcW w:w="1686" w:type="pct"/>
          </w:tcPr>
          <w:p w14:paraId="2953BF9C" w14:textId="77777777" w:rsidR="00AA5BEA" w:rsidRPr="00A808AC" w:rsidRDefault="005A3D7D" w:rsidP="006878A4">
            <w:pPr>
              <w:spacing w:line="240" w:lineRule="auto"/>
            </w:pPr>
            <w:r w:rsidRPr="00A808AC">
              <w:t>common</w:t>
            </w:r>
          </w:p>
        </w:tc>
      </w:tr>
      <w:tr w:rsidR="00476058" w14:paraId="5BEB91F1" w14:textId="77777777" w:rsidTr="006878A4">
        <w:trPr>
          <w:cantSplit/>
          <w:trHeight w:val="263"/>
        </w:trPr>
        <w:tc>
          <w:tcPr>
            <w:tcW w:w="1626" w:type="pct"/>
            <w:vMerge/>
          </w:tcPr>
          <w:p w14:paraId="1B231062" w14:textId="77777777" w:rsidR="00AA5BEA" w:rsidRPr="00A808AC" w:rsidRDefault="00AA5BEA" w:rsidP="006878A4">
            <w:pPr>
              <w:spacing w:line="240" w:lineRule="auto"/>
            </w:pPr>
          </w:p>
        </w:tc>
        <w:tc>
          <w:tcPr>
            <w:tcW w:w="1688" w:type="pct"/>
          </w:tcPr>
          <w:p w14:paraId="2B383DCB" w14:textId="77777777" w:rsidR="00AA5BEA" w:rsidRPr="00A808AC" w:rsidRDefault="005A3D7D" w:rsidP="006878A4">
            <w:pPr>
              <w:spacing w:line="240" w:lineRule="auto"/>
            </w:pPr>
            <w:r w:rsidRPr="00A808AC">
              <w:t>Vestibular disorder</w:t>
            </w:r>
          </w:p>
        </w:tc>
        <w:tc>
          <w:tcPr>
            <w:tcW w:w="1686" w:type="pct"/>
          </w:tcPr>
          <w:p w14:paraId="27A76572" w14:textId="77777777" w:rsidR="00AA5BEA" w:rsidRPr="00A808AC" w:rsidRDefault="005A3D7D" w:rsidP="006878A4">
            <w:pPr>
              <w:spacing w:line="240" w:lineRule="auto"/>
            </w:pPr>
            <w:r w:rsidRPr="00A808AC">
              <w:t>common</w:t>
            </w:r>
          </w:p>
        </w:tc>
      </w:tr>
      <w:tr w:rsidR="00476058" w14:paraId="47D15B07" w14:textId="77777777" w:rsidTr="006878A4">
        <w:trPr>
          <w:cantSplit/>
          <w:trHeight w:val="263"/>
        </w:trPr>
        <w:tc>
          <w:tcPr>
            <w:tcW w:w="1626" w:type="pct"/>
            <w:vMerge/>
          </w:tcPr>
          <w:p w14:paraId="774AA7FC" w14:textId="77777777" w:rsidR="00AA5BEA" w:rsidRPr="00A808AC" w:rsidRDefault="00AA5BEA" w:rsidP="006878A4">
            <w:pPr>
              <w:spacing w:line="240" w:lineRule="auto"/>
            </w:pPr>
          </w:p>
        </w:tc>
        <w:tc>
          <w:tcPr>
            <w:tcW w:w="1688" w:type="pct"/>
          </w:tcPr>
          <w:p w14:paraId="061B5BCC" w14:textId="77777777" w:rsidR="00AA5BEA" w:rsidRPr="00A808AC" w:rsidRDefault="005A3D7D" w:rsidP="006878A4">
            <w:pPr>
              <w:spacing w:line="240" w:lineRule="auto"/>
            </w:pPr>
            <w:r w:rsidRPr="00A808AC">
              <w:t>Ear congestion</w:t>
            </w:r>
          </w:p>
        </w:tc>
        <w:tc>
          <w:tcPr>
            <w:tcW w:w="1686" w:type="pct"/>
          </w:tcPr>
          <w:p w14:paraId="629D4E4A" w14:textId="77777777" w:rsidR="00AA5BEA" w:rsidRPr="00A808AC" w:rsidRDefault="005A3D7D" w:rsidP="006878A4">
            <w:pPr>
              <w:spacing w:line="240" w:lineRule="auto"/>
            </w:pPr>
            <w:r w:rsidRPr="00A808AC">
              <w:t>uncommon</w:t>
            </w:r>
          </w:p>
        </w:tc>
      </w:tr>
      <w:tr w:rsidR="00476058" w14:paraId="058777BC" w14:textId="77777777" w:rsidTr="006878A4">
        <w:trPr>
          <w:cantSplit/>
          <w:trHeight w:val="263"/>
        </w:trPr>
        <w:tc>
          <w:tcPr>
            <w:tcW w:w="1626" w:type="pct"/>
            <w:vMerge w:val="restart"/>
          </w:tcPr>
          <w:p w14:paraId="459DF5D5" w14:textId="77777777" w:rsidR="00AA5BEA" w:rsidRPr="00A808AC" w:rsidRDefault="005A3D7D" w:rsidP="006878A4">
            <w:pPr>
              <w:keepNext/>
              <w:spacing w:line="240" w:lineRule="auto"/>
            </w:pPr>
            <w:r w:rsidRPr="00A808AC">
              <w:t>Respiratory, thoracic and mediastinal disorders</w:t>
            </w:r>
          </w:p>
        </w:tc>
        <w:tc>
          <w:tcPr>
            <w:tcW w:w="1688" w:type="pct"/>
          </w:tcPr>
          <w:p w14:paraId="57ECC17F" w14:textId="77777777" w:rsidR="00AA5BEA" w:rsidRPr="00A808AC" w:rsidRDefault="005A3D7D" w:rsidP="006878A4">
            <w:pPr>
              <w:keepNext/>
              <w:spacing w:line="240" w:lineRule="auto"/>
            </w:pPr>
            <w:r w:rsidRPr="00A808AC">
              <w:t>Oropharyngeal pain</w:t>
            </w:r>
          </w:p>
        </w:tc>
        <w:tc>
          <w:tcPr>
            <w:tcW w:w="1686" w:type="pct"/>
          </w:tcPr>
          <w:p w14:paraId="30C80C2A" w14:textId="77777777" w:rsidR="00AA5BEA" w:rsidRPr="00A808AC" w:rsidRDefault="005A3D7D" w:rsidP="006878A4">
            <w:pPr>
              <w:keepNext/>
              <w:spacing w:line="240" w:lineRule="auto"/>
            </w:pPr>
            <w:r w:rsidRPr="00A808AC">
              <w:t>very common</w:t>
            </w:r>
          </w:p>
        </w:tc>
      </w:tr>
      <w:tr w:rsidR="00476058" w14:paraId="73FC99FB" w14:textId="77777777" w:rsidTr="006878A4">
        <w:trPr>
          <w:cantSplit/>
          <w:trHeight w:val="128"/>
        </w:trPr>
        <w:tc>
          <w:tcPr>
            <w:tcW w:w="1626" w:type="pct"/>
            <w:vMerge/>
          </w:tcPr>
          <w:p w14:paraId="39091DEC" w14:textId="77777777" w:rsidR="00AA5BEA" w:rsidRPr="00A808AC" w:rsidRDefault="00AA5BEA" w:rsidP="006878A4">
            <w:pPr>
              <w:keepNext/>
              <w:spacing w:line="240" w:lineRule="auto"/>
            </w:pPr>
          </w:p>
        </w:tc>
        <w:tc>
          <w:tcPr>
            <w:tcW w:w="1688" w:type="pct"/>
          </w:tcPr>
          <w:p w14:paraId="2DCDAA2C" w14:textId="77777777" w:rsidR="00AA5BEA" w:rsidRPr="00A808AC" w:rsidRDefault="005A3D7D" w:rsidP="006878A4">
            <w:pPr>
              <w:keepNext/>
              <w:spacing w:line="240" w:lineRule="auto"/>
            </w:pPr>
            <w:r w:rsidRPr="00A808AC">
              <w:t>Nasal congestion</w:t>
            </w:r>
          </w:p>
        </w:tc>
        <w:tc>
          <w:tcPr>
            <w:tcW w:w="1686" w:type="pct"/>
          </w:tcPr>
          <w:p w14:paraId="46061FBE" w14:textId="77777777" w:rsidR="00AA5BEA" w:rsidRPr="00A808AC" w:rsidRDefault="005A3D7D" w:rsidP="006878A4">
            <w:pPr>
              <w:keepNext/>
              <w:spacing w:line="240" w:lineRule="auto"/>
            </w:pPr>
            <w:r w:rsidRPr="00A808AC">
              <w:t>very common</w:t>
            </w:r>
          </w:p>
        </w:tc>
      </w:tr>
      <w:tr w:rsidR="00476058" w14:paraId="2ECB424F" w14:textId="77777777" w:rsidTr="006878A4">
        <w:trPr>
          <w:cantSplit/>
          <w:trHeight w:val="128"/>
        </w:trPr>
        <w:tc>
          <w:tcPr>
            <w:tcW w:w="1626" w:type="pct"/>
            <w:vMerge/>
          </w:tcPr>
          <w:p w14:paraId="3CAC29D8" w14:textId="77777777" w:rsidR="00AA5BEA" w:rsidRPr="00A808AC" w:rsidRDefault="00AA5BEA" w:rsidP="006878A4">
            <w:pPr>
              <w:keepNext/>
              <w:spacing w:line="240" w:lineRule="auto"/>
            </w:pPr>
          </w:p>
        </w:tc>
        <w:tc>
          <w:tcPr>
            <w:tcW w:w="1688" w:type="pct"/>
          </w:tcPr>
          <w:p w14:paraId="33CE2075" w14:textId="77777777" w:rsidR="00AA5BEA" w:rsidRPr="00A808AC" w:rsidRDefault="005A3D7D" w:rsidP="006878A4">
            <w:pPr>
              <w:keepNext/>
              <w:spacing w:line="240" w:lineRule="auto"/>
            </w:pPr>
            <w:r w:rsidRPr="00A808AC">
              <w:t xml:space="preserve">Sinus congestion </w:t>
            </w:r>
          </w:p>
        </w:tc>
        <w:tc>
          <w:tcPr>
            <w:tcW w:w="1686" w:type="pct"/>
          </w:tcPr>
          <w:p w14:paraId="05BFEBF1" w14:textId="77777777" w:rsidR="00AA5BEA" w:rsidRPr="00A808AC" w:rsidRDefault="005A3D7D" w:rsidP="006878A4">
            <w:pPr>
              <w:keepNext/>
              <w:spacing w:line="240" w:lineRule="auto"/>
            </w:pPr>
            <w:r w:rsidRPr="00A808AC">
              <w:t>common</w:t>
            </w:r>
          </w:p>
        </w:tc>
      </w:tr>
      <w:tr w:rsidR="00476058" w14:paraId="12369B73" w14:textId="77777777" w:rsidTr="006878A4">
        <w:trPr>
          <w:cantSplit/>
          <w:trHeight w:val="332"/>
        </w:trPr>
        <w:tc>
          <w:tcPr>
            <w:tcW w:w="1626" w:type="pct"/>
            <w:vMerge/>
          </w:tcPr>
          <w:p w14:paraId="46BBAEA9" w14:textId="77777777" w:rsidR="00AA5BEA" w:rsidRPr="00A808AC" w:rsidRDefault="00AA5BEA" w:rsidP="006878A4">
            <w:pPr>
              <w:spacing w:line="240" w:lineRule="auto"/>
            </w:pPr>
          </w:p>
        </w:tc>
        <w:tc>
          <w:tcPr>
            <w:tcW w:w="1688" w:type="pct"/>
          </w:tcPr>
          <w:p w14:paraId="29285AB2" w14:textId="77777777" w:rsidR="00AA5BEA" w:rsidRPr="00A808AC" w:rsidRDefault="005A3D7D" w:rsidP="006878A4">
            <w:pPr>
              <w:spacing w:line="240" w:lineRule="auto"/>
            </w:pPr>
            <w:r w:rsidRPr="00A808AC">
              <w:t>Pharyngeal erythema</w:t>
            </w:r>
          </w:p>
        </w:tc>
        <w:tc>
          <w:tcPr>
            <w:tcW w:w="1686" w:type="pct"/>
          </w:tcPr>
          <w:p w14:paraId="0C2C1537" w14:textId="77777777" w:rsidR="00AA5BEA" w:rsidRPr="00A808AC" w:rsidRDefault="005A3D7D" w:rsidP="006878A4">
            <w:pPr>
              <w:spacing w:line="240" w:lineRule="auto"/>
            </w:pPr>
            <w:r w:rsidRPr="00A808AC">
              <w:t>common</w:t>
            </w:r>
          </w:p>
        </w:tc>
      </w:tr>
      <w:tr w:rsidR="00476058" w14:paraId="1053E780" w14:textId="77777777" w:rsidTr="006878A4">
        <w:trPr>
          <w:cantSplit/>
          <w:trHeight w:val="375"/>
        </w:trPr>
        <w:tc>
          <w:tcPr>
            <w:tcW w:w="1626" w:type="pct"/>
            <w:vMerge w:val="restart"/>
          </w:tcPr>
          <w:p w14:paraId="53F654A8" w14:textId="77777777" w:rsidR="00AA5BEA" w:rsidRPr="00A808AC" w:rsidRDefault="005A3D7D" w:rsidP="006878A4">
            <w:pPr>
              <w:spacing w:line="240" w:lineRule="auto"/>
            </w:pPr>
            <w:r w:rsidRPr="00A808AC">
              <w:t>Gastrointestinal disorders</w:t>
            </w:r>
          </w:p>
        </w:tc>
        <w:tc>
          <w:tcPr>
            <w:tcW w:w="1688" w:type="pct"/>
          </w:tcPr>
          <w:p w14:paraId="2C1A8E9E" w14:textId="77777777" w:rsidR="00AA5BEA" w:rsidRPr="00A808AC" w:rsidRDefault="005A3D7D" w:rsidP="006878A4">
            <w:pPr>
              <w:spacing w:line="240" w:lineRule="auto"/>
            </w:pPr>
            <w:r w:rsidRPr="00A808AC">
              <w:t>Abdominal pain</w:t>
            </w:r>
          </w:p>
        </w:tc>
        <w:tc>
          <w:tcPr>
            <w:tcW w:w="1686" w:type="pct"/>
          </w:tcPr>
          <w:p w14:paraId="11DE1838" w14:textId="77777777" w:rsidR="00AA5BEA" w:rsidRPr="00A808AC" w:rsidRDefault="005A3D7D" w:rsidP="006878A4">
            <w:pPr>
              <w:spacing w:line="240" w:lineRule="auto"/>
            </w:pPr>
            <w:r w:rsidRPr="00A808AC">
              <w:t>very common</w:t>
            </w:r>
          </w:p>
        </w:tc>
      </w:tr>
      <w:tr w:rsidR="00476058" w14:paraId="6F2B2F9D" w14:textId="77777777" w:rsidTr="006878A4">
        <w:trPr>
          <w:cantSplit/>
          <w:trHeight w:val="375"/>
        </w:trPr>
        <w:tc>
          <w:tcPr>
            <w:tcW w:w="1626" w:type="pct"/>
            <w:vMerge/>
          </w:tcPr>
          <w:p w14:paraId="7DE4D417" w14:textId="77777777" w:rsidR="00AA5BEA" w:rsidRPr="00A808AC" w:rsidRDefault="00AA5BEA" w:rsidP="006878A4">
            <w:pPr>
              <w:spacing w:line="240" w:lineRule="auto"/>
            </w:pPr>
          </w:p>
        </w:tc>
        <w:tc>
          <w:tcPr>
            <w:tcW w:w="1688" w:type="pct"/>
          </w:tcPr>
          <w:p w14:paraId="4EA97835" w14:textId="77777777" w:rsidR="00AA5BEA" w:rsidRPr="00A808AC" w:rsidRDefault="005A3D7D" w:rsidP="006878A4">
            <w:pPr>
              <w:spacing w:line="240" w:lineRule="auto"/>
            </w:pPr>
            <w:r w:rsidRPr="00A808AC">
              <w:t>Diarrhoea</w:t>
            </w:r>
          </w:p>
        </w:tc>
        <w:tc>
          <w:tcPr>
            <w:tcW w:w="1686" w:type="pct"/>
          </w:tcPr>
          <w:p w14:paraId="56755ADA" w14:textId="77777777" w:rsidR="00AA5BEA" w:rsidRPr="00A808AC" w:rsidRDefault="005A3D7D" w:rsidP="006878A4">
            <w:pPr>
              <w:spacing w:line="240" w:lineRule="auto"/>
            </w:pPr>
            <w:r w:rsidRPr="00A808AC">
              <w:t>very common</w:t>
            </w:r>
          </w:p>
        </w:tc>
      </w:tr>
      <w:tr w:rsidR="00476058" w14:paraId="6173FC67" w14:textId="77777777" w:rsidTr="006878A4">
        <w:trPr>
          <w:cantSplit/>
          <w:trHeight w:val="375"/>
        </w:trPr>
        <w:tc>
          <w:tcPr>
            <w:tcW w:w="1626" w:type="pct"/>
          </w:tcPr>
          <w:p w14:paraId="66CE92BE" w14:textId="77777777" w:rsidR="00AA5BEA" w:rsidRPr="00A808AC" w:rsidRDefault="005A3D7D" w:rsidP="006878A4">
            <w:pPr>
              <w:spacing w:line="240" w:lineRule="auto"/>
            </w:pPr>
            <w:r w:rsidRPr="00A808AC">
              <w:rPr>
                <w:lang w:val="da-DK"/>
              </w:rPr>
              <w:t>Hepatobiliary disorders</w:t>
            </w:r>
          </w:p>
        </w:tc>
        <w:tc>
          <w:tcPr>
            <w:tcW w:w="1688" w:type="pct"/>
          </w:tcPr>
          <w:p w14:paraId="1DE074D8" w14:textId="77777777" w:rsidR="00AA5BEA" w:rsidRPr="00A808AC" w:rsidRDefault="005A3D7D" w:rsidP="006878A4">
            <w:pPr>
              <w:spacing w:line="240" w:lineRule="auto"/>
            </w:pPr>
            <w:r w:rsidRPr="00A808AC">
              <w:t>Transaminase elevations</w:t>
            </w:r>
          </w:p>
        </w:tc>
        <w:tc>
          <w:tcPr>
            <w:tcW w:w="1686" w:type="pct"/>
          </w:tcPr>
          <w:p w14:paraId="46EF3293" w14:textId="77777777" w:rsidR="00AA5BEA" w:rsidRPr="00A808AC" w:rsidRDefault="005A3D7D" w:rsidP="006878A4">
            <w:pPr>
              <w:spacing w:line="240" w:lineRule="auto"/>
            </w:pPr>
            <w:r w:rsidRPr="00A808AC">
              <w:t>very common</w:t>
            </w:r>
          </w:p>
        </w:tc>
      </w:tr>
      <w:tr w:rsidR="00476058" w14:paraId="16F0DB42" w14:textId="77777777" w:rsidTr="006878A4">
        <w:trPr>
          <w:cantSplit/>
        </w:trPr>
        <w:tc>
          <w:tcPr>
            <w:tcW w:w="1626" w:type="pct"/>
          </w:tcPr>
          <w:p w14:paraId="39A6F4CD" w14:textId="77777777" w:rsidR="00AA5BEA" w:rsidRPr="00A808AC" w:rsidRDefault="005A3D7D" w:rsidP="006878A4">
            <w:pPr>
              <w:spacing w:line="240" w:lineRule="auto"/>
            </w:pPr>
            <w:r w:rsidRPr="00A808AC">
              <w:t>Skin and subcutaneous tissue disorders</w:t>
            </w:r>
          </w:p>
        </w:tc>
        <w:tc>
          <w:tcPr>
            <w:tcW w:w="1688" w:type="pct"/>
          </w:tcPr>
          <w:p w14:paraId="550A4034" w14:textId="77777777" w:rsidR="00AA5BEA" w:rsidRPr="00A808AC" w:rsidRDefault="005A3D7D" w:rsidP="006878A4">
            <w:pPr>
              <w:spacing w:line="240" w:lineRule="auto"/>
            </w:pPr>
            <w:r w:rsidRPr="00A808AC">
              <w:t>Rash</w:t>
            </w:r>
          </w:p>
        </w:tc>
        <w:tc>
          <w:tcPr>
            <w:tcW w:w="1686" w:type="pct"/>
          </w:tcPr>
          <w:p w14:paraId="054DDBAB" w14:textId="77777777" w:rsidR="00AA5BEA" w:rsidRPr="00A808AC" w:rsidRDefault="005A3D7D" w:rsidP="006878A4">
            <w:pPr>
              <w:spacing w:line="240" w:lineRule="auto"/>
            </w:pPr>
            <w:r w:rsidRPr="00A808AC">
              <w:t>very common</w:t>
            </w:r>
          </w:p>
        </w:tc>
      </w:tr>
      <w:tr w:rsidR="00476058" w14:paraId="34366A73" w14:textId="77777777" w:rsidTr="006878A4">
        <w:trPr>
          <w:cantSplit/>
        </w:trPr>
        <w:tc>
          <w:tcPr>
            <w:tcW w:w="1626" w:type="pct"/>
            <w:vMerge w:val="restart"/>
          </w:tcPr>
          <w:p w14:paraId="311825EE" w14:textId="77777777" w:rsidR="00AA5BEA" w:rsidRPr="00A808AC" w:rsidRDefault="005A3D7D" w:rsidP="006878A4">
            <w:pPr>
              <w:spacing w:line="240" w:lineRule="auto"/>
            </w:pPr>
            <w:r w:rsidRPr="00A808AC">
              <w:t xml:space="preserve">Reproductive system and </w:t>
            </w:r>
            <w:r w:rsidRPr="00A808AC">
              <w:t>breast disorders</w:t>
            </w:r>
          </w:p>
        </w:tc>
        <w:tc>
          <w:tcPr>
            <w:tcW w:w="1688" w:type="pct"/>
          </w:tcPr>
          <w:p w14:paraId="0673E2B9" w14:textId="77777777" w:rsidR="00AA5BEA" w:rsidRPr="00A808AC" w:rsidRDefault="005A3D7D" w:rsidP="006878A4">
            <w:pPr>
              <w:spacing w:line="240" w:lineRule="auto"/>
            </w:pPr>
            <w:r w:rsidRPr="00A808AC">
              <w:t>Breast mass</w:t>
            </w:r>
          </w:p>
        </w:tc>
        <w:tc>
          <w:tcPr>
            <w:tcW w:w="1686" w:type="pct"/>
          </w:tcPr>
          <w:p w14:paraId="26CD7CB8" w14:textId="77777777" w:rsidR="00AA5BEA" w:rsidRPr="00A808AC" w:rsidRDefault="005A3D7D" w:rsidP="006878A4">
            <w:pPr>
              <w:spacing w:line="240" w:lineRule="auto"/>
            </w:pPr>
            <w:r w:rsidRPr="00A808AC">
              <w:t>common</w:t>
            </w:r>
          </w:p>
        </w:tc>
      </w:tr>
      <w:tr w:rsidR="00476058" w14:paraId="155B6676" w14:textId="77777777" w:rsidTr="006878A4">
        <w:trPr>
          <w:cantSplit/>
        </w:trPr>
        <w:tc>
          <w:tcPr>
            <w:tcW w:w="1626" w:type="pct"/>
            <w:vMerge/>
          </w:tcPr>
          <w:p w14:paraId="269E7BD2" w14:textId="77777777" w:rsidR="00AA5BEA" w:rsidRPr="00A808AC" w:rsidRDefault="00AA5BEA" w:rsidP="006878A4">
            <w:pPr>
              <w:spacing w:line="240" w:lineRule="auto"/>
            </w:pPr>
          </w:p>
        </w:tc>
        <w:tc>
          <w:tcPr>
            <w:tcW w:w="1688" w:type="pct"/>
          </w:tcPr>
          <w:p w14:paraId="2900EA0D" w14:textId="77777777" w:rsidR="00AA5BEA" w:rsidRPr="00A808AC" w:rsidRDefault="005A3D7D" w:rsidP="006878A4">
            <w:pPr>
              <w:spacing w:line="240" w:lineRule="auto"/>
            </w:pPr>
            <w:r w:rsidRPr="00A808AC">
              <w:t>Breast inflammation</w:t>
            </w:r>
          </w:p>
        </w:tc>
        <w:tc>
          <w:tcPr>
            <w:tcW w:w="1686" w:type="pct"/>
          </w:tcPr>
          <w:p w14:paraId="231FC87F" w14:textId="77777777" w:rsidR="00AA5BEA" w:rsidRPr="00A808AC" w:rsidRDefault="005A3D7D" w:rsidP="006878A4">
            <w:pPr>
              <w:spacing w:line="240" w:lineRule="auto"/>
            </w:pPr>
            <w:r w:rsidRPr="00A808AC">
              <w:t>uncommon</w:t>
            </w:r>
          </w:p>
        </w:tc>
      </w:tr>
      <w:tr w:rsidR="00476058" w14:paraId="4B07A4C4" w14:textId="77777777" w:rsidTr="006878A4">
        <w:trPr>
          <w:cantSplit/>
        </w:trPr>
        <w:tc>
          <w:tcPr>
            <w:tcW w:w="1626" w:type="pct"/>
            <w:vMerge/>
          </w:tcPr>
          <w:p w14:paraId="6E768ACA" w14:textId="77777777" w:rsidR="00AA5BEA" w:rsidRPr="00A808AC" w:rsidRDefault="00AA5BEA" w:rsidP="006878A4">
            <w:pPr>
              <w:spacing w:line="240" w:lineRule="auto"/>
            </w:pPr>
          </w:p>
        </w:tc>
        <w:tc>
          <w:tcPr>
            <w:tcW w:w="1688" w:type="pct"/>
          </w:tcPr>
          <w:p w14:paraId="54B763FD" w14:textId="77777777" w:rsidR="00AA5BEA" w:rsidRPr="00A808AC" w:rsidRDefault="005A3D7D" w:rsidP="006878A4">
            <w:pPr>
              <w:spacing w:line="240" w:lineRule="auto"/>
            </w:pPr>
            <w:r w:rsidRPr="00A808AC">
              <w:t>Gynaecomastia</w:t>
            </w:r>
          </w:p>
        </w:tc>
        <w:tc>
          <w:tcPr>
            <w:tcW w:w="1686" w:type="pct"/>
          </w:tcPr>
          <w:p w14:paraId="1A83BD73" w14:textId="77777777" w:rsidR="00AA5BEA" w:rsidRPr="00A808AC" w:rsidRDefault="005A3D7D" w:rsidP="006878A4">
            <w:pPr>
              <w:spacing w:line="240" w:lineRule="auto"/>
            </w:pPr>
            <w:r w:rsidRPr="00A808AC">
              <w:t>uncommon</w:t>
            </w:r>
          </w:p>
        </w:tc>
      </w:tr>
      <w:tr w:rsidR="00476058" w14:paraId="03564164" w14:textId="77777777" w:rsidTr="006878A4">
        <w:trPr>
          <w:cantSplit/>
        </w:trPr>
        <w:tc>
          <w:tcPr>
            <w:tcW w:w="1626" w:type="pct"/>
            <w:vMerge/>
          </w:tcPr>
          <w:p w14:paraId="7F48D1AF" w14:textId="77777777" w:rsidR="00AA5BEA" w:rsidRPr="00A808AC" w:rsidRDefault="00AA5BEA" w:rsidP="006878A4">
            <w:pPr>
              <w:spacing w:line="240" w:lineRule="auto"/>
            </w:pPr>
          </w:p>
        </w:tc>
        <w:tc>
          <w:tcPr>
            <w:tcW w:w="1688" w:type="pct"/>
          </w:tcPr>
          <w:p w14:paraId="27A128A7" w14:textId="77777777" w:rsidR="00AA5BEA" w:rsidRPr="00A808AC" w:rsidRDefault="005A3D7D" w:rsidP="006878A4">
            <w:pPr>
              <w:spacing w:line="240" w:lineRule="auto"/>
            </w:pPr>
            <w:r w:rsidRPr="00A808AC">
              <w:t>Nipple disorder</w:t>
            </w:r>
          </w:p>
        </w:tc>
        <w:tc>
          <w:tcPr>
            <w:tcW w:w="1686" w:type="pct"/>
          </w:tcPr>
          <w:p w14:paraId="6CA14EBB" w14:textId="77777777" w:rsidR="00AA5BEA" w:rsidRPr="00A808AC" w:rsidRDefault="005A3D7D" w:rsidP="006878A4">
            <w:pPr>
              <w:spacing w:line="240" w:lineRule="auto"/>
            </w:pPr>
            <w:r w:rsidRPr="00A808AC">
              <w:t>uncommon</w:t>
            </w:r>
          </w:p>
        </w:tc>
      </w:tr>
      <w:tr w:rsidR="00476058" w14:paraId="3F13E5F2" w14:textId="77777777" w:rsidTr="006878A4">
        <w:trPr>
          <w:cantSplit/>
        </w:trPr>
        <w:tc>
          <w:tcPr>
            <w:tcW w:w="1626" w:type="pct"/>
            <w:vMerge/>
          </w:tcPr>
          <w:p w14:paraId="1F174AB5" w14:textId="77777777" w:rsidR="00AA5BEA" w:rsidRPr="00A808AC" w:rsidRDefault="00AA5BEA" w:rsidP="006878A4">
            <w:pPr>
              <w:spacing w:line="240" w:lineRule="auto"/>
            </w:pPr>
          </w:p>
        </w:tc>
        <w:tc>
          <w:tcPr>
            <w:tcW w:w="1688" w:type="pct"/>
          </w:tcPr>
          <w:p w14:paraId="5B99D021" w14:textId="77777777" w:rsidR="00AA5BEA" w:rsidRPr="00A808AC" w:rsidRDefault="005A3D7D" w:rsidP="006878A4">
            <w:pPr>
              <w:spacing w:line="240" w:lineRule="auto"/>
            </w:pPr>
            <w:r w:rsidRPr="00A808AC">
              <w:t>Nipple pain</w:t>
            </w:r>
          </w:p>
        </w:tc>
        <w:tc>
          <w:tcPr>
            <w:tcW w:w="1686" w:type="pct"/>
          </w:tcPr>
          <w:p w14:paraId="36D25BAE" w14:textId="77777777" w:rsidR="00AA5BEA" w:rsidRPr="00A808AC" w:rsidRDefault="005A3D7D" w:rsidP="006878A4">
            <w:pPr>
              <w:spacing w:line="240" w:lineRule="auto"/>
            </w:pPr>
            <w:r w:rsidRPr="00A808AC">
              <w:t>uncommon</w:t>
            </w:r>
          </w:p>
        </w:tc>
      </w:tr>
      <w:tr w:rsidR="00476058" w14:paraId="46DBE233" w14:textId="77777777" w:rsidTr="006878A4">
        <w:trPr>
          <w:cantSplit/>
          <w:trHeight w:val="332"/>
        </w:trPr>
        <w:tc>
          <w:tcPr>
            <w:tcW w:w="1626" w:type="pct"/>
          </w:tcPr>
          <w:p w14:paraId="7969568B" w14:textId="77777777" w:rsidR="00AA5BEA" w:rsidRPr="00A808AC" w:rsidRDefault="005A3D7D" w:rsidP="006878A4">
            <w:pPr>
              <w:spacing w:line="240" w:lineRule="auto"/>
            </w:pPr>
            <w:r w:rsidRPr="00A808AC">
              <w:t>Investigations</w:t>
            </w:r>
          </w:p>
        </w:tc>
        <w:tc>
          <w:tcPr>
            <w:tcW w:w="1688" w:type="pct"/>
          </w:tcPr>
          <w:p w14:paraId="592A0656" w14:textId="77777777" w:rsidR="00AA5BEA" w:rsidRPr="00A808AC" w:rsidRDefault="005A3D7D" w:rsidP="006878A4">
            <w:pPr>
              <w:spacing w:line="240" w:lineRule="auto"/>
            </w:pPr>
            <w:r w:rsidRPr="00A808AC">
              <w:t>Bacteria in sputum</w:t>
            </w:r>
          </w:p>
        </w:tc>
        <w:tc>
          <w:tcPr>
            <w:tcW w:w="1686" w:type="pct"/>
          </w:tcPr>
          <w:p w14:paraId="3C41E430" w14:textId="77777777" w:rsidR="00AA5BEA" w:rsidRPr="00A808AC" w:rsidRDefault="005A3D7D" w:rsidP="006878A4">
            <w:pPr>
              <w:spacing w:line="240" w:lineRule="auto"/>
            </w:pPr>
            <w:r w:rsidRPr="00A808AC">
              <w:t>very common</w:t>
            </w:r>
          </w:p>
        </w:tc>
      </w:tr>
    </w:tbl>
    <w:p w14:paraId="7C81936B" w14:textId="77777777" w:rsidR="00096B0E" w:rsidRPr="00A808AC" w:rsidRDefault="00096B0E" w:rsidP="001F42DB"/>
    <w:p w14:paraId="1201685C" w14:textId="77777777" w:rsidR="00096B0E" w:rsidRPr="006C4477" w:rsidRDefault="005A3D7D" w:rsidP="007843E0">
      <w:pPr>
        <w:keepNext/>
        <w:spacing w:line="240" w:lineRule="auto"/>
        <w:rPr>
          <w:u w:val="single"/>
        </w:rPr>
      </w:pPr>
      <w:r w:rsidRPr="00A808AC">
        <w:rPr>
          <w:u w:val="single"/>
        </w:rPr>
        <w:t>Description of selected adverse reactions</w:t>
      </w:r>
    </w:p>
    <w:p w14:paraId="5B0D47E5" w14:textId="77777777" w:rsidR="00487EC4" w:rsidRPr="00A808AC" w:rsidRDefault="00487EC4" w:rsidP="007843E0">
      <w:pPr>
        <w:keepNext/>
        <w:spacing w:line="240" w:lineRule="auto"/>
        <w:rPr>
          <w:iCs/>
        </w:rPr>
      </w:pPr>
    </w:p>
    <w:p w14:paraId="278BF80E" w14:textId="77777777" w:rsidR="00096B0E" w:rsidRPr="000A093B" w:rsidRDefault="005A3D7D">
      <w:pPr>
        <w:keepNext/>
        <w:spacing w:line="240" w:lineRule="auto"/>
        <w:rPr>
          <w:i/>
        </w:rPr>
      </w:pPr>
      <w:r w:rsidRPr="000A093B">
        <w:rPr>
          <w:i/>
          <w:iCs/>
        </w:rPr>
        <w:t>Transaminase elevations</w:t>
      </w:r>
    </w:p>
    <w:p w14:paraId="3FB7FF16" w14:textId="77777777" w:rsidR="002C402F" w:rsidRPr="00567D02" w:rsidRDefault="002C402F">
      <w:pPr>
        <w:keepNext/>
        <w:spacing w:line="240" w:lineRule="auto"/>
        <w:rPr>
          <w:u w:val="single"/>
        </w:rPr>
      </w:pPr>
    </w:p>
    <w:p w14:paraId="10C1CC35" w14:textId="4E457EF4" w:rsidR="00096B0E" w:rsidRDefault="005A3D7D" w:rsidP="000A093B">
      <w:pPr>
        <w:keepNext/>
        <w:spacing w:line="240" w:lineRule="auto"/>
      </w:pPr>
      <w:r w:rsidRPr="00A808AC">
        <w:t>During the 48</w:t>
      </w:r>
      <w:r w:rsidR="007178AD" w:rsidRPr="00A808AC">
        <w:noBreakHyphen/>
      </w:r>
      <w:r w:rsidRPr="00A808AC">
        <w:t>week placebo</w:t>
      </w:r>
      <w:r w:rsidR="007178AD" w:rsidRPr="00A808AC">
        <w:noBreakHyphen/>
      </w:r>
      <w:r w:rsidRPr="00A808AC">
        <w:t>controlled studies 1 and 2 in patients aged 6</w:t>
      </w:r>
      <w:r w:rsidR="0062140B" w:rsidRPr="00A808AC">
        <w:t> </w:t>
      </w:r>
      <w:r w:rsidRPr="00A808AC">
        <w:t>years and older, the incidence of maximum transaminase (ALT or AST) &gt;</w:t>
      </w:r>
      <w:r w:rsidR="001C3AD5">
        <w:t> </w:t>
      </w:r>
      <w:r w:rsidRPr="00A808AC">
        <w:t>8, &gt;</w:t>
      </w:r>
      <w:r w:rsidR="001C3AD5">
        <w:t> </w:t>
      </w:r>
      <w:r w:rsidRPr="00A808AC">
        <w:t>5 or &gt;</w:t>
      </w:r>
      <w:r w:rsidR="001C3AD5">
        <w:t> </w:t>
      </w:r>
      <w:r w:rsidRPr="00A808AC">
        <w:t xml:space="preserve">3 x ULN was 3.7%, 3.7% and 8.3% in ivacaftor-treated patients and 1.0%, </w:t>
      </w:r>
      <w:r w:rsidRPr="00A808AC">
        <w:t>1.9% and 8.7% in placebo-treated patients, respectively. Two patients, one on placebo and one on ivacaftor, permanently discontinued treatment for elevated transaminases, each &gt;</w:t>
      </w:r>
      <w:r w:rsidR="001C3AD5">
        <w:t> </w:t>
      </w:r>
      <w:r w:rsidRPr="00A808AC">
        <w:t>8 x ULN. No ivacaftor</w:t>
      </w:r>
      <w:r w:rsidR="0062140B" w:rsidRPr="00A808AC">
        <w:noBreakHyphen/>
      </w:r>
      <w:r w:rsidRPr="00A808AC">
        <w:t>treated patients experienced a transaminase elevation &gt;</w:t>
      </w:r>
      <w:r w:rsidR="001C3AD5">
        <w:t> </w:t>
      </w:r>
      <w:r w:rsidRPr="00A808AC">
        <w:t>3 x ULN associated with elevated total bilirubin &gt;</w:t>
      </w:r>
      <w:r w:rsidR="001C3AD5">
        <w:t> </w:t>
      </w:r>
      <w:r w:rsidRPr="00A808AC">
        <w:t xml:space="preserve">1.5 x ULN. In ivacaftor-treated patients, most transaminase elevations up to 5 x ULN resolved without treatment interruption. Ivacaftor dosing was interrupted in most patients with transaminase elevations </w:t>
      </w:r>
      <w:r w:rsidRPr="00A808AC">
        <w:t>&gt;</w:t>
      </w:r>
      <w:r w:rsidR="001C3AD5">
        <w:t> </w:t>
      </w:r>
      <w:r w:rsidRPr="00A808AC">
        <w:t>5</w:t>
      </w:r>
      <w:r w:rsidR="00282EAE" w:rsidRPr="00A808AC">
        <w:rPr>
          <w:bCs/>
        </w:rPr>
        <w:t> </w:t>
      </w:r>
      <w:r w:rsidRPr="00A808AC">
        <w:t xml:space="preserve">x ULN. In all instances where dosing was interrupted for elevated transaminases and </w:t>
      </w:r>
      <w:r w:rsidRPr="00A808AC">
        <w:rPr>
          <w:rFonts w:eastAsia="Times New Roman"/>
        </w:rPr>
        <w:t>subsequently resumed, ivacaftor</w:t>
      </w:r>
      <w:r w:rsidRPr="00A808AC">
        <w:t xml:space="preserve"> dosing was able to be resumed successfully (see section 4.4).</w:t>
      </w:r>
    </w:p>
    <w:p w14:paraId="5B2437AC" w14:textId="1778A3F1" w:rsidR="00024741" w:rsidRDefault="00024741" w:rsidP="000A093B">
      <w:pPr>
        <w:keepNext/>
        <w:spacing w:line="240" w:lineRule="auto"/>
      </w:pPr>
    </w:p>
    <w:p w14:paraId="7288B65F" w14:textId="3C7E9EDC" w:rsidR="00024741" w:rsidRDefault="005A3D7D" w:rsidP="00024741">
      <w:r>
        <w:t>During the placebo controlled phase 3 studies (up to 24 weeks) of tezacaf</w:t>
      </w:r>
      <w:r>
        <w:t xml:space="preserve">tor/ivacaftor, the incidence of maximum transaminase (ALT or AST) &gt; 8, &gt; 5, or &gt; 3 x ULN were 0.2%, 1.0%, and 3.4% in tezacaftor/ivacaftor treated patients, and 0.4%, 1.0%, and 3.4% in placebo-treated patients. One patient (0.2%) on therapy and 2 patients </w:t>
      </w:r>
      <w:r>
        <w:t xml:space="preserve">(0.4%) on placebo permanently discontinued treatment for elevated transaminases. No patients treated with tezacaftor/ivacaftor experienced a transaminase elevation &gt;3 x ULN associated with elevated total bilirubin &gt;2 x ULN. </w:t>
      </w:r>
    </w:p>
    <w:p w14:paraId="60A14180" w14:textId="77777777" w:rsidR="00024741" w:rsidRDefault="00024741" w:rsidP="00024741">
      <w:pPr>
        <w:rPr>
          <w:lang w:val="en-US"/>
        </w:rPr>
      </w:pPr>
    </w:p>
    <w:p w14:paraId="01C94EE1" w14:textId="400F125F" w:rsidR="00024741" w:rsidRDefault="005A3D7D" w:rsidP="00024741">
      <w:r>
        <w:t>During the 24-week, placebo-co</w:t>
      </w:r>
      <w:r>
        <w:t xml:space="preserve">ntrolled, </w:t>
      </w:r>
      <w:r w:rsidR="00BA40DB">
        <w:t>p</w:t>
      </w:r>
      <w:r>
        <w:t>hase 3 study of ivacaftor/tezacaftor/elexacaftor, these figures were 1.5%, 2.5%, and 7.9% in ivacaftor/tezacaftor/elexacaftor-treated patients and 1.0%, 1.5%, and 5.5% in placebo-treated patients. The incidence of adverse reactions of transamina</w:t>
      </w:r>
      <w:r>
        <w:t>se elevations was 10.9% in ivacaftor in a combination regimen with ivacaftor/tezacaftor/elexacaftor treated patients and 4.0% in placebo-treated patients.</w:t>
      </w:r>
    </w:p>
    <w:p w14:paraId="0A3621F5" w14:textId="77777777" w:rsidR="00024741" w:rsidRPr="00A808AC" w:rsidRDefault="00024741" w:rsidP="00184D87">
      <w:pPr>
        <w:keepNext/>
        <w:spacing w:line="240" w:lineRule="auto"/>
      </w:pPr>
    </w:p>
    <w:p w14:paraId="718C1A30" w14:textId="77777777" w:rsidR="00096B0E" w:rsidRDefault="005A3D7D" w:rsidP="000A093B">
      <w:pPr>
        <w:keepNext/>
        <w:spacing w:line="240" w:lineRule="auto"/>
        <w:rPr>
          <w:rFonts w:eastAsia="MS Mincho"/>
          <w:szCs w:val="16"/>
          <w:u w:val="single"/>
          <w:lang w:eastAsia="ja-JP"/>
        </w:rPr>
      </w:pPr>
      <w:r w:rsidRPr="00A808AC">
        <w:rPr>
          <w:rFonts w:eastAsia="MS Mincho"/>
          <w:szCs w:val="16"/>
          <w:u w:val="single"/>
          <w:lang w:eastAsia="ja-JP"/>
        </w:rPr>
        <w:t>Paediatric population</w:t>
      </w:r>
    </w:p>
    <w:p w14:paraId="26D5A909" w14:textId="77777777" w:rsidR="00487EC4" w:rsidRPr="00A808AC" w:rsidRDefault="00487EC4" w:rsidP="000A093B">
      <w:pPr>
        <w:keepNext/>
        <w:spacing w:line="240" w:lineRule="auto"/>
        <w:rPr>
          <w:rFonts w:eastAsia="MS Mincho"/>
          <w:szCs w:val="16"/>
          <w:u w:val="single"/>
          <w:lang w:eastAsia="ja-JP"/>
        </w:rPr>
      </w:pPr>
    </w:p>
    <w:p w14:paraId="6DC29303" w14:textId="290D9436" w:rsidR="00096B0E" w:rsidRPr="00A808AC" w:rsidRDefault="005A3D7D" w:rsidP="000A093B">
      <w:pPr>
        <w:keepNext/>
        <w:spacing w:line="240" w:lineRule="auto"/>
        <w:rPr>
          <w:rFonts w:eastAsia="MS Mincho"/>
          <w:szCs w:val="16"/>
          <w:lang w:eastAsia="ja-JP"/>
        </w:rPr>
      </w:pPr>
      <w:r w:rsidRPr="00A808AC">
        <w:rPr>
          <w:rFonts w:eastAsia="MS Mincho"/>
          <w:szCs w:val="16"/>
          <w:lang w:eastAsia="ja-JP"/>
        </w:rPr>
        <w:t xml:space="preserve">The safety data </w:t>
      </w:r>
      <w:r w:rsidR="008E6849">
        <w:rPr>
          <w:rFonts w:eastAsia="MS Mincho"/>
          <w:szCs w:val="16"/>
          <w:lang w:eastAsia="ja-JP"/>
        </w:rPr>
        <w:t xml:space="preserve">of ivacaftor </w:t>
      </w:r>
      <w:r w:rsidRPr="00A808AC">
        <w:rPr>
          <w:rFonts w:eastAsia="MS Mincho"/>
          <w:szCs w:val="16"/>
          <w:lang w:eastAsia="ja-JP"/>
        </w:rPr>
        <w:t xml:space="preserve">were evaluated in </w:t>
      </w:r>
      <w:r w:rsidR="004F0618">
        <w:rPr>
          <w:rFonts w:eastAsia="MS Mincho"/>
          <w:szCs w:val="16"/>
          <w:lang w:eastAsia="ja-JP"/>
        </w:rPr>
        <w:t xml:space="preserve">6 patients between 4 months to less than 6 months of age, </w:t>
      </w:r>
      <w:r w:rsidR="00A71CA5">
        <w:rPr>
          <w:rFonts w:eastAsia="MS Mincho"/>
          <w:szCs w:val="16"/>
          <w:lang w:eastAsia="ja-JP"/>
        </w:rPr>
        <w:t xml:space="preserve">11 patients between 6 months to less than 12 months of age, </w:t>
      </w:r>
      <w:r w:rsidR="001F42DB">
        <w:rPr>
          <w:rFonts w:eastAsia="MS Mincho"/>
          <w:szCs w:val="16"/>
          <w:lang w:eastAsia="ja-JP"/>
        </w:rPr>
        <w:t xml:space="preserve">19 patients between 12 months to less than 24 months of age, </w:t>
      </w:r>
      <w:r w:rsidRPr="00A808AC">
        <w:rPr>
          <w:rFonts w:eastAsia="MS Mincho"/>
          <w:szCs w:val="16"/>
          <w:lang w:eastAsia="ja-JP"/>
        </w:rPr>
        <w:t>34</w:t>
      </w:r>
      <w:r w:rsidR="0062140B" w:rsidRPr="00A808AC">
        <w:rPr>
          <w:rFonts w:eastAsia="MS Mincho"/>
          <w:szCs w:val="16"/>
          <w:lang w:eastAsia="ja-JP"/>
        </w:rPr>
        <w:t> </w:t>
      </w:r>
      <w:r w:rsidRPr="00A808AC">
        <w:rPr>
          <w:rFonts w:eastAsia="MS Mincho"/>
          <w:szCs w:val="16"/>
          <w:lang w:eastAsia="ja-JP"/>
        </w:rPr>
        <w:t>patients between 2 to less than 6</w:t>
      </w:r>
      <w:r w:rsidR="0062140B" w:rsidRPr="00A808AC">
        <w:rPr>
          <w:rFonts w:eastAsia="MS Mincho"/>
          <w:szCs w:val="16"/>
          <w:lang w:eastAsia="ja-JP"/>
        </w:rPr>
        <w:t> </w:t>
      </w:r>
      <w:r w:rsidRPr="00A808AC">
        <w:rPr>
          <w:rFonts w:eastAsia="MS Mincho"/>
          <w:szCs w:val="16"/>
          <w:lang w:eastAsia="ja-JP"/>
        </w:rPr>
        <w:t>years of age, 61</w:t>
      </w:r>
      <w:r w:rsidR="0062140B" w:rsidRPr="00A808AC">
        <w:rPr>
          <w:rFonts w:eastAsia="MS Mincho"/>
          <w:szCs w:val="16"/>
          <w:lang w:eastAsia="ja-JP"/>
        </w:rPr>
        <w:t> </w:t>
      </w:r>
      <w:r w:rsidRPr="00A808AC">
        <w:rPr>
          <w:rFonts w:eastAsia="MS Mincho"/>
          <w:szCs w:val="16"/>
          <w:lang w:eastAsia="ja-JP"/>
        </w:rPr>
        <w:t>patients between 6 to less than 12</w:t>
      </w:r>
      <w:r w:rsidR="0062140B" w:rsidRPr="00A808AC">
        <w:rPr>
          <w:rFonts w:eastAsia="MS Mincho"/>
          <w:szCs w:val="16"/>
          <w:lang w:eastAsia="ja-JP"/>
        </w:rPr>
        <w:t> </w:t>
      </w:r>
      <w:r w:rsidRPr="00A808AC">
        <w:rPr>
          <w:rFonts w:eastAsia="MS Mincho"/>
          <w:szCs w:val="16"/>
          <w:lang w:eastAsia="ja-JP"/>
        </w:rPr>
        <w:t xml:space="preserve">years of age </w:t>
      </w:r>
      <w:r w:rsidRPr="00A808AC">
        <w:rPr>
          <w:rFonts w:eastAsia="MS Mincho"/>
          <w:szCs w:val="16"/>
          <w:lang w:eastAsia="ja-JP"/>
        </w:rPr>
        <w:t>and 94</w:t>
      </w:r>
      <w:r w:rsidR="0062140B" w:rsidRPr="00A808AC">
        <w:rPr>
          <w:rFonts w:eastAsia="MS Mincho"/>
          <w:szCs w:val="16"/>
          <w:lang w:eastAsia="ja-JP"/>
        </w:rPr>
        <w:t> </w:t>
      </w:r>
      <w:r w:rsidRPr="00A808AC">
        <w:rPr>
          <w:rFonts w:eastAsia="MS Mincho"/>
          <w:szCs w:val="16"/>
          <w:lang w:eastAsia="ja-JP"/>
        </w:rPr>
        <w:t>patients between 12 to less than 18</w:t>
      </w:r>
      <w:r w:rsidR="0062140B" w:rsidRPr="00A808AC">
        <w:rPr>
          <w:rFonts w:eastAsia="MS Mincho"/>
          <w:szCs w:val="16"/>
          <w:lang w:eastAsia="ja-JP"/>
        </w:rPr>
        <w:t> </w:t>
      </w:r>
      <w:r w:rsidRPr="00A808AC">
        <w:rPr>
          <w:rFonts w:eastAsia="MS Mincho"/>
          <w:szCs w:val="16"/>
          <w:lang w:eastAsia="ja-JP"/>
        </w:rPr>
        <w:t>years of age.</w:t>
      </w:r>
    </w:p>
    <w:p w14:paraId="5C8EC4A3" w14:textId="77777777" w:rsidR="00096B0E" w:rsidRPr="00A808AC" w:rsidRDefault="00096B0E" w:rsidP="00096B0E">
      <w:pPr>
        <w:spacing w:line="240" w:lineRule="auto"/>
        <w:rPr>
          <w:rFonts w:eastAsia="MS Mincho"/>
          <w:szCs w:val="16"/>
          <w:lang w:eastAsia="ja-JP"/>
        </w:rPr>
      </w:pPr>
    </w:p>
    <w:p w14:paraId="6C1A8671" w14:textId="1D408CF3" w:rsidR="00096B0E" w:rsidRPr="00A808AC" w:rsidRDefault="005A3D7D" w:rsidP="00096B0E">
      <w:pPr>
        <w:spacing w:line="240" w:lineRule="auto"/>
        <w:rPr>
          <w:rFonts w:eastAsia="MS Mincho"/>
          <w:szCs w:val="16"/>
          <w:lang w:eastAsia="ja-JP"/>
        </w:rPr>
      </w:pPr>
      <w:r w:rsidRPr="00A808AC">
        <w:rPr>
          <w:rFonts w:eastAsia="MS Mincho"/>
          <w:szCs w:val="16"/>
          <w:lang w:eastAsia="ja-JP"/>
        </w:rPr>
        <w:t xml:space="preserve">The safety profile is generally consistent among </w:t>
      </w:r>
      <w:r w:rsidR="00720AC6">
        <w:rPr>
          <w:rFonts w:eastAsia="MS Mincho"/>
          <w:szCs w:val="16"/>
          <w:lang w:eastAsia="ja-JP"/>
        </w:rPr>
        <w:t xml:space="preserve">paediatric patients aged </w:t>
      </w:r>
      <w:r w:rsidR="004F0618">
        <w:rPr>
          <w:rFonts w:eastAsia="MS Mincho"/>
          <w:szCs w:val="16"/>
          <w:lang w:eastAsia="ja-JP"/>
        </w:rPr>
        <w:t>4</w:t>
      </w:r>
      <w:r w:rsidR="004208F1">
        <w:rPr>
          <w:rFonts w:eastAsia="MS Mincho"/>
          <w:szCs w:val="16"/>
          <w:lang w:eastAsia="ja-JP"/>
        </w:rPr>
        <w:t> </w:t>
      </w:r>
      <w:r w:rsidR="00720AC6">
        <w:rPr>
          <w:rFonts w:eastAsia="MS Mincho"/>
          <w:szCs w:val="16"/>
          <w:lang w:eastAsia="ja-JP"/>
        </w:rPr>
        <w:t xml:space="preserve">months and older </w:t>
      </w:r>
      <w:r w:rsidRPr="00A808AC">
        <w:rPr>
          <w:rFonts w:eastAsia="MS Mincho"/>
          <w:szCs w:val="16"/>
          <w:lang w:eastAsia="ja-JP"/>
        </w:rPr>
        <w:t xml:space="preserve">and </w:t>
      </w:r>
      <w:r w:rsidR="004F506C">
        <w:rPr>
          <w:rFonts w:eastAsia="MS Mincho"/>
          <w:szCs w:val="16"/>
          <w:lang w:eastAsia="ja-JP"/>
        </w:rPr>
        <w:t xml:space="preserve">is also consistent with </w:t>
      </w:r>
      <w:r w:rsidRPr="00A808AC">
        <w:rPr>
          <w:rFonts w:eastAsia="MS Mincho"/>
          <w:szCs w:val="16"/>
          <w:lang w:eastAsia="ja-JP"/>
        </w:rPr>
        <w:t>adult patients.</w:t>
      </w:r>
    </w:p>
    <w:p w14:paraId="50A48619" w14:textId="77777777" w:rsidR="00096B0E" w:rsidRPr="00A808AC" w:rsidRDefault="00096B0E" w:rsidP="00096B0E">
      <w:pPr>
        <w:spacing w:line="240" w:lineRule="auto"/>
        <w:rPr>
          <w:rFonts w:eastAsia="MS Mincho"/>
          <w:szCs w:val="16"/>
          <w:lang w:eastAsia="ja-JP"/>
        </w:rPr>
      </w:pPr>
    </w:p>
    <w:p w14:paraId="52B96065" w14:textId="7A18E880" w:rsidR="001F42DB" w:rsidRDefault="005A3D7D" w:rsidP="000A093B">
      <w:r>
        <w:rPr>
          <w:rFonts w:eastAsia="MS Mincho"/>
          <w:szCs w:val="16"/>
          <w:lang w:eastAsia="ja-JP"/>
        </w:rPr>
        <w:t xml:space="preserve">The incidence of transaminase elevations (ALT or AST) </w:t>
      </w:r>
      <w:r>
        <w:rPr>
          <w:rFonts w:eastAsia="MS Mincho"/>
          <w:szCs w:val="16"/>
          <w:lang w:eastAsia="ja-JP"/>
        </w:rPr>
        <w:t>observed in studies</w:t>
      </w:r>
      <w:r w:rsidR="00037D5E">
        <w:rPr>
          <w:rFonts w:eastAsia="MS Mincho"/>
          <w:szCs w:val="16"/>
          <w:lang w:eastAsia="ja-JP"/>
        </w:rPr>
        <w:t xml:space="preserve"> 2, 5 and 6</w:t>
      </w:r>
      <w:r>
        <w:rPr>
          <w:rFonts w:eastAsia="MS Mincho"/>
          <w:szCs w:val="16"/>
          <w:lang w:eastAsia="ja-JP"/>
        </w:rPr>
        <w:t xml:space="preserve"> (patients aged 6 to less than 12 years), study 7 (</w:t>
      </w:r>
      <w:r w:rsidR="009B1867" w:rsidRPr="00A808AC">
        <w:rPr>
          <w:rFonts w:eastAsia="MS Mincho"/>
          <w:szCs w:val="16"/>
          <w:lang w:eastAsia="ja-JP"/>
        </w:rPr>
        <w:t>patients aged 2 to less than 6</w:t>
      </w:r>
      <w:r w:rsidR="0062140B" w:rsidRPr="00A808AC">
        <w:rPr>
          <w:rFonts w:eastAsia="MS Mincho"/>
          <w:szCs w:val="16"/>
          <w:lang w:eastAsia="ja-JP"/>
        </w:rPr>
        <w:t> </w:t>
      </w:r>
      <w:r w:rsidR="009B1867" w:rsidRPr="00A808AC">
        <w:rPr>
          <w:rFonts w:eastAsia="MS Mincho"/>
          <w:szCs w:val="16"/>
          <w:lang w:eastAsia="ja-JP"/>
        </w:rPr>
        <w:t>years),</w:t>
      </w:r>
      <w:r>
        <w:rPr>
          <w:rFonts w:eastAsia="MS Mincho"/>
          <w:szCs w:val="16"/>
          <w:lang w:eastAsia="ja-JP"/>
        </w:rPr>
        <w:t xml:space="preserve"> and study 8 (patients aged 6 to less than 24 months) are described in Table 3. </w:t>
      </w:r>
      <w:r w:rsidR="00C661F4" w:rsidRPr="00A808AC">
        <w:rPr>
          <w:bCs/>
          <w:szCs w:val="16"/>
        </w:rPr>
        <w:t xml:space="preserve">In </w:t>
      </w:r>
      <w:r w:rsidR="00C661F4">
        <w:rPr>
          <w:bCs/>
          <w:szCs w:val="16"/>
        </w:rPr>
        <w:t>the placebo controlled studies</w:t>
      </w:r>
      <w:r w:rsidR="00C661F4" w:rsidRPr="00A808AC">
        <w:rPr>
          <w:bCs/>
          <w:szCs w:val="16"/>
        </w:rPr>
        <w:t xml:space="preserve">, the incidence of transaminase elevations </w:t>
      </w:r>
      <w:r w:rsidR="00C661F4">
        <w:rPr>
          <w:bCs/>
          <w:szCs w:val="16"/>
        </w:rPr>
        <w:t>were similar between treatment with ivacaftor (</w:t>
      </w:r>
      <w:r w:rsidR="00C661F4" w:rsidRPr="00A808AC">
        <w:rPr>
          <w:bCs/>
          <w:szCs w:val="16"/>
        </w:rPr>
        <w:t>15.0%</w:t>
      </w:r>
      <w:r w:rsidR="00C661F4">
        <w:rPr>
          <w:bCs/>
          <w:szCs w:val="16"/>
        </w:rPr>
        <w:t>) and placebo</w:t>
      </w:r>
      <w:r w:rsidR="00C661F4">
        <w:rPr>
          <w:bCs/>
          <w:szCs w:val="16"/>
          <w:lang w:val="en-US"/>
        </w:rPr>
        <w:t>(</w:t>
      </w:r>
      <w:r w:rsidR="00C661F4" w:rsidRPr="00A808AC">
        <w:rPr>
          <w:bCs/>
          <w:szCs w:val="16"/>
          <w:lang w:val="en-US"/>
        </w:rPr>
        <w:t>14.6%</w:t>
      </w:r>
      <w:r w:rsidR="00C661F4">
        <w:rPr>
          <w:bCs/>
          <w:szCs w:val="16"/>
          <w:lang w:val="en-US"/>
        </w:rPr>
        <w:t>)</w:t>
      </w:r>
      <w:r w:rsidR="00C661F4">
        <w:rPr>
          <w:bCs/>
          <w:szCs w:val="16"/>
        </w:rPr>
        <w:t xml:space="preserve">Across all populations, </w:t>
      </w:r>
      <w:r w:rsidR="00C661F4">
        <w:rPr>
          <w:bCs/>
          <w:szCs w:val="16"/>
          <w:lang w:val="en-US"/>
        </w:rPr>
        <w:t>p</w:t>
      </w:r>
      <w:r w:rsidR="00C661F4" w:rsidRPr="00A808AC">
        <w:rPr>
          <w:bCs/>
          <w:szCs w:val="16"/>
          <w:lang w:val="en-US"/>
        </w:rPr>
        <w:t xml:space="preserve">eak LFT </w:t>
      </w:r>
      <w:r w:rsidR="00C661F4" w:rsidRPr="00A808AC">
        <w:rPr>
          <w:bCs/>
          <w:szCs w:val="16"/>
        </w:rPr>
        <w:t xml:space="preserve">elevations </w:t>
      </w:r>
      <w:r w:rsidR="00C661F4">
        <w:rPr>
          <w:rFonts w:eastAsia="Times New Roman"/>
          <w:lang w:val="en-US"/>
        </w:rPr>
        <w:t xml:space="preserve">returned to baseline levels following interruption, and </w:t>
      </w:r>
      <w:r w:rsidR="00C661F4">
        <w:rPr>
          <w:bCs/>
          <w:szCs w:val="16"/>
          <w:lang w:val="en-US"/>
        </w:rPr>
        <w:t>i</w:t>
      </w:r>
      <w:r w:rsidR="00C661F4" w:rsidRPr="00A808AC">
        <w:rPr>
          <w:bCs/>
          <w:szCs w:val="16"/>
          <w:lang w:val="en-US"/>
        </w:rPr>
        <w:t>n almost all instances where dosing was interrupted for elevated transaminases and subsequently resumed, ivacaftor dosing was able to be resumed successfully (see section 4.4). Cases suggestive of positive rechallenge were observed.</w:t>
      </w:r>
      <w:r w:rsidR="00C661F4">
        <w:rPr>
          <w:bCs/>
          <w:szCs w:val="16"/>
          <w:lang w:val="en-US"/>
        </w:rPr>
        <w:t xml:space="preserve"> In study 7 </w:t>
      </w:r>
      <w:r w:rsidR="00C661F4">
        <w:rPr>
          <w:bCs/>
          <w:szCs w:val="16"/>
        </w:rPr>
        <w:t>i</w:t>
      </w:r>
      <w:r w:rsidR="009B1867" w:rsidRPr="00A808AC">
        <w:rPr>
          <w:bCs/>
          <w:szCs w:val="16"/>
        </w:rPr>
        <w:t xml:space="preserve">vacaftor was permanently discontinued in one patient. </w:t>
      </w:r>
      <w:r w:rsidR="00C661F4">
        <w:rPr>
          <w:bCs/>
          <w:szCs w:val="16"/>
        </w:rPr>
        <w:t xml:space="preserve">In study 8 </w:t>
      </w:r>
      <w:r w:rsidR="00C072DE">
        <w:t>n</w:t>
      </w:r>
      <w:r w:rsidR="00C072DE" w:rsidRPr="002A2D43">
        <w:t>o patients had elevations in total bilirubin</w:t>
      </w:r>
      <w:r w:rsidR="00C072DE">
        <w:t xml:space="preserve"> or </w:t>
      </w:r>
      <w:r w:rsidR="00C072DE" w:rsidRPr="002A2D43">
        <w:t>discontinued ivacaftor treatment due to transaminase elevations</w:t>
      </w:r>
      <w:r w:rsidR="00C072DE">
        <w:t xml:space="preserve"> in either cohort </w:t>
      </w:r>
      <w:r w:rsidR="009B1867" w:rsidRPr="002A2D43">
        <w:t>(see section</w:t>
      </w:r>
      <w:r w:rsidR="009B1867">
        <w:t> </w:t>
      </w:r>
      <w:r w:rsidR="009B1867" w:rsidRPr="002A2D43">
        <w:t>4.4 for management of elevated transaminases).</w:t>
      </w:r>
    </w:p>
    <w:p w14:paraId="2CB3F170" w14:textId="77777777" w:rsidR="00C072DE" w:rsidRPr="000A093B" w:rsidRDefault="00C072DE" w:rsidP="00C072DE">
      <w:pPr>
        <w:rPr>
          <w:b/>
        </w:rPr>
      </w:pPr>
    </w:p>
    <w:p w14:paraId="0E421B00" w14:textId="506C06DD" w:rsidR="00C072DE" w:rsidRPr="00227748" w:rsidRDefault="005A3D7D" w:rsidP="00C072DE">
      <w:pPr>
        <w:spacing w:after="240"/>
        <w:rPr>
          <w:b/>
          <w:bCs/>
        </w:rPr>
      </w:pPr>
      <w:r w:rsidRPr="00227748">
        <w:rPr>
          <w:b/>
          <w:bCs/>
        </w:rPr>
        <w:t>Table</w:t>
      </w:r>
      <w:r>
        <w:rPr>
          <w:b/>
          <w:bCs/>
        </w:rPr>
        <w:t> </w:t>
      </w:r>
      <w:r w:rsidR="00E66F6D">
        <w:rPr>
          <w:b/>
          <w:bCs/>
        </w:rPr>
        <w:t>3</w:t>
      </w:r>
      <w:r w:rsidRPr="00227748">
        <w:rPr>
          <w:b/>
          <w:bCs/>
        </w:rPr>
        <w:t>: Tr</w:t>
      </w:r>
      <w:r w:rsidRPr="00227748">
        <w:rPr>
          <w:b/>
          <w:bCs/>
        </w:rPr>
        <w:t xml:space="preserve">ansaminase elevations in patients </w:t>
      </w:r>
      <w:r w:rsidR="00E57A2C">
        <w:rPr>
          <w:b/>
          <w:bCs/>
        </w:rPr>
        <w:t>4</w:t>
      </w:r>
      <w:r>
        <w:rPr>
          <w:b/>
          <w:bCs/>
        </w:rPr>
        <w:t> </w:t>
      </w:r>
      <w:r w:rsidRPr="00227748">
        <w:rPr>
          <w:b/>
          <w:bCs/>
        </w:rPr>
        <w:t xml:space="preserve">months to &lt; </w:t>
      </w:r>
      <w:r>
        <w:rPr>
          <w:b/>
          <w:bCs/>
        </w:rPr>
        <w:t>12 </w:t>
      </w:r>
      <w:r w:rsidRPr="00227748">
        <w:rPr>
          <w:b/>
          <w:bCs/>
        </w:rPr>
        <w:t xml:space="preserve">years </w:t>
      </w:r>
      <w:r>
        <w:rPr>
          <w:b/>
          <w:bCs/>
        </w:rPr>
        <w:t>treated with ivacaftor as monotherapy</w:t>
      </w:r>
    </w:p>
    <w:tbl>
      <w:tblPr>
        <w:tblStyle w:val="TableGrid"/>
        <w:tblW w:w="0" w:type="auto"/>
        <w:tblInd w:w="137" w:type="dxa"/>
        <w:tblLook w:val="04A0" w:firstRow="1" w:lastRow="0" w:firstColumn="1" w:lastColumn="0" w:noHBand="0" w:noVBand="1"/>
      </w:tblPr>
      <w:tblGrid>
        <w:gridCol w:w="2422"/>
        <w:gridCol w:w="993"/>
        <w:gridCol w:w="1619"/>
        <w:gridCol w:w="1620"/>
        <w:gridCol w:w="1620"/>
      </w:tblGrid>
      <w:tr w:rsidR="00476058" w14:paraId="3C6185E4" w14:textId="77777777" w:rsidTr="00581CA2">
        <w:trPr>
          <w:trHeight w:val="579"/>
        </w:trPr>
        <w:tc>
          <w:tcPr>
            <w:tcW w:w="2422" w:type="dxa"/>
          </w:tcPr>
          <w:p w14:paraId="19128327" w14:textId="77777777" w:rsidR="00C072DE" w:rsidRPr="00227748" w:rsidRDefault="00C072DE" w:rsidP="00581CA2">
            <w:pPr>
              <w:rPr>
                <w:b/>
                <w:bCs/>
              </w:rPr>
            </w:pPr>
          </w:p>
        </w:tc>
        <w:tc>
          <w:tcPr>
            <w:tcW w:w="993" w:type="dxa"/>
          </w:tcPr>
          <w:p w14:paraId="763E32D3" w14:textId="77777777" w:rsidR="00C072DE" w:rsidRPr="00227748" w:rsidRDefault="005A3D7D" w:rsidP="00581CA2">
            <w:pPr>
              <w:jc w:val="center"/>
              <w:rPr>
                <w:b/>
                <w:bCs/>
              </w:rPr>
            </w:pPr>
            <w:r w:rsidRPr="00227748">
              <w:rPr>
                <w:b/>
                <w:bCs/>
              </w:rPr>
              <w:t>n</w:t>
            </w:r>
          </w:p>
        </w:tc>
        <w:tc>
          <w:tcPr>
            <w:tcW w:w="1619" w:type="dxa"/>
          </w:tcPr>
          <w:p w14:paraId="4B30C9AE" w14:textId="77777777" w:rsidR="00C072DE" w:rsidRPr="00227748" w:rsidRDefault="005A3D7D" w:rsidP="00581CA2">
            <w:pPr>
              <w:jc w:val="center"/>
              <w:rPr>
                <w:b/>
                <w:bCs/>
              </w:rPr>
            </w:pPr>
            <w:r>
              <w:rPr>
                <w:b/>
                <w:bCs/>
              </w:rPr>
              <w:t xml:space="preserve">% of Patients </w:t>
            </w:r>
            <w:r w:rsidRPr="00227748">
              <w:rPr>
                <w:b/>
                <w:bCs/>
              </w:rPr>
              <w:t xml:space="preserve">&gt; 3 </w:t>
            </w:r>
            <w:r>
              <w:rPr>
                <w:b/>
                <w:bCs/>
              </w:rPr>
              <w:t xml:space="preserve">x </w:t>
            </w:r>
            <w:r w:rsidRPr="00227748">
              <w:rPr>
                <w:b/>
                <w:bCs/>
              </w:rPr>
              <w:t>ULN</w:t>
            </w:r>
            <w:r>
              <w:rPr>
                <w:b/>
                <w:bCs/>
              </w:rPr>
              <w:t xml:space="preserve"> </w:t>
            </w:r>
          </w:p>
        </w:tc>
        <w:tc>
          <w:tcPr>
            <w:tcW w:w="1620" w:type="dxa"/>
          </w:tcPr>
          <w:p w14:paraId="29B5E9F6" w14:textId="77777777" w:rsidR="00C072DE" w:rsidRDefault="005A3D7D" w:rsidP="00581CA2">
            <w:pPr>
              <w:jc w:val="center"/>
              <w:rPr>
                <w:b/>
                <w:bCs/>
              </w:rPr>
            </w:pPr>
            <w:r>
              <w:rPr>
                <w:b/>
                <w:bCs/>
              </w:rPr>
              <w:t>% of Patients &gt;5 x ULN</w:t>
            </w:r>
          </w:p>
        </w:tc>
        <w:tc>
          <w:tcPr>
            <w:tcW w:w="1620" w:type="dxa"/>
          </w:tcPr>
          <w:p w14:paraId="42DD3C5D" w14:textId="77777777" w:rsidR="00C072DE" w:rsidRPr="00227748" w:rsidRDefault="005A3D7D" w:rsidP="00581CA2">
            <w:pPr>
              <w:jc w:val="center"/>
              <w:rPr>
                <w:b/>
                <w:bCs/>
              </w:rPr>
            </w:pPr>
            <w:r>
              <w:rPr>
                <w:b/>
                <w:bCs/>
              </w:rPr>
              <w:t xml:space="preserve">% of Patients </w:t>
            </w:r>
            <w:r w:rsidRPr="00227748">
              <w:rPr>
                <w:b/>
                <w:bCs/>
              </w:rPr>
              <w:t xml:space="preserve">&gt; 8 </w:t>
            </w:r>
            <w:r>
              <w:rPr>
                <w:b/>
                <w:bCs/>
              </w:rPr>
              <w:t xml:space="preserve">x </w:t>
            </w:r>
            <w:r w:rsidRPr="00227748">
              <w:rPr>
                <w:b/>
                <w:bCs/>
              </w:rPr>
              <w:t>ULN</w:t>
            </w:r>
          </w:p>
        </w:tc>
      </w:tr>
      <w:tr w:rsidR="00476058" w14:paraId="20070470" w14:textId="77777777" w:rsidTr="00581CA2">
        <w:trPr>
          <w:trHeight w:val="287"/>
        </w:trPr>
        <w:tc>
          <w:tcPr>
            <w:tcW w:w="2422" w:type="dxa"/>
          </w:tcPr>
          <w:p w14:paraId="045A47F6" w14:textId="77777777" w:rsidR="00C072DE" w:rsidRDefault="005A3D7D" w:rsidP="00581CA2">
            <w:r>
              <w:t>6 to &lt;12 years</w:t>
            </w:r>
          </w:p>
        </w:tc>
        <w:tc>
          <w:tcPr>
            <w:tcW w:w="993" w:type="dxa"/>
          </w:tcPr>
          <w:p w14:paraId="16874A76" w14:textId="77777777" w:rsidR="00C072DE" w:rsidRDefault="005A3D7D" w:rsidP="00581CA2">
            <w:pPr>
              <w:jc w:val="center"/>
            </w:pPr>
            <w:r>
              <w:t>40</w:t>
            </w:r>
          </w:p>
        </w:tc>
        <w:tc>
          <w:tcPr>
            <w:tcW w:w="1619" w:type="dxa"/>
          </w:tcPr>
          <w:p w14:paraId="5F405D25" w14:textId="77777777" w:rsidR="00C072DE" w:rsidRDefault="005A3D7D" w:rsidP="00581CA2">
            <w:pPr>
              <w:jc w:val="center"/>
            </w:pPr>
            <w:r>
              <w:t>15.0% (6)</w:t>
            </w:r>
          </w:p>
        </w:tc>
        <w:tc>
          <w:tcPr>
            <w:tcW w:w="1620" w:type="dxa"/>
          </w:tcPr>
          <w:p w14:paraId="43422AD5" w14:textId="77777777" w:rsidR="00C072DE" w:rsidRDefault="005A3D7D" w:rsidP="00581CA2">
            <w:pPr>
              <w:jc w:val="center"/>
            </w:pPr>
            <w:r>
              <w:t>2.5% (1)</w:t>
            </w:r>
          </w:p>
        </w:tc>
        <w:tc>
          <w:tcPr>
            <w:tcW w:w="1620" w:type="dxa"/>
          </w:tcPr>
          <w:p w14:paraId="5C7217C7" w14:textId="77777777" w:rsidR="00C072DE" w:rsidRDefault="005A3D7D" w:rsidP="00581CA2">
            <w:pPr>
              <w:jc w:val="center"/>
            </w:pPr>
            <w:r>
              <w:t>2.5% (1)</w:t>
            </w:r>
          </w:p>
        </w:tc>
      </w:tr>
      <w:tr w:rsidR="00476058" w14:paraId="001034E1" w14:textId="77777777" w:rsidTr="00581CA2">
        <w:trPr>
          <w:trHeight w:val="287"/>
        </w:trPr>
        <w:tc>
          <w:tcPr>
            <w:tcW w:w="2422" w:type="dxa"/>
          </w:tcPr>
          <w:p w14:paraId="4841F9AE" w14:textId="77777777" w:rsidR="00C072DE" w:rsidRDefault="005A3D7D" w:rsidP="00581CA2">
            <w:r>
              <w:t>2 to &lt;6 years</w:t>
            </w:r>
          </w:p>
        </w:tc>
        <w:tc>
          <w:tcPr>
            <w:tcW w:w="993" w:type="dxa"/>
          </w:tcPr>
          <w:p w14:paraId="26145C82" w14:textId="77777777" w:rsidR="00C072DE" w:rsidRDefault="005A3D7D" w:rsidP="00581CA2">
            <w:pPr>
              <w:jc w:val="center"/>
            </w:pPr>
            <w:r>
              <w:t>34</w:t>
            </w:r>
          </w:p>
        </w:tc>
        <w:tc>
          <w:tcPr>
            <w:tcW w:w="1619" w:type="dxa"/>
          </w:tcPr>
          <w:p w14:paraId="762DA7F6" w14:textId="77777777" w:rsidR="00C072DE" w:rsidRDefault="005A3D7D" w:rsidP="00581CA2">
            <w:pPr>
              <w:jc w:val="center"/>
            </w:pPr>
            <w:r>
              <w:t>14.7% (5)</w:t>
            </w:r>
          </w:p>
        </w:tc>
        <w:tc>
          <w:tcPr>
            <w:tcW w:w="1620" w:type="dxa"/>
          </w:tcPr>
          <w:p w14:paraId="5091862C" w14:textId="5CA34782" w:rsidR="00C072DE" w:rsidRDefault="005A3D7D" w:rsidP="00581CA2">
            <w:pPr>
              <w:jc w:val="center"/>
            </w:pPr>
            <w:r>
              <w:t>14.7</w:t>
            </w:r>
            <w:r w:rsidR="0056172A">
              <w:t xml:space="preserve">% </w:t>
            </w:r>
            <w:r>
              <w:t>(5)</w:t>
            </w:r>
          </w:p>
        </w:tc>
        <w:tc>
          <w:tcPr>
            <w:tcW w:w="1620" w:type="dxa"/>
          </w:tcPr>
          <w:p w14:paraId="79D51EEC" w14:textId="77777777" w:rsidR="00C072DE" w:rsidRDefault="005A3D7D" w:rsidP="00581CA2">
            <w:pPr>
              <w:jc w:val="center"/>
            </w:pPr>
            <w:r>
              <w:t>14.7% (5)</w:t>
            </w:r>
          </w:p>
        </w:tc>
      </w:tr>
      <w:tr w:rsidR="00476058" w14:paraId="3B50CFEF" w14:textId="77777777" w:rsidTr="00581CA2">
        <w:trPr>
          <w:trHeight w:val="287"/>
        </w:trPr>
        <w:tc>
          <w:tcPr>
            <w:tcW w:w="2422" w:type="dxa"/>
          </w:tcPr>
          <w:p w14:paraId="08C95A02" w14:textId="77777777" w:rsidR="00C072DE" w:rsidRDefault="005A3D7D" w:rsidP="00581CA2">
            <w:r>
              <w:t>12 to &lt;24 months</w:t>
            </w:r>
          </w:p>
        </w:tc>
        <w:tc>
          <w:tcPr>
            <w:tcW w:w="993" w:type="dxa"/>
          </w:tcPr>
          <w:p w14:paraId="2F8EB008" w14:textId="77777777" w:rsidR="00C072DE" w:rsidRDefault="005A3D7D" w:rsidP="00581CA2">
            <w:pPr>
              <w:jc w:val="center"/>
            </w:pPr>
            <w:r>
              <w:t>18</w:t>
            </w:r>
          </w:p>
        </w:tc>
        <w:tc>
          <w:tcPr>
            <w:tcW w:w="1619" w:type="dxa"/>
          </w:tcPr>
          <w:p w14:paraId="1003F7F9" w14:textId="77777777" w:rsidR="00C072DE" w:rsidRDefault="005A3D7D" w:rsidP="00581CA2">
            <w:pPr>
              <w:jc w:val="center"/>
            </w:pPr>
            <w:r>
              <w:t>27.8% (5)</w:t>
            </w:r>
          </w:p>
        </w:tc>
        <w:tc>
          <w:tcPr>
            <w:tcW w:w="1620" w:type="dxa"/>
          </w:tcPr>
          <w:p w14:paraId="034CBD4A" w14:textId="77777777" w:rsidR="00C072DE" w:rsidRDefault="005A3D7D" w:rsidP="00581CA2">
            <w:pPr>
              <w:jc w:val="center"/>
            </w:pPr>
            <w:r>
              <w:t>11.1% (2)</w:t>
            </w:r>
          </w:p>
        </w:tc>
        <w:tc>
          <w:tcPr>
            <w:tcW w:w="1620" w:type="dxa"/>
          </w:tcPr>
          <w:p w14:paraId="32066B58" w14:textId="77777777" w:rsidR="00C072DE" w:rsidRDefault="005A3D7D" w:rsidP="00581CA2">
            <w:pPr>
              <w:jc w:val="center"/>
            </w:pPr>
            <w:r>
              <w:t>11.1% (2)</w:t>
            </w:r>
          </w:p>
        </w:tc>
      </w:tr>
      <w:tr w:rsidR="00476058" w14:paraId="4F25FD75" w14:textId="77777777" w:rsidTr="00581CA2">
        <w:trPr>
          <w:trHeight w:val="274"/>
        </w:trPr>
        <w:tc>
          <w:tcPr>
            <w:tcW w:w="2422" w:type="dxa"/>
          </w:tcPr>
          <w:p w14:paraId="2645E0D0" w14:textId="77777777" w:rsidR="00C072DE" w:rsidRDefault="005A3D7D" w:rsidP="00581CA2">
            <w:r>
              <w:t>6 to &lt;12 months</w:t>
            </w:r>
          </w:p>
        </w:tc>
        <w:tc>
          <w:tcPr>
            <w:tcW w:w="993" w:type="dxa"/>
          </w:tcPr>
          <w:p w14:paraId="61CE4EFF" w14:textId="77777777" w:rsidR="00C072DE" w:rsidRDefault="005A3D7D" w:rsidP="00581CA2">
            <w:pPr>
              <w:jc w:val="center"/>
            </w:pPr>
            <w:r>
              <w:t>11</w:t>
            </w:r>
          </w:p>
        </w:tc>
        <w:tc>
          <w:tcPr>
            <w:tcW w:w="1619" w:type="dxa"/>
          </w:tcPr>
          <w:p w14:paraId="42B978C2" w14:textId="77777777" w:rsidR="00C072DE" w:rsidRDefault="005A3D7D" w:rsidP="00581CA2">
            <w:pPr>
              <w:jc w:val="center"/>
            </w:pPr>
            <w:r>
              <w:t>9.1% (1)</w:t>
            </w:r>
          </w:p>
        </w:tc>
        <w:tc>
          <w:tcPr>
            <w:tcW w:w="1620" w:type="dxa"/>
          </w:tcPr>
          <w:p w14:paraId="605A886F" w14:textId="77777777" w:rsidR="00C072DE" w:rsidRDefault="005A3D7D" w:rsidP="00581CA2">
            <w:pPr>
              <w:jc w:val="center"/>
            </w:pPr>
            <w:r>
              <w:t>0.0% (0)</w:t>
            </w:r>
          </w:p>
        </w:tc>
        <w:tc>
          <w:tcPr>
            <w:tcW w:w="1620" w:type="dxa"/>
          </w:tcPr>
          <w:p w14:paraId="0C3101FD" w14:textId="77777777" w:rsidR="00C072DE" w:rsidRDefault="005A3D7D" w:rsidP="00581CA2">
            <w:pPr>
              <w:jc w:val="center"/>
            </w:pPr>
            <w:r>
              <w:t>0.0% (0)</w:t>
            </w:r>
          </w:p>
        </w:tc>
      </w:tr>
      <w:tr w:rsidR="00476058" w14:paraId="3A39E789" w14:textId="77777777" w:rsidTr="00581CA2">
        <w:trPr>
          <w:trHeight w:val="274"/>
        </w:trPr>
        <w:tc>
          <w:tcPr>
            <w:tcW w:w="2422" w:type="dxa"/>
          </w:tcPr>
          <w:p w14:paraId="3C197925" w14:textId="5ACAAA91" w:rsidR="004F0618" w:rsidRDefault="005A3D7D" w:rsidP="00581CA2">
            <w:r>
              <w:t>4 to &lt;6 months</w:t>
            </w:r>
          </w:p>
        </w:tc>
        <w:tc>
          <w:tcPr>
            <w:tcW w:w="993" w:type="dxa"/>
          </w:tcPr>
          <w:p w14:paraId="38496166" w14:textId="2BFE52EC" w:rsidR="004F0618" w:rsidRDefault="005A3D7D" w:rsidP="00581CA2">
            <w:pPr>
              <w:jc w:val="center"/>
            </w:pPr>
            <w:r>
              <w:t>6</w:t>
            </w:r>
          </w:p>
        </w:tc>
        <w:tc>
          <w:tcPr>
            <w:tcW w:w="1619" w:type="dxa"/>
          </w:tcPr>
          <w:p w14:paraId="722A618A" w14:textId="3D31FD79" w:rsidR="004F0618" w:rsidRDefault="005A3D7D" w:rsidP="00581CA2">
            <w:pPr>
              <w:jc w:val="center"/>
            </w:pPr>
            <w:r>
              <w:t>0.0% (0)</w:t>
            </w:r>
          </w:p>
        </w:tc>
        <w:tc>
          <w:tcPr>
            <w:tcW w:w="1620" w:type="dxa"/>
          </w:tcPr>
          <w:p w14:paraId="5EECE304" w14:textId="41D5E745" w:rsidR="004F0618" w:rsidRDefault="005A3D7D" w:rsidP="00581CA2">
            <w:pPr>
              <w:jc w:val="center"/>
            </w:pPr>
            <w:r>
              <w:t>0.0% (0)</w:t>
            </w:r>
          </w:p>
        </w:tc>
        <w:tc>
          <w:tcPr>
            <w:tcW w:w="1620" w:type="dxa"/>
          </w:tcPr>
          <w:p w14:paraId="40CE0245" w14:textId="46161383" w:rsidR="004F0618" w:rsidRDefault="005A3D7D" w:rsidP="00581CA2">
            <w:pPr>
              <w:jc w:val="center"/>
            </w:pPr>
            <w:r>
              <w:t>0.0% (0)</w:t>
            </w:r>
          </w:p>
        </w:tc>
      </w:tr>
    </w:tbl>
    <w:p w14:paraId="7F795455" w14:textId="77777777" w:rsidR="007A4B17" w:rsidRDefault="007A4B17" w:rsidP="001F42DB"/>
    <w:p w14:paraId="6CA5311E" w14:textId="77777777" w:rsidR="00096B0E" w:rsidRDefault="005A3D7D" w:rsidP="00A0798C">
      <w:pPr>
        <w:keepNext/>
        <w:spacing w:line="240" w:lineRule="auto"/>
        <w:rPr>
          <w:u w:val="single"/>
        </w:rPr>
      </w:pPr>
      <w:r w:rsidRPr="00A808AC">
        <w:rPr>
          <w:u w:val="single"/>
        </w:rPr>
        <w:t>Reporting of suspected adverse reactions</w:t>
      </w:r>
    </w:p>
    <w:p w14:paraId="185A5000" w14:textId="77777777" w:rsidR="00487EC4" w:rsidRPr="00A808AC" w:rsidRDefault="00487EC4" w:rsidP="0069106A">
      <w:pPr>
        <w:keepNext/>
        <w:spacing w:line="240" w:lineRule="auto"/>
        <w:rPr>
          <w:u w:val="single"/>
        </w:rPr>
      </w:pPr>
    </w:p>
    <w:p w14:paraId="5BBBCC77" w14:textId="77777777" w:rsidR="00096B0E" w:rsidRPr="00A808AC" w:rsidRDefault="005A3D7D" w:rsidP="000A093B">
      <w:pPr>
        <w:keepNext/>
        <w:spacing w:line="240" w:lineRule="auto"/>
      </w:pPr>
      <w:r w:rsidRPr="00A808AC">
        <w:t>Reporting suspected adverse reactions after authorisation of the medicinal product is important. It allows continued monitoring of the benefit/risk balance of the medicinal product. Healthcare professionals are asked to report any suspected adverse reactio</w:t>
      </w:r>
      <w:r w:rsidRPr="00A808AC">
        <w:t xml:space="preserve">ns via </w:t>
      </w:r>
      <w:r w:rsidRPr="00ED1D45">
        <w:rPr>
          <w:highlight w:val="lightGray"/>
        </w:rPr>
        <w:t xml:space="preserve">the national reporting system listed in </w:t>
      </w:r>
      <w:hyperlink r:id="rId15" w:history="1">
        <w:r w:rsidRPr="00FD10F5">
          <w:rPr>
            <w:rStyle w:val="Hyperlink"/>
            <w:color w:val="auto"/>
            <w:highlight w:val="lightGray"/>
          </w:rPr>
          <w:t>Appendix V</w:t>
        </w:r>
      </w:hyperlink>
      <w:r w:rsidRPr="00A808AC">
        <w:t>.</w:t>
      </w:r>
    </w:p>
    <w:p w14:paraId="4E9FE179" w14:textId="77777777" w:rsidR="00096B0E" w:rsidRPr="00A808AC" w:rsidRDefault="00096B0E" w:rsidP="00B95574"/>
    <w:p w14:paraId="6699BC8A" w14:textId="77777777" w:rsidR="00096B0E" w:rsidRPr="00D54A68" w:rsidRDefault="005A3D7D" w:rsidP="006C4477">
      <w:pPr>
        <w:pStyle w:val="Heading2"/>
        <w:spacing w:before="0" w:after="0"/>
      </w:pPr>
      <w:r w:rsidRPr="006C4477">
        <w:rPr>
          <w:sz w:val="22"/>
        </w:rPr>
        <w:t>4.9</w:t>
      </w:r>
      <w:r w:rsidRPr="006C4477">
        <w:rPr>
          <w:sz w:val="22"/>
        </w:rPr>
        <w:tab/>
        <w:t>Overdose</w:t>
      </w:r>
    </w:p>
    <w:p w14:paraId="32E2F551" w14:textId="77777777" w:rsidR="00096B0E" w:rsidRPr="00A808AC" w:rsidRDefault="00096B0E" w:rsidP="00096B0E">
      <w:pPr>
        <w:pStyle w:val="labeltext"/>
        <w:keepNext/>
        <w:rPr>
          <w:sz w:val="22"/>
          <w:szCs w:val="22"/>
        </w:rPr>
      </w:pPr>
    </w:p>
    <w:p w14:paraId="47E9EF94" w14:textId="77777777" w:rsidR="00096B0E" w:rsidRPr="00A808AC" w:rsidRDefault="005A3D7D" w:rsidP="00096B0E">
      <w:pPr>
        <w:pStyle w:val="labeltext"/>
        <w:keepNext/>
        <w:rPr>
          <w:sz w:val="22"/>
          <w:szCs w:val="22"/>
        </w:rPr>
      </w:pPr>
      <w:r w:rsidRPr="00A808AC">
        <w:rPr>
          <w:sz w:val="22"/>
          <w:szCs w:val="22"/>
        </w:rPr>
        <w:t xml:space="preserve">No specific antidote is available for overdose with </w:t>
      </w:r>
      <w:r w:rsidR="002F0F4B" w:rsidRPr="00A808AC">
        <w:rPr>
          <w:sz w:val="22"/>
          <w:szCs w:val="22"/>
        </w:rPr>
        <w:t>ivacaftor</w:t>
      </w:r>
      <w:r w:rsidRPr="00A808AC">
        <w:rPr>
          <w:sz w:val="22"/>
          <w:szCs w:val="22"/>
        </w:rPr>
        <w:t>. Treatment of overdose consists of general supportive measures including monitoring of vital signs, liver function tests and observation of the clinical status of the patient.</w:t>
      </w:r>
    </w:p>
    <w:p w14:paraId="7498E1B8" w14:textId="77777777" w:rsidR="00096B0E" w:rsidRPr="00A808AC" w:rsidRDefault="00096B0E" w:rsidP="00096B0E">
      <w:pPr>
        <w:suppressLineNumbers/>
        <w:spacing w:line="240" w:lineRule="auto"/>
      </w:pPr>
    </w:p>
    <w:p w14:paraId="281851B2" w14:textId="77777777" w:rsidR="00096B0E" w:rsidRPr="00A808AC" w:rsidRDefault="00096B0E" w:rsidP="00096B0E">
      <w:pPr>
        <w:suppressLineNumbers/>
        <w:spacing w:line="240" w:lineRule="auto"/>
      </w:pPr>
    </w:p>
    <w:p w14:paraId="4802EB43" w14:textId="77777777" w:rsidR="00096B0E" w:rsidRPr="007B0741" w:rsidRDefault="005A3D7D" w:rsidP="006C4477">
      <w:pPr>
        <w:pStyle w:val="Heading1"/>
        <w:spacing w:before="0" w:after="0"/>
        <w:rPr>
          <w:sz w:val="22"/>
          <w:szCs w:val="22"/>
        </w:rPr>
      </w:pPr>
      <w:r w:rsidRPr="00C83CF5">
        <w:rPr>
          <w:rFonts w:ascii="Times New Roman" w:hAnsi="Times New Roman"/>
          <w:sz w:val="22"/>
          <w:szCs w:val="22"/>
        </w:rPr>
        <w:t>5.</w:t>
      </w:r>
      <w:r w:rsidRPr="00C83CF5">
        <w:rPr>
          <w:rFonts w:ascii="Times New Roman" w:hAnsi="Times New Roman"/>
          <w:sz w:val="22"/>
          <w:szCs w:val="22"/>
        </w:rPr>
        <w:tab/>
        <w:t>PHARMACOLOGIC</w:t>
      </w:r>
      <w:r w:rsidRPr="00C83CF5">
        <w:rPr>
          <w:rFonts w:ascii="Times New Roman" w:hAnsi="Times New Roman"/>
          <w:sz w:val="22"/>
          <w:szCs w:val="22"/>
        </w:rPr>
        <w:t>AL PROPERTIES</w:t>
      </w:r>
    </w:p>
    <w:p w14:paraId="33083BC3" w14:textId="77777777" w:rsidR="00096B0E" w:rsidRPr="00A808AC" w:rsidRDefault="00096B0E" w:rsidP="00096B0E">
      <w:pPr>
        <w:suppressLineNumbers/>
        <w:spacing w:line="240" w:lineRule="auto"/>
      </w:pPr>
    </w:p>
    <w:p w14:paraId="5DE97A2F" w14:textId="77777777" w:rsidR="00096B0E" w:rsidRPr="00A808AC" w:rsidRDefault="005A3D7D" w:rsidP="000A093B">
      <w:pPr>
        <w:keepNext/>
        <w:numPr>
          <w:ilvl w:val="1"/>
          <w:numId w:val="17"/>
        </w:numPr>
        <w:suppressLineNumbers/>
        <w:spacing w:line="240" w:lineRule="auto"/>
        <w:outlineLvl w:val="1"/>
        <w:rPr>
          <w:b/>
          <w:bCs/>
        </w:rPr>
      </w:pPr>
      <w:r w:rsidRPr="00A808AC">
        <w:rPr>
          <w:b/>
          <w:bCs/>
        </w:rPr>
        <w:t>Pharmacodynamic properties</w:t>
      </w:r>
    </w:p>
    <w:p w14:paraId="61014ED0" w14:textId="77777777" w:rsidR="00096B0E" w:rsidRPr="00A808AC" w:rsidRDefault="00096B0E" w:rsidP="000A093B">
      <w:pPr>
        <w:keepNext/>
        <w:suppressLineNumbers/>
        <w:spacing w:line="240" w:lineRule="auto"/>
        <w:outlineLvl w:val="0"/>
        <w:rPr>
          <w:i/>
          <w:iCs/>
        </w:rPr>
      </w:pPr>
    </w:p>
    <w:p w14:paraId="0A39776E" w14:textId="77777777" w:rsidR="00096B0E" w:rsidRPr="00A808AC" w:rsidRDefault="005A3D7D" w:rsidP="000A093B">
      <w:pPr>
        <w:keepNext/>
        <w:spacing w:line="240" w:lineRule="auto"/>
        <w:outlineLvl w:val="0"/>
        <w:rPr>
          <w:i/>
          <w:iCs/>
        </w:rPr>
      </w:pPr>
      <w:r w:rsidRPr="00A808AC">
        <w:t>Pharmacotherapeutic group: Other respiratory system products</w:t>
      </w:r>
      <w:r w:rsidR="004F7F85" w:rsidRPr="00A808AC">
        <w:t>,</w:t>
      </w:r>
      <w:r w:rsidRPr="00A808AC">
        <w:t xml:space="preserve"> ATC code</w:t>
      </w:r>
      <w:r w:rsidR="004F7F85" w:rsidRPr="00A808AC">
        <w:t xml:space="preserve">: </w:t>
      </w:r>
      <w:r w:rsidRPr="00A808AC">
        <w:rPr>
          <w:rFonts w:eastAsia="MS Mincho"/>
          <w:bCs/>
          <w:lang w:val="en-US" w:eastAsia="ja-JP"/>
        </w:rPr>
        <w:t>R07AX02</w:t>
      </w:r>
    </w:p>
    <w:p w14:paraId="59A75FB8" w14:textId="77777777" w:rsidR="00096B0E" w:rsidRPr="00A808AC" w:rsidRDefault="00096B0E" w:rsidP="000A093B">
      <w:pPr>
        <w:keepNext/>
        <w:numPr>
          <w:ilvl w:val="12"/>
          <w:numId w:val="0"/>
        </w:numPr>
        <w:spacing w:line="240" w:lineRule="auto"/>
        <w:ind w:right="-2"/>
        <w:rPr>
          <w:u w:val="single"/>
        </w:rPr>
      </w:pPr>
    </w:p>
    <w:p w14:paraId="05100EDB" w14:textId="77777777" w:rsidR="00096B0E" w:rsidRDefault="005A3D7D" w:rsidP="000A093B">
      <w:pPr>
        <w:keepNext/>
        <w:numPr>
          <w:ilvl w:val="12"/>
          <w:numId w:val="0"/>
        </w:numPr>
        <w:spacing w:line="240" w:lineRule="auto"/>
        <w:ind w:right="-2"/>
        <w:rPr>
          <w:u w:val="single"/>
        </w:rPr>
      </w:pPr>
      <w:r w:rsidRPr="00A808AC">
        <w:rPr>
          <w:u w:val="single"/>
        </w:rPr>
        <w:t>Mechanism of action</w:t>
      </w:r>
    </w:p>
    <w:p w14:paraId="5416A872" w14:textId="77777777" w:rsidR="00487EC4" w:rsidRPr="00A808AC" w:rsidRDefault="00487EC4" w:rsidP="000A093B">
      <w:pPr>
        <w:keepNext/>
        <w:numPr>
          <w:ilvl w:val="12"/>
          <w:numId w:val="0"/>
        </w:numPr>
        <w:spacing w:line="240" w:lineRule="auto"/>
        <w:ind w:right="-2"/>
        <w:rPr>
          <w:u w:val="single"/>
        </w:rPr>
      </w:pPr>
    </w:p>
    <w:p w14:paraId="044902CC" w14:textId="467F3F24" w:rsidR="009604B5" w:rsidRDefault="005A3D7D" w:rsidP="000A093B">
      <w:pPr>
        <w:keepNext/>
        <w:rPr>
          <w:bCs/>
        </w:rPr>
      </w:pPr>
      <w:r w:rsidRPr="00A808AC">
        <w:rPr>
          <w:bCs/>
        </w:rPr>
        <w:t xml:space="preserve">Ivacaftor is a potentiator of the CFTR protein, i.e., </w:t>
      </w:r>
      <w:r w:rsidRPr="00A808AC">
        <w:rPr>
          <w:bCs/>
          <w:i/>
        </w:rPr>
        <w:t>in</w:t>
      </w:r>
      <w:r w:rsidR="0062140B" w:rsidRPr="00A808AC">
        <w:rPr>
          <w:bCs/>
          <w:i/>
        </w:rPr>
        <w:t> </w:t>
      </w:r>
      <w:r w:rsidRPr="00A808AC">
        <w:rPr>
          <w:bCs/>
          <w:i/>
        </w:rPr>
        <w:t>vitro</w:t>
      </w:r>
      <w:r w:rsidRPr="00A808AC">
        <w:rPr>
          <w:bCs/>
        </w:rPr>
        <w:t xml:space="preserve"> ivacaftor increases CFTR channel gating to enhan</w:t>
      </w:r>
      <w:r w:rsidRPr="00A808AC">
        <w:rPr>
          <w:bCs/>
        </w:rPr>
        <w:t xml:space="preserve">ce chloride transport </w:t>
      </w:r>
      <w:r w:rsidR="00EB3D56" w:rsidRPr="00161C70">
        <w:rPr>
          <w:bCs/>
        </w:rPr>
        <w:t>in specified gating mutations (as listed in section 4.1) with reduced channel</w:t>
      </w:r>
      <w:r w:rsidR="00EB3D56" w:rsidRPr="00161C70">
        <w:rPr>
          <w:bCs/>
        </w:rPr>
        <w:noBreakHyphen/>
        <w:t xml:space="preserve">open probability </w:t>
      </w:r>
      <w:r w:rsidR="00EB3D56" w:rsidRPr="00161C70">
        <w:rPr>
          <w:bCs/>
          <w:iCs/>
        </w:rPr>
        <w:t>compared to normal CFTR</w:t>
      </w:r>
      <w:r w:rsidR="00EB3D56" w:rsidRPr="00161C70">
        <w:rPr>
          <w:bCs/>
        </w:rPr>
        <w:t xml:space="preserve">. </w:t>
      </w:r>
      <w:r w:rsidR="00E74C79">
        <w:rPr>
          <w:bCs/>
        </w:rPr>
        <w:t>Ivacaftor also potentiated the channel</w:t>
      </w:r>
      <w:r w:rsidR="007F791C">
        <w:rPr>
          <w:bCs/>
        </w:rPr>
        <w:t>-</w:t>
      </w:r>
      <w:r w:rsidR="00E74C79">
        <w:rPr>
          <w:bCs/>
        </w:rPr>
        <w:t xml:space="preserve">open probability of </w:t>
      </w:r>
      <w:r w:rsidR="00E74C79" w:rsidRPr="005B33E1">
        <w:rPr>
          <w:bCs/>
          <w:iCs/>
        </w:rPr>
        <w:t>R117H</w:t>
      </w:r>
      <w:r w:rsidR="002C0496" w:rsidRPr="005B33E1">
        <w:rPr>
          <w:bCs/>
          <w:iCs/>
        </w:rPr>
        <w:t>-</w:t>
      </w:r>
      <w:r w:rsidR="00E74C79" w:rsidRPr="005B33E1">
        <w:rPr>
          <w:bCs/>
          <w:iCs/>
        </w:rPr>
        <w:t>CFTR</w:t>
      </w:r>
      <w:r w:rsidR="00E74C79">
        <w:rPr>
          <w:bCs/>
        </w:rPr>
        <w:t>, which has both low channel</w:t>
      </w:r>
      <w:r w:rsidR="007F791C">
        <w:rPr>
          <w:bCs/>
        </w:rPr>
        <w:t>-</w:t>
      </w:r>
      <w:r w:rsidR="00E74C79">
        <w:rPr>
          <w:bCs/>
        </w:rPr>
        <w:t xml:space="preserve">open probability (gating) and reduced channel current amplitude (conductance). </w:t>
      </w:r>
      <w:r>
        <w:rPr>
          <w:bCs/>
        </w:rPr>
        <w:t xml:space="preserve">The </w:t>
      </w:r>
      <w:r w:rsidRPr="009F5AD4">
        <w:rPr>
          <w:bCs/>
          <w:i/>
        </w:rPr>
        <w:t xml:space="preserve">G970R </w:t>
      </w:r>
      <w:r>
        <w:rPr>
          <w:bCs/>
        </w:rPr>
        <w:t xml:space="preserve">mutation causes a splicing defect resulting in little-to-no CFTR protein at the cell surface which may explain the results observed in subjects with this mutation in </w:t>
      </w:r>
      <w:r w:rsidR="0032138D">
        <w:rPr>
          <w:bCs/>
        </w:rPr>
        <w:t>study </w:t>
      </w:r>
      <w:r>
        <w:rPr>
          <w:bCs/>
        </w:rPr>
        <w:t>5 (see Pharmacodynamic effects and Clinical efficacy data).</w:t>
      </w:r>
      <w:r w:rsidRPr="00161C70">
        <w:rPr>
          <w:bCs/>
        </w:rPr>
        <w:t xml:space="preserve"> </w:t>
      </w:r>
    </w:p>
    <w:p w14:paraId="7FFCF65E" w14:textId="77777777" w:rsidR="002C0496" w:rsidRDefault="002C0496" w:rsidP="000A093B">
      <w:pPr>
        <w:keepNext/>
        <w:rPr>
          <w:bCs/>
        </w:rPr>
      </w:pPr>
    </w:p>
    <w:p w14:paraId="26845F13" w14:textId="77777777" w:rsidR="00096B0E" w:rsidRPr="00A808AC" w:rsidRDefault="005A3D7D" w:rsidP="00D54A68">
      <w:pPr>
        <w:spacing w:line="240" w:lineRule="auto"/>
      </w:pPr>
      <w:r w:rsidRPr="00A808AC">
        <w:rPr>
          <w:bCs/>
          <w:i/>
        </w:rPr>
        <w:t>In</w:t>
      </w:r>
      <w:r w:rsidR="0062140B" w:rsidRPr="00A808AC">
        <w:rPr>
          <w:bCs/>
          <w:i/>
        </w:rPr>
        <w:t> </w:t>
      </w:r>
      <w:r w:rsidRPr="00A808AC">
        <w:rPr>
          <w:bCs/>
          <w:i/>
        </w:rPr>
        <w:t>vitro</w:t>
      </w:r>
      <w:r w:rsidRPr="00A808AC">
        <w:rPr>
          <w:bCs/>
        </w:rPr>
        <w:t xml:space="preserve"> responses seen in single channel patch clamp experiments using membrane patches from rodent cells expressing mutant CFTR forms do not necessarily correspond to </w:t>
      </w:r>
      <w:r w:rsidRPr="00A808AC">
        <w:rPr>
          <w:bCs/>
          <w:i/>
        </w:rPr>
        <w:t xml:space="preserve">in vivo </w:t>
      </w:r>
      <w:r w:rsidRPr="00A808AC">
        <w:rPr>
          <w:bCs/>
        </w:rPr>
        <w:t>pharmacodyna</w:t>
      </w:r>
      <w:r w:rsidRPr="00A808AC">
        <w:rPr>
          <w:bCs/>
        </w:rPr>
        <w:t xml:space="preserve">mic response (e.g., sweat chloride) or clinical benefit. </w:t>
      </w:r>
      <w:r w:rsidRPr="00A808AC">
        <w:t>The exact mechanism leading ivacaftor to potentiate the gating activity of normal and some mutant CFTR forms in this system has not been completely elucidated.</w:t>
      </w:r>
    </w:p>
    <w:p w14:paraId="3F40172C" w14:textId="77777777" w:rsidR="00096B0E" w:rsidRPr="00A808AC" w:rsidRDefault="00096B0E" w:rsidP="00D54A68">
      <w:pPr>
        <w:spacing w:line="240" w:lineRule="auto"/>
        <w:rPr>
          <w:u w:val="single"/>
        </w:rPr>
      </w:pPr>
    </w:p>
    <w:p w14:paraId="18C5C077" w14:textId="77777777" w:rsidR="00096B0E" w:rsidRPr="00A808AC" w:rsidRDefault="005A3D7D" w:rsidP="000A093B">
      <w:pPr>
        <w:keepNext/>
        <w:spacing w:line="240" w:lineRule="auto"/>
        <w:rPr>
          <w:i/>
          <w:iCs/>
        </w:rPr>
      </w:pPr>
      <w:r w:rsidRPr="00A808AC">
        <w:rPr>
          <w:u w:val="single"/>
        </w:rPr>
        <w:t>Pharmacodynamic effects</w:t>
      </w:r>
    </w:p>
    <w:p w14:paraId="757541A9" w14:textId="77777777" w:rsidR="00C47E5C" w:rsidRPr="0027198F" w:rsidRDefault="00C47E5C" w:rsidP="000A093B">
      <w:pPr>
        <w:keepNext/>
        <w:rPr>
          <w:i/>
        </w:rPr>
      </w:pPr>
    </w:p>
    <w:p w14:paraId="2E64E595" w14:textId="77777777" w:rsidR="00096B0E" w:rsidRPr="006C4477" w:rsidRDefault="005A3D7D" w:rsidP="000A093B">
      <w:pPr>
        <w:keepNext/>
      </w:pPr>
      <w:r w:rsidRPr="00ED1D45">
        <w:t xml:space="preserve">In studies 1 and 2 in patients with the </w:t>
      </w:r>
      <w:r w:rsidRPr="00BA47B4">
        <w:rPr>
          <w:i/>
        </w:rPr>
        <w:t xml:space="preserve">G551D </w:t>
      </w:r>
      <w:r w:rsidRPr="00BA47B4">
        <w:t xml:space="preserve">mutation in one allele of the </w:t>
      </w:r>
      <w:r w:rsidRPr="006C4477">
        <w:rPr>
          <w:i/>
        </w:rPr>
        <w:t>CFTR</w:t>
      </w:r>
      <w:r w:rsidRPr="006C4477">
        <w:t xml:space="preserve"> gene, ivacaftor led to rapid (15 days), substantial (the mean change in sweat chloride from baseline through </w:t>
      </w:r>
      <w:r w:rsidR="00C72FA0">
        <w:t>w</w:t>
      </w:r>
      <w:r w:rsidR="007262E5" w:rsidRPr="00A808AC">
        <w:t>eek</w:t>
      </w:r>
      <w:r w:rsidR="007262E5" w:rsidRPr="00ED1D45">
        <w:t> </w:t>
      </w:r>
      <w:r w:rsidRPr="00BA47B4">
        <w:t>24 was</w:t>
      </w:r>
      <w:r w:rsidR="007178AD" w:rsidRPr="00BA47B4">
        <w:t xml:space="preserve"> </w:t>
      </w:r>
      <w:r w:rsidRPr="006C4477">
        <w:noBreakHyphen/>
        <w:t xml:space="preserve">48 mmol/L [95% CI </w:t>
      </w:r>
      <w:r w:rsidR="00C334C0" w:rsidRPr="006C4477">
        <w:noBreakHyphen/>
      </w:r>
      <w:r w:rsidRPr="006C4477">
        <w:t xml:space="preserve">51, </w:t>
      </w:r>
      <w:r w:rsidR="00C334C0" w:rsidRPr="006C4477">
        <w:noBreakHyphen/>
      </w:r>
      <w:r w:rsidRPr="006C4477">
        <w:t xml:space="preserve">45] and </w:t>
      </w:r>
      <w:r w:rsidR="00C334C0" w:rsidRPr="006C4477">
        <w:noBreakHyphen/>
        <w:t xml:space="preserve">54 mmol/L [95% CI </w:t>
      </w:r>
      <w:r w:rsidR="00C334C0" w:rsidRPr="006C4477">
        <w:noBreakHyphen/>
        <w:t xml:space="preserve">62, </w:t>
      </w:r>
      <w:r w:rsidR="00C334C0" w:rsidRPr="006C4477">
        <w:noBreakHyphen/>
      </w:r>
      <w:r w:rsidRPr="006C4477">
        <w:t>47], respectively) and sustained (through 48 weeks) reductions in sweat chloride concentration.</w:t>
      </w:r>
    </w:p>
    <w:p w14:paraId="6FC86243" w14:textId="77777777" w:rsidR="00096B0E" w:rsidRPr="006C4477" w:rsidRDefault="00096B0E" w:rsidP="006C4477">
      <w:pPr>
        <w:rPr>
          <w:u w:val="single"/>
        </w:rPr>
      </w:pPr>
    </w:p>
    <w:p w14:paraId="756E9C13" w14:textId="1AA6316E" w:rsidR="00096B0E" w:rsidRPr="006C4477" w:rsidRDefault="005A3D7D" w:rsidP="006C4477">
      <w:r w:rsidRPr="006C4477">
        <w:t xml:space="preserve">In </w:t>
      </w:r>
      <w:r w:rsidR="0032138D">
        <w:t>study </w:t>
      </w:r>
      <w:r w:rsidRPr="006C4477">
        <w:t>5, part 1 in patients who had a non-</w:t>
      </w:r>
      <w:r w:rsidRPr="006C4477">
        <w:rPr>
          <w:i/>
        </w:rPr>
        <w:t>G551D</w:t>
      </w:r>
      <w:r w:rsidRPr="006C4477">
        <w:t xml:space="preserve"> gating mutation in the </w:t>
      </w:r>
      <w:r w:rsidRPr="006C4477">
        <w:rPr>
          <w:i/>
        </w:rPr>
        <w:t>CFTR</w:t>
      </w:r>
      <w:r w:rsidRPr="006C4477">
        <w:t xml:space="preserve"> gene, treatment with ivacaftor led to a rapid (15 days) </w:t>
      </w:r>
      <w:r w:rsidRPr="006C4477">
        <w:t>and substantial mean change from baseline in sweat chlor</w:t>
      </w:r>
      <w:r w:rsidR="007178AD" w:rsidRPr="006C4477">
        <w:t xml:space="preserve">ide of </w:t>
      </w:r>
      <w:r w:rsidR="007178AD" w:rsidRPr="006C4477">
        <w:noBreakHyphen/>
        <w:t xml:space="preserve">49 mmol/L (95% CI </w:t>
      </w:r>
      <w:r w:rsidR="007178AD" w:rsidRPr="006C4477">
        <w:noBreakHyphen/>
        <w:t xml:space="preserve">57, </w:t>
      </w:r>
      <w:r w:rsidR="007178AD" w:rsidRPr="006C4477">
        <w:noBreakHyphen/>
      </w:r>
      <w:r w:rsidRPr="006C4477">
        <w:t xml:space="preserve">41) through 8 weeks of treatment. However, in patients with the </w:t>
      </w:r>
      <w:r w:rsidRPr="006C4477">
        <w:rPr>
          <w:i/>
        </w:rPr>
        <w:t>G970R</w:t>
      </w:r>
      <w:r w:rsidR="007178AD" w:rsidRPr="006C4477">
        <w:noBreakHyphen/>
      </w:r>
      <w:r w:rsidRPr="006C4477">
        <w:rPr>
          <w:i/>
        </w:rPr>
        <w:t>CFTR</w:t>
      </w:r>
      <w:r w:rsidRPr="006C4477">
        <w:t xml:space="preserve"> mutation, the mean (SD) absolute change in sweat chloride at </w:t>
      </w:r>
      <w:r w:rsidR="00C72FA0">
        <w:t>w</w:t>
      </w:r>
      <w:r w:rsidR="007262E5" w:rsidRPr="00A808AC">
        <w:t>eek</w:t>
      </w:r>
      <w:r w:rsidR="007262E5" w:rsidRPr="00ED1D45">
        <w:t> </w:t>
      </w:r>
      <w:r w:rsidRPr="00BA47B4">
        <w:t xml:space="preserve">8 was </w:t>
      </w:r>
      <w:r w:rsidR="007178AD" w:rsidRPr="00BA47B4">
        <w:noBreakHyphen/>
      </w:r>
      <w:r w:rsidRPr="006C4477">
        <w:t xml:space="preserve">6.25 (6.55) mmol/L. </w:t>
      </w:r>
      <w:r w:rsidRPr="006C4477">
        <w:t>Similar results to part 1 were seen in part 2 of the study. At the 4</w:t>
      </w:r>
      <w:r w:rsidRPr="006C4477">
        <w:noBreakHyphen/>
        <w:t>week follow</w:t>
      </w:r>
      <w:r w:rsidRPr="006C4477">
        <w:noBreakHyphen/>
        <w:t>up visit (4 weeks after dosing with ivacaftor ended), mean sweat chloride values for each group were trending to pre</w:t>
      </w:r>
      <w:r w:rsidRPr="006C4477">
        <w:noBreakHyphen/>
        <w:t>treatment levels.</w:t>
      </w:r>
    </w:p>
    <w:p w14:paraId="2F6668EF" w14:textId="77777777" w:rsidR="00096B0E" w:rsidRDefault="00096B0E" w:rsidP="006C4477"/>
    <w:p w14:paraId="06D45F30" w14:textId="74C30B45" w:rsidR="00E74C79" w:rsidRPr="002418BD" w:rsidRDefault="005A3D7D" w:rsidP="000A093B">
      <w:r w:rsidRPr="00E238A9">
        <w:t xml:space="preserve">In study 6 in patients aged 6 years or </w:t>
      </w:r>
      <w:r w:rsidRPr="00E238A9">
        <w:t xml:space="preserve">older with CF who had an </w:t>
      </w:r>
      <w:r w:rsidRPr="002418BD">
        <w:rPr>
          <w:i/>
        </w:rPr>
        <w:t>R117H</w:t>
      </w:r>
      <w:r w:rsidRPr="002418BD">
        <w:t xml:space="preserve"> mutation in the </w:t>
      </w:r>
      <w:r w:rsidRPr="002418BD">
        <w:rPr>
          <w:i/>
        </w:rPr>
        <w:t>CFTR</w:t>
      </w:r>
      <w:r w:rsidRPr="002418BD">
        <w:t xml:space="preserve"> gene, the treatment difference in mean change in sweat chloride from baseline through 24 weeks of treatment was </w:t>
      </w:r>
      <w:r w:rsidRPr="002418BD">
        <w:noBreakHyphen/>
        <w:t xml:space="preserve">24 mmol/L (95% CI </w:t>
      </w:r>
      <w:r w:rsidRPr="002418BD">
        <w:noBreakHyphen/>
        <w:t xml:space="preserve">28, </w:t>
      </w:r>
      <w:r w:rsidRPr="002418BD">
        <w:noBreakHyphen/>
        <w:t>20).</w:t>
      </w:r>
      <w:r w:rsidRPr="00E66F6D">
        <w:t xml:space="preserve"> In subgroup analyses by age, the treatment difference was </w:t>
      </w:r>
      <w:r w:rsidRPr="00E66F6D">
        <w:noBreakHyphen/>
        <w:t>21.</w:t>
      </w:r>
      <w:r w:rsidRPr="00E66F6D">
        <w:t xml:space="preserve">87 mmol/L (95% CI: </w:t>
      </w:r>
      <w:r w:rsidRPr="00E66F6D">
        <w:noBreakHyphen/>
        <w:t xml:space="preserve">26.46, </w:t>
      </w:r>
      <w:r w:rsidRPr="00E66F6D">
        <w:noBreakHyphen/>
        <w:t xml:space="preserve">17.28) in patients aged 18 years or older, and </w:t>
      </w:r>
      <w:r w:rsidRPr="00E66F6D">
        <w:noBreakHyphen/>
        <w:t xml:space="preserve">27.63 mmol/L (95% CI: </w:t>
      </w:r>
      <w:r w:rsidRPr="00E66F6D">
        <w:noBreakHyphen/>
        <w:t xml:space="preserve">37.16, </w:t>
      </w:r>
      <w:r w:rsidRPr="00E66F6D">
        <w:noBreakHyphen/>
        <w:t>18.10) in patients aged 6</w:t>
      </w:r>
      <w:r w:rsidRPr="00E66F6D">
        <w:noBreakHyphen/>
        <w:t>11 years. Two patients 12 to 17</w:t>
      </w:r>
      <w:r w:rsidR="00B40199">
        <w:rPr>
          <w:bCs/>
        </w:rPr>
        <w:t> </w:t>
      </w:r>
      <w:r w:rsidRPr="00E238A9">
        <w:t>years of age were enrolled in this study.</w:t>
      </w:r>
    </w:p>
    <w:p w14:paraId="1C54570F" w14:textId="77777777" w:rsidR="008B0931" w:rsidRPr="00E66F6D" w:rsidRDefault="008B0931" w:rsidP="000A093B"/>
    <w:p w14:paraId="6A9C8AC7" w14:textId="79944CC0" w:rsidR="001F42DB" w:rsidRPr="00BA47B4" w:rsidRDefault="005A3D7D" w:rsidP="006C4477">
      <w:r w:rsidRPr="006C4477">
        <w:t xml:space="preserve">In </w:t>
      </w:r>
      <w:r w:rsidR="0032138D">
        <w:t>study </w:t>
      </w:r>
      <w:r w:rsidRPr="006C4477">
        <w:t>7 in patients aged 2 to less than 6 yea</w:t>
      </w:r>
      <w:r w:rsidRPr="006C4477">
        <w:t>rs with a gating mutation on at least 1</w:t>
      </w:r>
      <w:r w:rsidR="00C35A66" w:rsidRPr="006C4477">
        <w:t> </w:t>
      </w:r>
      <w:r w:rsidRPr="006C4477">
        <w:t xml:space="preserve">allele of the </w:t>
      </w:r>
      <w:r w:rsidRPr="006C4477">
        <w:rPr>
          <w:i/>
        </w:rPr>
        <w:t>CFTR</w:t>
      </w:r>
      <w:r w:rsidRPr="006C4477">
        <w:t xml:space="preserve"> gene administered either 50 mg or 75 mg of ivacaftor twice daily, the mean absolute change from baseline in sweat c</w:t>
      </w:r>
      <w:r w:rsidR="007178AD" w:rsidRPr="006C4477">
        <w:t xml:space="preserve">hloride was </w:t>
      </w:r>
      <w:r w:rsidR="007178AD" w:rsidRPr="006C4477">
        <w:noBreakHyphen/>
        <w:t xml:space="preserve">47 mmol/L (95% CI </w:t>
      </w:r>
      <w:r w:rsidR="007178AD" w:rsidRPr="006C4477">
        <w:noBreakHyphen/>
        <w:t xml:space="preserve">58, </w:t>
      </w:r>
      <w:r w:rsidR="007178AD" w:rsidRPr="006C4477">
        <w:noBreakHyphen/>
      </w:r>
      <w:r w:rsidRPr="006C4477">
        <w:t xml:space="preserve">36) at </w:t>
      </w:r>
      <w:r w:rsidR="00C72FA0">
        <w:t>w</w:t>
      </w:r>
      <w:r w:rsidR="007262E5" w:rsidRPr="00A808AC">
        <w:t>eek</w:t>
      </w:r>
      <w:r w:rsidR="007262E5" w:rsidRPr="00ED1D45">
        <w:t> </w:t>
      </w:r>
      <w:r w:rsidRPr="00BA47B4">
        <w:t>24.</w:t>
      </w:r>
    </w:p>
    <w:p w14:paraId="1284D434" w14:textId="77777777" w:rsidR="00D83DB4" w:rsidRPr="006C4477" w:rsidRDefault="00D83DB4" w:rsidP="006C4477"/>
    <w:p w14:paraId="0CCD958D" w14:textId="5CD1A54E" w:rsidR="001F42DB" w:rsidRPr="00BA47B4" w:rsidRDefault="005A3D7D" w:rsidP="006C4477">
      <w:r w:rsidRPr="006C4477">
        <w:t>In study</w:t>
      </w:r>
      <w:r w:rsidR="003A58FF" w:rsidRPr="00E90C61">
        <w:t> </w:t>
      </w:r>
      <w:r w:rsidRPr="00ED1D45">
        <w:t xml:space="preserve">8 </w:t>
      </w:r>
      <w:r w:rsidRPr="00BA47B4">
        <w:t xml:space="preserve">in </w:t>
      </w:r>
      <w:r w:rsidRPr="00BA47B4">
        <w:t>patients with CF aged less than 24</w:t>
      </w:r>
      <w:r w:rsidR="003A58FF" w:rsidRPr="00BA47B4">
        <w:t> </w:t>
      </w:r>
      <w:r w:rsidRPr="006C4477">
        <w:t xml:space="preserve">months, the mean absolute change from baseline in sweat chloride </w:t>
      </w:r>
      <w:r w:rsidRPr="00E90C61">
        <w:t>was -</w:t>
      </w:r>
      <w:r w:rsidR="004F0618">
        <w:t>65.1</w:t>
      </w:r>
      <w:r w:rsidR="003A58FF" w:rsidRPr="00E90C61">
        <w:t> </w:t>
      </w:r>
      <w:r w:rsidRPr="00E90C61">
        <w:t>mmol/L (95% CI</w:t>
      </w:r>
      <w:r w:rsidR="00E57A2C">
        <w:t xml:space="preserve"> </w:t>
      </w:r>
      <w:r w:rsidR="004F0618">
        <w:noBreakHyphen/>
        <w:t xml:space="preserve">74.1, </w:t>
      </w:r>
      <w:r w:rsidR="004F0618">
        <w:noBreakHyphen/>
        <w:t>56.0</w:t>
      </w:r>
      <w:r w:rsidRPr="00E90C61">
        <w:t>) at week</w:t>
      </w:r>
      <w:r w:rsidR="003A58FF" w:rsidRPr="00E90C61">
        <w:t> </w:t>
      </w:r>
      <w:r w:rsidRPr="00E90C61">
        <w:t>24</w:t>
      </w:r>
      <w:r w:rsidRPr="007B4532">
        <w:t>.</w:t>
      </w:r>
      <w:r w:rsidR="000F5474">
        <w:t xml:space="preserve"> </w:t>
      </w:r>
      <w:r w:rsidR="000F5474" w:rsidRPr="000E6E6C">
        <w:t>Results were consistent in the</w:t>
      </w:r>
      <w:r w:rsidR="000F5474" w:rsidRPr="00ED1D45">
        <w:t xml:space="preserve"> 12 months to less than 24 months</w:t>
      </w:r>
      <w:r w:rsidR="004F0618">
        <w:t>,</w:t>
      </w:r>
      <w:r w:rsidR="000F5474" w:rsidRPr="000E6E6C">
        <w:t xml:space="preserve"> 6 months to less than 12 months</w:t>
      </w:r>
      <w:r w:rsidR="004F0618">
        <w:t>, and 4 months to less than 6 months</w:t>
      </w:r>
      <w:r w:rsidR="000F5474" w:rsidRPr="000E6E6C">
        <w:t xml:space="preserve"> age cohorts</w:t>
      </w:r>
      <w:r w:rsidR="000F5474" w:rsidRPr="00ED1D45">
        <w:t>.</w:t>
      </w:r>
    </w:p>
    <w:p w14:paraId="45EF00B6" w14:textId="77777777" w:rsidR="00F377FB" w:rsidRPr="00BA47B4" w:rsidRDefault="00F377FB" w:rsidP="006C4477">
      <w:pPr>
        <w:rPr>
          <w:u w:val="single"/>
        </w:rPr>
      </w:pPr>
    </w:p>
    <w:p w14:paraId="7CFB32AF" w14:textId="77777777" w:rsidR="00096B0E" w:rsidRPr="006C4477" w:rsidRDefault="005A3D7D" w:rsidP="000A093B">
      <w:pPr>
        <w:keepNext/>
        <w:rPr>
          <w:u w:val="single"/>
        </w:rPr>
      </w:pPr>
      <w:r w:rsidRPr="006C4477">
        <w:rPr>
          <w:u w:val="single"/>
        </w:rPr>
        <w:t>Clinical efficacy and safety</w:t>
      </w:r>
    </w:p>
    <w:p w14:paraId="4BD46B58" w14:textId="77777777" w:rsidR="00487EC4" w:rsidRPr="006C4477" w:rsidRDefault="00487EC4" w:rsidP="000A093B">
      <w:pPr>
        <w:keepNext/>
        <w:rPr>
          <w:u w:val="single"/>
        </w:rPr>
      </w:pPr>
    </w:p>
    <w:p w14:paraId="2F26EDE7" w14:textId="77777777" w:rsidR="002F0F4B" w:rsidRDefault="005A3D7D" w:rsidP="000A093B">
      <w:pPr>
        <w:keepNext/>
        <w:rPr>
          <w:i/>
        </w:rPr>
      </w:pPr>
      <w:r w:rsidRPr="00ED1D45">
        <w:rPr>
          <w:i/>
        </w:rPr>
        <w:t xml:space="preserve">Study 1 and 2: studies in patients with CF </w:t>
      </w:r>
      <w:r w:rsidRPr="00BA47B4">
        <w:rPr>
          <w:i/>
        </w:rPr>
        <w:t>with G551D gating mutations</w:t>
      </w:r>
    </w:p>
    <w:p w14:paraId="03819615" w14:textId="77777777" w:rsidR="00987822" w:rsidRPr="00BA47B4" w:rsidRDefault="00987822" w:rsidP="000A093B">
      <w:pPr>
        <w:keepNext/>
      </w:pPr>
    </w:p>
    <w:p w14:paraId="1D674AF8" w14:textId="71BF9732" w:rsidR="00096B0E" w:rsidRPr="00BA47B4" w:rsidRDefault="005A3D7D" w:rsidP="000A093B">
      <w:pPr>
        <w:keepNext/>
      </w:pPr>
      <w:r w:rsidRPr="006C4477">
        <w:t xml:space="preserve">The efficacy of </w:t>
      </w:r>
      <w:r w:rsidR="004F506C">
        <w:t>ivacaftor</w:t>
      </w:r>
      <w:r w:rsidR="004F506C" w:rsidRPr="006C4477">
        <w:t xml:space="preserve"> </w:t>
      </w:r>
      <w:r w:rsidRPr="006C4477">
        <w:t xml:space="preserve">has been evaluated in two </w:t>
      </w:r>
      <w:r w:rsidR="00BA40DB">
        <w:t>p</w:t>
      </w:r>
      <w:r w:rsidRPr="006C4477">
        <w:t>hase 3 randomised, double</w:t>
      </w:r>
      <w:r w:rsidR="007178AD" w:rsidRPr="006C4477">
        <w:noBreakHyphen/>
      </w:r>
      <w:r w:rsidRPr="006C4477">
        <w:t>blind, placebo</w:t>
      </w:r>
      <w:r w:rsidRPr="006C4477">
        <w:noBreakHyphen/>
      </w:r>
      <w:r w:rsidRPr="006C4477">
        <w:t>controlled, multi</w:t>
      </w:r>
      <w:r w:rsidR="007178AD" w:rsidRPr="006C4477">
        <w:noBreakHyphen/>
      </w:r>
      <w:r w:rsidRPr="006C4477">
        <w:t xml:space="preserve">centre studies of clinically stable patients with CF who had the </w:t>
      </w:r>
      <w:r w:rsidRPr="006C4477">
        <w:rPr>
          <w:i/>
        </w:rPr>
        <w:t>G551D</w:t>
      </w:r>
      <w:r w:rsidRPr="006C4477">
        <w:t xml:space="preserve"> mutation in the </w:t>
      </w:r>
      <w:r w:rsidRPr="006C4477">
        <w:rPr>
          <w:i/>
        </w:rPr>
        <w:t>CFTR</w:t>
      </w:r>
      <w:r w:rsidRPr="006C4477">
        <w:t xml:space="preserve"> gene on at least 1 allele and had FEV</w:t>
      </w:r>
      <w:r w:rsidRPr="006C4477">
        <w:rPr>
          <w:vertAlign w:val="subscript"/>
        </w:rPr>
        <w:t>1</w:t>
      </w:r>
      <w:r w:rsidRPr="006C4477">
        <w:t xml:space="preserve"> </w:t>
      </w:r>
      <w:r w:rsidRPr="006C4477">
        <w:rPr>
          <w:rFonts w:hint="eastAsia"/>
        </w:rPr>
        <w:t>≥</w:t>
      </w:r>
      <w:r w:rsidR="006D6288">
        <w:t> </w:t>
      </w:r>
      <w:r w:rsidRPr="00ED1D45">
        <w:t xml:space="preserve">40% </w:t>
      </w:r>
      <w:r w:rsidRPr="00BA47B4">
        <w:t>predicted.</w:t>
      </w:r>
    </w:p>
    <w:p w14:paraId="1EB3CD6F" w14:textId="77777777" w:rsidR="00096B0E" w:rsidRPr="006C4477" w:rsidRDefault="00096B0E" w:rsidP="006C4477"/>
    <w:p w14:paraId="72DCDDC8" w14:textId="77777777" w:rsidR="00096B0E" w:rsidRPr="006C4477" w:rsidRDefault="005A3D7D" w:rsidP="006C4477">
      <w:r w:rsidRPr="006C4477">
        <w:t>Patients in both studies were randomised 1:1 to receive either 150 mg of ivacaftor or pla</w:t>
      </w:r>
      <w:r w:rsidRPr="006C4477">
        <w:t xml:space="preserve">cebo every 12 hours with food containing fat for 48 weeks in addition to their prescribed CF therapies (e.g., tobramycin, dornase alfa). The use of inhaled hypertonic </w:t>
      </w:r>
      <w:r w:rsidR="002F0F4B" w:rsidRPr="006C4477">
        <w:t xml:space="preserve">sodium chloride </w:t>
      </w:r>
      <w:r w:rsidRPr="006C4477">
        <w:t>was not permitted.</w:t>
      </w:r>
    </w:p>
    <w:p w14:paraId="1E354648" w14:textId="77777777" w:rsidR="00096B0E" w:rsidRPr="008D3673" w:rsidRDefault="00096B0E" w:rsidP="006C4477"/>
    <w:p w14:paraId="7CD5FF1C" w14:textId="77777777" w:rsidR="00096B0E" w:rsidRPr="006C4477" w:rsidRDefault="005A3D7D" w:rsidP="006C4477">
      <w:r w:rsidRPr="006C4477">
        <w:t>Study 1 evaluated 161 patients who were 12 years of a</w:t>
      </w:r>
      <w:r w:rsidRPr="006C4477">
        <w:t xml:space="preserve">ge or older; 122 (75.8%) patients had the </w:t>
      </w:r>
      <w:r w:rsidRPr="006C4477">
        <w:rPr>
          <w:i/>
        </w:rPr>
        <w:t>F508del</w:t>
      </w:r>
      <w:r w:rsidRPr="006C4477">
        <w:t xml:space="preserve"> mutation in the second allele. At the start of the study, patients in the placebo group used some medicinal products at a higher frequency than the ivacaftor group. These medications included dornase alfa (</w:t>
      </w:r>
      <w:r w:rsidRPr="006C4477">
        <w:t>73.1% versus 65.1%), salbutamol (53.8% versus 42.2%), tobramycin (44.9% versus 33.7%) and salmeterol/fluticasone (41.0% versus 27.7%). At baseline, mean predicted FEV</w:t>
      </w:r>
      <w:r w:rsidRPr="006C4477">
        <w:rPr>
          <w:vertAlign w:val="subscript"/>
        </w:rPr>
        <w:t>1</w:t>
      </w:r>
      <w:r w:rsidRPr="006C4477">
        <w:t xml:space="preserve"> was 63.6% (range: 31.6% to 98.2%) and mean age was 26 years (range: 12 to 53 years).</w:t>
      </w:r>
    </w:p>
    <w:p w14:paraId="38A8D5E6" w14:textId="77777777" w:rsidR="00096B0E" w:rsidRPr="008D3673" w:rsidRDefault="00096B0E" w:rsidP="006C4477"/>
    <w:p w14:paraId="4022B4CB" w14:textId="77777777" w:rsidR="00096B0E" w:rsidRPr="006C4477" w:rsidRDefault="005A3D7D" w:rsidP="006C4477">
      <w:r w:rsidRPr="006C4477">
        <w:t>St</w:t>
      </w:r>
      <w:r w:rsidRPr="006C4477">
        <w:t xml:space="preserve">udy 2 evaluated 52 patients who were 6 to 11 years of age at screening; mean (SD) body weight was 30.9 (8.63) kg; 42 (80.8%) patients had the </w:t>
      </w:r>
      <w:r w:rsidRPr="006C4477">
        <w:rPr>
          <w:i/>
        </w:rPr>
        <w:t>F508del</w:t>
      </w:r>
      <w:r w:rsidRPr="006C4477">
        <w:t xml:space="preserve"> mutation in the second allele. At baseline, mean predicted FEV</w:t>
      </w:r>
      <w:r w:rsidRPr="006C4477">
        <w:rPr>
          <w:vertAlign w:val="subscript"/>
        </w:rPr>
        <w:t>1</w:t>
      </w:r>
      <w:r w:rsidRPr="006C4477">
        <w:t xml:space="preserve"> was 84.2% (range: 44.0% to 133.8%) and mea</w:t>
      </w:r>
      <w:r w:rsidRPr="006C4477">
        <w:t>n age was 9 years (range: 6 to 12 years); 8 (30.8%) patients in the placebo group and 4 (15.4%) patients in the ivacaftor group had an FEV</w:t>
      </w:r>
      <w:r w:rsidRPr="006C4477">
        <w:rPr>
          <w:vertAlign w:val="subscript"/>
        </w:rPr>
        <w:t>1</w:t>
      </w:r>
      <w:r w:rsidRPr="006C4477">
        <w:t xml:space="preserve"> less than 70% predicted at baseline.</w:t>
      </w:r>
    </w:p>
    <w:p w14:paraId="0E7E9A3A" w14:textId="77777777" w:rsidR="00096B0E" w:rsidRPr="008D3673" w:rsidRDefault="00096B0E" w:rsidP="006C4477"/>
    <w:p w14:paraId="29EF6BAD" w14:textId="77777777" w:rsidR="00096B0E" w:rsidRPr="006C4477" w:rsidRDefault="005A3D7D" w:rsidP="006C4477">
      <w:r w:rsidRPr="006C4477">
        <w:t>The primary efficacy endpoint in both studies was the mean absolute change fro</w:t>
      </w:r>
      <w:r w:rsidRPr="006C4477">
        <w:t>m baseline in percent predicted FEV</w:t>
      </w:r>
      <w:r w:rsidRPr="006C4477">
        <w:rPr>
          <w:vertAlign w:val="subscript"/>
        </w:rPr>
        <w:t>1</w:t>
      </w:r>
      <w:r w:rsidRPr="006C4477">
        <w:t xml:space="preserve"> through 24 weeks of treatment.</w:t>
      </w:r>
    </w:p>
    <w:p w14:paraId="6102A60F" w14:textId="77777777" w:rsidR="00096B0E" w:rsidRPr="008D3673" w:rsidRDefault="00096B0E" w:rsidP="006C4477"/>
    <w:p w14:paraId="3DA981F7" w14:textId="77777777" w:rsidR="00096B0E" w:rsidRPr="00BA47B4" w:rsidRDefault="005A3D7D" w:rsidP="006C4477">
      <w:r w:rsidRPr="006C4477">
        <w:t>The treatment difference between ivacaftor and placebo for the mean absolute change (95% CI) in percent predicted FEV</w:t>
      </w:r>
      <w:r w:rsidRPr="006C4477">
        <w:rPr>
          <w:vertAlign w:val="subscript"/>
        </w:rPr>
        <w:t>1</w:t>
      </w:r>
      <w:r w:rsidRPr="006C4477">
        <w:t xml:space="preserve"> from baseline through </w:t>
      </w:r>
      <w:r w:rsidR="00C72FA0">
        <w:t>w</w:t>
      </w:r>
      <w:r w:rsidR="00C53F51" w:rsidRPr="00A808AC">
        <w:t>eek</w:t>
      </w:r>
      <w:r w:rsidR="00C53F51" w:rsidRPr="00ED1D45">
        <w:t> </w:t>
      </w:r>
      <w:r w:rsidRPr="00BA47B4">
        <w:t>24 was 10.6 percentage points (8.6, 12.6)</w:t>
      </w:r>
      <w:r w:rsidRPr="00BA47B4">
        <w:t xml:space="preserve"> in study 1 and 12.5 percentage points (6.6, 18.3) in study 2. The treatment difference between ivacaftor and placebo for the mean relative change (95% CI) in percent predicted FEV</w:t>
      </w:r>
      <w:r w:rsidRPr="006C4477">
        <w:rPr>
          <w:vertAlign w:val="subscript"/>
        </w:rPr>
        <w:t>1</w:t>
      </w:r>
      <w:r w:rsidRPr="006C4477">
        <w:t xml:space="preserve"> from baseline through </w:t>
      </w:r>
      <w:r w:rsidR="00C72FA0">
        <w:t>w</w:t>
      </w:r>
      <w:r w:rsidR="00C53F51" w:rsidRPr="00A808AC">
        <w:t>eek</w:t>
      </w:r>
      <w:r w:rsidR="00C53F51" w:rsidRPr="00ED1D45">
        <w:t> </w:t>
      </w:r>
      <w:r w:rsidRPr="00BA47B4">
        <w:t xml:space="preserve">24 was 17.1% (13.9, 20.2) in study 1 and 15.8% </w:t>
      </w:r>
      <w:r w:rsidRPr="00BA47B4">
        <w:t xml:space="preserve">(8.4, 23.2) in study 2. The mean change from baseline through </w:t>
      </w:r>
      <w:r w:rsidR="00C72FA0">
        <w:t>w</w:t>
      </w:r>
      <w:r w:rsidR="00C53F51" w:rsidRPr="00A808AC">
        <w:t>eek</w:t>
      </w:r>
      <w:r w:rsidR="00C53F51" w:rsidRPr="00ED1D45">
        <w:t> </w:t>
      </w:r>
      <w:r w:rsidRPr="00BA47B4">
        <w:t>24 in FEV</w:t>
      </w:r>
      <w:r w:rsidRPr="00BA47B4">
        <w:rPr>
          <w:vertAlign w:val="subscript"/>
        </w:rPr>
        <w:t>1</w:t>
      </w:r>
      <w:r w:rsidRPr="006C4477">
        <w:t xml:space="preserve"> (L) was 0.37 L in the ivacaftor group and 0.01 L in the placebo group in study 1 and 0.30 L in the ivacaftor group and 0.07 L in the placebo group in study 2. In both studies, improvements in FEV</w:t>
      </w:r>
      <w:r w:rsidRPr="006C4477">
        <w:rPr>
          <w:vertAlign w:val="subscript"/>
        </w:rPr>
        <w:t>1</w:t>
      </w:r>
      <w:r w:rsidRPr="006C4477">
        <w:t xml:space="preserve"> were rapid in onset (</w:t>
      </w:r>
      <w:r w:rsidR="00C72FA0">
        <w:t>d</w:t>
      </w:r>
      <w:r w:rsidR="00C53F51" w:rsidRPr="00A808AC">
        <w:t>ay</w:t>
      </w:r>
      <w:r w:rsidR="00C53F51" w:rsidRPr="00ED1D45">
        <w:t> </w:t>
      </w:r>
      <w:r w:rsidRPr="00BA47B4">
        <w:t>15) and durable through 48 weeks.</w:t>
      </w:r>
    </w:p>
    <w:p w14:paraId="2AEBA584" w14:textId="77777777" w:rsidR="00096B0E" w:rsidRPr="006C4477" w:rsidRDefault="00096B0E" w:rsidP="006C4477"/>
    <w:p w14:paraId="2D39890E" w14:textId="77777777" w:rsidR="00096B0E" w:rsidRPr="006C4477" w:rsidRDefault="005A3D7D" w:rsidP="006C4477">
      <w:r w:rsidRPr="006C4477">
        <w:t>The treatment difference between ivacaftor and placebo for the mean absolute change (95% CI) in percent predicted FEV</w:t>
      </w:r>
      <w:r w:rsidRPr="006C4477">
        <w:rPr>
          <w:vertAlign w:val="subscript"/>
        </w:rPr>
        <w:t>1</w:t>
      </w:r>
      <w:r w:rsidRPr="006C4477">
        <w:t xml:space="preserve"> from baseline through </w:t>
      </w:r>
      <w:r w:rsidR="0051031C">
        <w:t>w</w:t>
      </w:r>
      <w:r w:rsidR="00C53F51" w:rsidRPr="00A808AC">
        <w:t>eek</w:t>
      </w:r>
      <w:r w:rsidR="00C53F51" w:rsidRPr="00ED1D45">
        <w:t> </w:t>
      </w:r>
      <w:r w:rsidRPr="00BA47B4">
        <w:t xml:space="preserve">24 in patients 12 to 17 years of age in study 1 was 11.9 percentage points (5.9, 17.9). The </w:t>
      </w:r>
      <w:r w:rsidRPr="00BA47B4">
        <w:t>treatment difference between ivacaftor and placebo for the mean absolute change (95% CI) in percent predicted FEV</w:t>
      </w:r>
      <w:r w:rsidRPr="006C4477">
        <w:rPr>
          <w:vertAlign w:val="subscript"/>
        </w:rPr>
        <w:t>1</w:t>
      </w:r>
      <w:r w:rsidRPr="006C4477">
        <w:t xml:space="preserve"> from baseline through </w:t>
      </w:r>
      <w:r w:rsidR="0051031C">
        <w:t>w</w:t>
      </w:r>
      <w:r w:rsidR="00C53F51" w:rsidRPr="00A808AC">
        <w:t>eek</w:t>
      </w:r>
      <w:r w:rsidR="00C53F51" w:rsidRPr="00ED1D45">
        <w:t> </w:t>
      </w:r>
      <w:r w:rsidRPr="00BA47B4">
        <w:t>24 in patients with baseline predicted FEV</w:t>
      </w:r>
      <w:r w:rsidRPr="00BA47B4">
        <w:rPr>
          <w:vertAlign w:val="subscript"/>
        </w:rPr>
        <w:t xml:space="preserve">1 </w:t>
      </w:r>
      <w:r w:rsidRPr="006C4477">
        <w:t>greater than 90% in stud</w:t>
      </w:r>
      <w:r w:rsidR="00C35A66" w:rsidRPr="006C4477">
        <w:t>y 2 was 6.9 percentage points (</w:t>
      </w:r>
      <w:r w:rsidR="00C35A66" w:rsidRPr="006C4477">
        <w:noBreakHyphen/>
      </w:r>
      <w:r w:rsidRPr="006C4477">
        <w:t>3.8, 17.6).</w:t>
      </w:r>
    </w:p>
    <w:p w14:paraId="134B983C" w14:textId="77777777" w:rsidR="00096B0E" w:rsidRPr="008D3673" w:rsidRDefault="00096B0E" w:rsidP="006C4477"/>
    <w:p w14:paraId="561BE779" w14:textId="5089B202" w:rsidR="00096B0E" w:rsidRDefault="005A3D7D" w:rsidP="008640EA">
      <w:pPr>
        <w:spacing w:line="240" w:lineRule="auto"/>
      </w:pPr>
      <w:r w:rsidRPr="00A808AC">
        <w:t>T</w:t>
      </w:r>
      <w:r w:rsidRPr="00A808AC">
        <w:t>he results for clinically relevant secondary endpoints are shown in Table </w:t>
      </w:r>
      <w:r w:rsidR="00E66F6D">
        <w:t>4</w:t>
      </w:r>
      <w:r w:rsidRPr="00A808AC">
        <w:t>.</w:t>
      </w:r>
    </w:p>
    <w:p w14:paraId="078BF736" w14:textId="77777777" w:rsidR="007D34B1" w:rsidRDefault="007D34B1" w:rsidP="000A093B">
      <w:pPr>
        <w:keepNext/>
        <w:spacing w:line="240" w:lineRule="auto"/>
      </w:pPr>
    </w:p>
    <w:p w14:paraId="1F977576" w14:textId="4D7EE911" w:rsidR="007D34B1" w:rsidRPr="00966DCC" w:rsidRDefault="005A3D7D" w:rsidP="000A093B">
      <w:pPr>
        <w:keepNext/>
        <w:spacing w:line="240" w:lineRule="auto"/>
        <w:rPr>
          <w:b/>
          <w:bCs/>
        </w:rPr>
      </w:pPr>
      <w:r w:rsidRPr="00A808AC">
        <w:rPr>
          <w:b/>
          <w:bCs/>
        </w:rPr>
        <w:t>Table</w:t>
      </w:r>
      <w:r>
        <w:rPr>
          <w:b/>
          <w:bCs/>
        </w:rPr>
        <w:t> </w:t>
      </w:r>
      <w:r w:rsidR="00E66F6D">
        <w:rPr>
          <w:b/>
          <w:bCs/>
        </w:rPr>
        <w:t>4</w:t>
      </w:r>
      <w:r>
        <w:rPr>
          <w:b/>
          <w:bCs/>
        </w:rPr>
        <w:t>:</w:t>
      </w:r>
      <w:r w:rsidRPr="00A808AC">
        <w:rPr>
          <w:b/>
          <w:bCs/>
        </w:rPr>
        <w:t xml:space="preserve"> Effect of ivacaftor on other efficacy endpoints in studies 1 and 2</w:t>
      </w:r>
    </w:p>
    <w:tbl>
      <w:tblPr>
        <w:tblW w:w="4941" w:type="pct"/>
        <w:tblInd w:w="109" w:type="dxa"/>
        <w:tblLook w:val="01E0" w:firstRow="1" w:lastRow="1" w:firstColumn="1" w:lastColumn="1" w:noHBand="0" w:noVBand="0"/>
      </w:tblPr>
      <w:tblGrid>
        <w:gridCol w:w="2432"/>
        <w:gridCol w:w="1810"/>
        <w:gridCol w:w="1313"/>
        <w:gridCol w:w="1810"/>
        <w:gridCol w:w="1603"/>
      </w:tblGrid>
      <w:tr w:rsidR="00476058" w14:paraId="3181AC60" w14:textId="77777777" w:rsidTr="006878A4">
        <w:trPr>
          <w:trHeight w:val="210"/>
          <w:tblHeader/>
        </w:trPr>
        <w:tc>
          <w:tcPr>
            <w:tcW w:w="1356" w:type="pct"/>
            <w:vMerge w:val="restart"/>
            <w:tcBorders>
              <w:top w:val="single" w:sz="4" w:space="0" w:color="auto"/>
              <w:left w:val="single" w:sz="4" w:space="0" w:color="auto"/>
              <w:right w:val="single" w:sz="4" w:space="0" w:color="auto"/>
            </w:tcBorders>
            <w:vAlign w:val="bottom"/>
          </w:tcPr>
          <w:p w14:paraId="1081F51B" w14:textId="77777777" w:rsidR="007D34B1" w:rsidRPr="00E66334" w:rsidRDefault="005A3D7D" w:rsidP="000A093B">
            <w:pPr>
              <w:keepNext/>
              <w:tabs>
                <w:tab w:val="clear" w:pos="567"/>
              </w:tabs>
              <w:spacing w:line="240" w:lineRule="auto"/>
              <w:rPr>
                <w:b/>
                <w:bCs/>
                <w:lang w:eastAsia="en-GB"/>
              </w:rPr>
            </w:pPr>
            <w:r w:rsidRPr="00E66334">
              <w:rPr>
                <w:b/>
                <w:bCs/>
                <w:lang w:eastAsia="en-GB"/>
              </w:rPr>
              <w:t>Endpoint</w:t>
            </w:r>
          </w:p>
        </w:tc>
        <w:tc>
          <w:tcPr>
            <w:tcW w:w="1741" w:type="pct"/>
            <w:gridSpan w:val="2"/>
            <w:tcBorders>
              <w:top w:val="single" w:sz="4" w:space="0" w:color="auto"/>
              <w:left w:val="single" w:sz="4" w:space="0" w:color="auto"/>
              <w:bottom w:val="single" w:sz="4" w:space="0" w:color="auto"/>
              <w:right w:val="single" w:sz="4" w:space="0" w:color="auto"/>
            </w:tcBorders>
          </w:tcPr>
          <w:p w14:paraId="64A4B9FD" w14:textId="77777777" w:rsidR="007D34B1" w:rsidRPr="00E66334" w:rsidRDefault="005A3D7D" w:rsidP="000A093B">
            <w:pPr>
              <w:keepNext/>
              <w:tabs>
                <w:tab w:val="clear" w:pos="567"/>
              </w:tabs>
              <w:spacing w:line="240" w:lineRule="auto"/>
              <w:rPr>
                <w:b/>
                <w:bCs/>
                <w:lang w:eastAsia="en-GB"/>
              </w:rPr>
            </w:pPr>
            <w:r w:rsidRPr="00E66334">
              <w:rPr>
                <w:b/>
                <w:bCs/>
              </w:rPr>
              <w:t>Study 1</w:t>
            </w:r>
          </w:p>
        </w:tc>
        <w:tc>
          <w:tcPr>
            <w:tcW w:w="1903" w:type="pct"/>
            <w:gridSpan w:val="2"/>
            <w:tcBorders>
              <w:top w:val="single" w:sz="4" w:space="0" w:color="auto"/>
              <w:left w:val="single" w:sz="4" w:space="0" w:color="auto"/>
              <w:bottom w:val="single" w:sz="4" w:space="0" w:color="auto"/>
              <w:right w:val="single" w:sz="4" w:space="0" w:color="auto"/>
            </w:tcBorders>
          </w:tcPr>
          <w:p w14:paraId="1E800D0F" w14:textId="77777777" w:rsidR="007D34B1" w:rsidRPr="00E66334" w:rsidRDefault="005A3D7D" w:rsidP="000A093B">
            <w:pPr>
              <w:keepNext/>
              <w:tabs>
                <w:tab w:val="clear" w:pos="567"/>
              </w:tabs>
              <w:spacing w:line="240" w:lineRule="auto"/>
              <w:rPr>
                <w:b/>
                <w:bCs/>
                <w:lang w:eastAsia="en-GB"/>
              </w:rPr>
            </w:pPr>
            <w:r w:rsidRPr="00E66334">
              <w:rPr>
                <w:b/>
                <w:bCs/>
              </w:rPr>
              <w:t>Study 2</w:t>
            </w:r>
          </w:p>
        </w:tc>
      </w:tr>
      <w:tr w:rsidR="00476058" w14:paraId="3882E7CB" w14:textId="77777777" w:rsidTr="006878A4">
        <w:trPr>
          <w:trHeight w:val="565"/>
          <w:tblHeader/>
        </w:trPr>
        <w:tc>
          <w:tcPr>
            <w:tcW w:w="1356" w:type="pct"/>
            <w:vMerge/>
            <w:tcBorders>
              <w:left w:val="single" w:sz="4" w:space="0" w:color="auto"/>
              <w:bottom w:val="single" w:sz="4" w:space="0" w:color="auto"/>
              <w:right w:val="single" w:sz="4" w:space="0" w:color="auto"/>
            </w:tcBorders>
            <w:vAlign w:val="bottom"/>
          </w:tcPr>
          <w:p w14:paraId="56BEB3FE" w14:textId="77777777" w:rsidR="007D34B1" w:rsidRPr="00E66334" w:rsidRDefault="007D34B1" w:rsidP="006878A4">
            <w:pPr>
              <w:tabs>
                <w:tab w:val="clear" w:pos="567"/>
              </w:tabs>
              <w:spacing w:line="240" w:lineRule="auto"/>
              <w:rPr>
                <w:b/>
                <w:bCs/>
                <w:lang w:eastAsia="en-GB"/>
              </w:rPr>
            </w:pPr>
          </w:p>
        </w:tc>
        <w:tc>
          <w:tcPr>
            <w:tcW w:w="1009" w:type="pct"/>
            <w:tcBorders>
              <w:top w:val="single" w:sz="4" w:space="0" w:color="auto"/>
              <w:left w:val="single" w:sz="4" w:space="0" w:color="auto"/>
              <w:bottom w:val="single" w:sz="4" w:space="0" w:color="auto"/>
              <w:right w:val="single" w:sz="4" w:space="0" w:color="auto"/>
            </w:tcBorders>
            <w:vAlign w:val="bottom"/>
          </w:tcPr>
          <w:p w14:paraId="6D0BFE4C" w14:textId="77777777" w:rsidR="007D34B1" w:rsidRPr="00E66334" w:rsidRDefault="005A3D7D" w:rsidP="006878A4">
            <w:pPr>
              <w:tabs>
                <w:tab w:val="clear" w:pos="567"/>
              </w:tabs>
              <w:spacing w:line="240" w:lineRule="auto"/>
              <w:jc w:val="center"/>
              <w:rPr>
                <w:b/>
                <w:bCs/>
                <w:lang w:eastAsia="en-GB"/>
              </w:rPr>
            </w:pPr>
            <w:r w:rsidRPr="00E66334">
              <w:rPr>
                <w:b/>
                <w:bCs/>
                <w:lang w:eastAsia="en-GB"/>
              </w:rPr>
              <w:t>Treatment difference</w:t>
            </w:r>
            <w:r w:rsidRPr="00E66334">
              <w:rPr>
                <w:b/>
                <w:bCs/>
                <w:vertAlign w:val="superscript"/>
                <w:lang w:eastAsia="en-GB"/>
              </w:rPr>
              <w:t>a</w:t>
            </w:r>
          </w:p>
          <w:p w14:paraId="0027A073" w14:textId="77777777" w:rsidR="007D34B1" w:rsidRPr="00E66334" w:rsidRDefault="005A3D7D" w:rsidP="006878A4">
            <w:pPr>
              <w:tabs>
                <w:tab w:val="clear" w:pos="567"/>
              </w:tabs>
              <w:spacing w:line="240" w:lineRule="auto"/>
              <w:jc w:val="center"/>
              <w:rPr>
                <w:b/>
                <w:bCs/>
                <w:lang w:eastAsia="en-GB"/>
              </w:rPr>
            </w:pPr>
            <w:r w:rsidRPr="00E66334">
              <w:rPr>
                <w:b/>
                <w:bCs/>
                <w:lang w:eastAsia="en-GB"/>
              </w:rPr>
              <w:t>(95% CI)</w:t>
            </w:r>
          </w:p>
        </w:tc>
        <w:tc>
          <w:tcPr>
            <w:tcW w:w="732" w:type="pct"/>
            <w:tcBorders>
              <w:top w:val="single" w:sz="4" w:space="0" w:color="auto"/>
              <w:left w:val="single" w:sz="4" w:space="0" w:color="auto"/>
              <w:bottom w:val="single" w:sz="4" w:space="0" w:color="auto"/>
              <w:right w:val="single" w:sz="4" w:space="0" w:color="auto"/>
            </w:tcBorders>
            <w:vAlign w:val="bottom"/>
          </w:tcPr>
          <w:p w14:paraId="0B43128E" w14:textId="77777777" w:rsidR="007D34B1" w:rsidRPr="00E66334" w:rsidRDefault="005A3D7D" w:rsidP="006878A4">
            <w:pPr>
              <w:tabs>
                <w:tab w:val="clear" w:pos="567"/>
              </w:tabs>
              <w:spacing w:line="240" w:lineRule="auto"/>
              <w:jc w:val="center"/>
              <w:rPr>
                <w:b/>
                <w:bCs/>
                <w:lang w:eastAsia="en-GB"/>
              </w:rPr>
            </w:pPr>
            <w:r w:rsidRPr="00E66334">
              <w:rPr>
                <w:b/>
                <w:bCs/>
                <w:i/>
                <w:iCs/>
              </w:rPr>
              <w:t xml:space="preserve">P </w:t>
            </w:r>
            <w:r w:rsidRPr="00E66334">
              <w:rPr>
                <w:b/>
                <w:bCs/>
                <w:iCs/>
              </w:rPr>
              <w:t>value</w:t>
            </w:r>
          </w:p>
        </w:tc>
        <w:tc>
          <w:tcPr>
            <w:tcW w:w="1009" w:type="pct"/>
            <w:tcBorders>
              <w:top w:val="single" w:sz="4" w:space="0" w:color="auto"/>
              <w:left w:val="single" w:sz="4" w:space="0" w:color="auto"/>
              <w:bottom w:val="single" w:sz="4" w:space="0" w:color="auto"/>
              <w:right w:val="single" w:sz="4" w:space="0" w:color="auto"/>
            </w:tcBorders>
            <w:vAlign w:val="bottom"/>
          </w:tcPr>
          <w:p w14:paraId="272B7C99" w14:textId="77777777" w:rsidR="007D34B1" w:rsidRPr="00E66334" w:rsidRDefault="005A3D7D" w:rsidP="006878A4">
            <w:pPr>
              <w:tabs>
                <w:tab w:val="clear" w:pos="567"/>
              </w:tabs>
              <w:spacing w:line="240" w:lineRule="auto"/>
              <w:jc w:val="center"/>
              <w:rPr>
                <w:b/>
                <w:bCs/>
                <w:lang w:eastAsia="en-GB"/>
              </w:rPr>
            </w:pPr>
            <w:r w:rsidRPr="00E66334">
              <w:rPr>
                <w:b/>
                <w:bCs/>
                <w:lang w:eastAsia="en-GB"/>
              </w:rPr>
              <w:t>Treatment difference</w:t>
            </w:r>
            <w:r w:rsidRPr="00E66334">
              <w:rPr>
                <w:b/>
                <w:bCs/>
                <w:vertAlign w:val="superscript"/>
                <w:lang w:eastAsia="en-GB"/>
              </w:rPr>
              <w:t>a</w:t>
            </w:r>
          </w:p>
          <w:p w14:paraId="4A57C57A" w14:textId="77777777" w:rsidR="007D34B1" w:rsidRPr="00E66334" w:rsidRDefault="005A3D7D" w:rsidP="006878A4">
            <w:pPr>
              <w:tabs>
                <w:tab w:val="clear" w:pos="567"/>
              </w:tabs>
              <w:spacing w:line="240" w:lineRule="auto"/>
              <w:jc w:val="center"/>
              <w:rPr>
                <w:b/>
                <w:bCs/>
                <w:lang w:eastAsia="en-GB"/>
              </w:rPr>
            </w:pPr>
            <w:r w:rsidRPr="00E66334">
              <w:rPr>
                <w:b/>
                <w:bCs/>
                <w:lang w:eastAsia="en-GB"/>
              </w:rPr>
              <w:t>(95% CI)</w:t>
            </w:r>
          </w:p>
        </w:tc>
        <w:tc>
          <w:tcPr>
            <w:tcW w:w="894" w:type="pct"/>
            <w:tcBorders>
              <w:top w:val="single" w:sz="4" w:space="0" w:color="auto"/>
              <w:left w:val="single" w:sz="4" w:space="0" w:color="auto"/>
              <w:bottom w:val="single" w:sz="4" w:space="0" w:color="auto"/>
              <w:right w:val="single" w:sz="4" w:space="0" w:color="auto"/>
            </w:tcBorders>
            <w:vAlign w:val="bottom"/>
          </w:tcPr>
          <w:p w14:paraId="243FA3FD" w14:textId="77777777" w:rsidR="007D34B1" w:rsidRPr="00E66334" w:rsidRDefault="005A3D7D" w:rsidP="006878A4">
            <w:pPr>
              <w:keepNext/>
              <w:tabs>
                <w:tab w:val="clear" w:pos="567"/>
              </w:tabs>
              <w:spacing w:line="240" w:lineRule="auto"/>
              <w:jc w:val="center"/>
              <w:rPr>
                <w:b/>
                <w:bCs/>
                <w:lang w:eastAsia="en-GB"/>
              </w:rPr>
            </w:pPr>
            <w:r w:rsidRPr="00E66334">
              <w:rPr>
                <w:b/>
                <w:bCs/>
                <w:i/>
                <w:iCs/>
              </w:rPr>
              <w:t xml:space="preserve">P </w:t>
            </w:r>
            <w:r w:rsidRPr="00E66334">
              <w:rPr>
                <w:b/>
                <w:bCs/>
                <w:iCs/>
              </w:rPr>
              <w:t>value</w:t>
            </w:r>
          </w:p>
        </w:tc>
      </w:tr>
      <w:tr w:rsidR="00476058" w14:paraId="41748749" w14:textId="77777777" w:rsidTr="006878A4">
        <w:trPr>
          <w:trHeight w:val="210"/>
        </w:trPr>
        <w:tc>
          <w:tcPr>
            <w:tcW w:w="5000" w:type="pct"/>
            <w:gridSpan w:val="5"/>
            <w:tcBorders>
              <w:left w:val="single" w:sz="4" w:space="0" w:color="auto"/>
              <w:bottom w:val="single" w:sz="4" w:space="0" w:color="auto"/>
              <w:right w:val="single" w:sz="4" w:space="0" w:color="auto"/>
            </w:tcBorders>
          </w:tcPr>
          <w:p w14:paraId="11032A25" w14:textId="77777777" w:rsidR="007D34B1" w:rsidRPr="00E66334" w:rsidRDefault="005A3D7D" w:rsidP="006878A4">
            <w:pPr>
              <w:keepNext/>
              <w:tabs>
                <w:tab w:val="clear" w:pos="567"/>
              </w:tabs>
              <w:spacing w:line="240" w:lineRule="auto"/>
              <w:rPr>
                <w:b/>
                <w:bCs/>
                <w:i/>
                <w:iCs/>
              </w:rPr>
            </w:pPr>
            <w:r w:rsidRPr="00E66334">
              <w:rPr>
                <w:b/>
                <w:bCs/>
              </w:rPr>
              <w:t>Mean absolute change from baseline in CFQ-R</w:t>
            </w:r>
            <w:r w:rsidRPr="00E66334">
              <w:rPr>
                <w:bCs/>
                <w:vertAlign w:val="superscript"/>
              </w:rPr>
              <w:t>b</w:t>
            </w:r>
            <w:r w:rsidRPr="00E66334">
              <w:rPr>
                <w:b/>
                <w:bCs/>
              </w:rPr>
              <w:t xml:space="preserve"> respiratory domain score (points)</w:t>
            </w:r>
            <w:r w:rsidRPr="00E66334">
              <w:rPr>
                <w:bCs/>
                <w:vertAlign w:val="superscript"/>
              </w:rPr>
              <w:t>c</w:t>
            </w:r>
          </w:p>
        </w:tc>
      </w:tr>
      <w:tr w:rsidR="00476058" w14:paraId="7770D809"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2E76DE0D" w14:textId="77777777" w:rsidR="007D34B1" w:rsidRPr="00E66334" w:rsidRDefault="005A3D7D" w:rsidP="007D34B1">
            <w:pPr>
              <w:tabs>
                <w:tab w:val="clear" w:pos="567"/>
              </w:tabs>
              <w:spacing w:line="240" w:lineRule="auto"/>
              <w:rPr>
                <w:lang w:eastAsia="en-GB"/>
              </w:rPr>
            </w:pPr>
            <w:r w:rsidRPr="00E66334">
              <w:rPr>
                <w:lang w:eastAsia="en-GB"/>
              </w:rPr>
              <w:t xml:space="preserve">Through </w:t>
            </w:r>
            <w:r>
              <w:rPr>
                <w:lang w:eastAsia="en-GB"/>
              </w:rPr>
              <w:t>w</w:t>
            </w:r>
            <w:r w:rsidRPr="00E66334">
              <w:rPr>
                <w:lang w:eastAsia="en-GB"/>
              </w:rPr>
              <w:t>eek 24</w:t>
            </w:r>
          </w:p>
        </w:tc>
        <w:tc>
          <w:tcPr>
            <w:tcW w:w="1009" w:type="pct"/>
            <w:tcBorders>
              <w:top w:val="single" w:sz="4" w:space="0" w:color="auto"/>
              <w:left w:val="single" w:sz="4" w:space="0" w:color="auto"/>
              <w:bottom w:val="single" w:sz="4" w:space="0" w:color="auto"/>
              <w:right w:val="single" w:sz="4" w:space="0" w:color="auto"/>
            </w:tcBorders>
          </w:tcPr>
          <w:p w14:paraId="21316D18" w14:textId="77777777" w:rsidR="007D34B1" w:rsidRPr="00E66334" w:rsidRDefault="005A3D7D" w:rsidP="006878A4">
            <w:pPr>
              <w:tabs>
                <w:tab w:val="clear" w:pos="567"/>
              </w:tabs>
              <w:spacing w:line="240" w:lineRule="auto"/>
              <w:jc w:val="center"/>
              <w:rPr>
                <w:lang w:eastAsia="en-GB"/>
              </w:rPr>
            </w:pPr>
            <w:r w:rsidRPr="00E66334">
              <w:rPr>
                <w:lang w:eastAsia="en-GB"/>
              </w:rPr>
              <w:t>8.1</w:t>
            </w:r>
          </w:p>
          <w:p w14:paraId="0032F96E" w14:textId="77777777" w:rsidR="007D34B1" w:rsidRPr="00E66334" w:rsidRDefault="005A3D7D" w:rsidP="006878A4">
            <w:pPr>
              <w:tabs>
                <w:tab w:val="clear" w:pos="567"/>
              </w:tabs>
              <w:spacing w:line="240" w:lineRule="auto"/>
              <w:jc w:val="center"/>
              <w:rPr>
                <w:lang w:eastAsia="en-GB"/>
              </w:rPr>
            </w:pPr>
            <w:r w:rsidRPr="00E66334">
              <w:rPr>
                <w:lang w:eastAsia="en-GB"/>
              </w:rPr>
              <w:t>(4.7, 11.4)</w:t>
            </w:r>
          </w:p>
        </w:tc>
        <w:tc>
          <w:tcPr>
            <w:tcW w:w="732" w:type="pct"/>
            <w:tcBorders>
              <w:top w:val="single" w:sz="4" w:space="0" w:color="auto"/>
              <w:left w:val="single" w:sz="4" w:space="0" w:color="auto"/>
              <w:bottom w:val="single" w:sz="4" w:space="0" w:color="auto"/>
              <w:right w:val="single" w:sz="4" w:space="0" w:color="auto"/>
            </w:tcBorders>
          </w:tcPr>
          <w:p w14:paraId="3E979DEB" w14:textId="77777777" w:rsidR="007D34B1" w:rsidRPr="00E66334" w:rsidRDefault="005A3D7D"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5992199C" w14:textId="77777777" w:rsidR="007D34B1" w:rsidRPr="00E66334" w:rsidRDefault="005A3D7D" w:rsidP="006878A4">
            <w:pPr>
              <w:tabs>
                <w:tab w:val="clear" w:pos="567"/>
              </w:tabs>
              <w:spacing w:line="240" w:lineRule="auto"/>
              <w:jc w:val="center"/>
              <w:rPr>
                <w:lang w:eastAsia="en-GB"/>
              </w:rPr>
            </w:pPr>
            <w:r w:rsidRPr="00E66334">
              <w:rPr>
                <w:lang w:eastAsia="en-GB"/>
              </w:rPr>
              <w:t>6.1</w:t>
            </w:r>
          </w:p>
          <w:p w14:paraId="54ED6AB5" w14:textId="77777777" w:rsidR="007D34B1" w:rsidRPr="00E66334" w:rsidRDefault="005A3D7D" w:rsidP="006878A4">
            <w:pPr>
              <w:tabs>
                <w:tab w:val="clear" w:pos="567"/>
              </w:tabs>
              <w:spacing w:line="240" w:lineRule="auto"/>
              <w:jc w:val="center"/>
              <w:rPr>
                <w:lang w:eastAsia="en-GB"/>
              </w:rPr>
            </w:pPr>
            <w:r w:rsidRPr="00E66334">
              <w:rPr>
                <w:lang w:eastAsia="en-GB"/>
              </w:rPr>
              <w:t>(</w:t>
            </w:r>
            <w:r w:rsidRPr="00E66334">
              <w:rPr>
                <w:lang w:eastAsia="en-GB"/>
              </w:rPr>
              <w:noBreakHyphen/>
              <w:t>1.4, 13.5)</w:t>
            </w:r>
          </w:p>
        </w:tc>
        <w:tc>
          <w:tcPr>
            <w:tcW w:w="894" w:type="pct"/>
            <w:tcBorders>
              <w:top w:val="single" w:sz="4" w:space="0" w:color="auto"/>
              <w:left w:val="single" w:sz="4" w:space="0" w:color="auto"/>
              <w:bottom w:val="single" w:sz="4" w:space="0" w:color="auto"/>
              <w:right w:val="single" w:sz="4" w:space="0" w:color="auto"/>
            </w:tcBorders>
          </w:tcPr>
          <w:p w14:paraId="33239751" w14:textId="77777777" w:rsidR="007D34B1" w:rsidRPr="00E66334" w:rsidRDefault="005A3D7D" w:rsidP="006878A4">
            <w:pPr>
              <w:keepNext/>
              <w:tabs>
                <w:tab w:val="clear" w:pos="567"/>
              </w:tabs>
              <w:spacing w:line="240" w:lineRule="auto"/>
              <w:jc w:val="center"/>
              <w:rPr>
                <w:lang w:eastAsia="en-GB"/>
              </w:rPr>
            </w:pPr>
            <w:r w:rsidRPr="00E66334">
              <w:rPr>
                <w:lang w:eastAsia="en-GB"/>
              </w:rPr>
              <w:t>0.1092</w:t>
            </w:r>
          </w:p>
        </w:tc>
      </w:tr>
      <w:tr w:rsidR="00476058" w14:paraId="601E35F3" w14:textId="77777777" w:rsidTr="006878A4">
        <w:trPr>
          <w:trHeight w:val="377"/>
        </w:trPr>
        <w:tc>
          <w:tcPr>
            <w:tcW w:w="1356" w:type="pct"/>
            <w:tcBorders>
              <w:top w:val="single" w:sz="4" w:space="0" w:color="auto"/>
              <w:left w:val="single" w:sz="4" w:space="0" w:color="auto"/>
              <w:bottom w:val="single" w:sz="4" w:space="0" w:color="auto"/>
              <w:right w:val="single" w:sz="4" w:space="0" w:color="auto"/>
            </w:tcBorders>
          </w:tcPr>
          <w:p w14:paraId="3F1CDAC3" w14:textId="77777777" w:rsidR="007D34B1" w:rsidRPr="00E66334" w:rsidRDefault="005A3D7D" w:rsidP="007D34B1">
            <w:pPr>
              <w:tabs>
                <w:tab w:val="clear" w:pos="567"/>
              </w:tabs>
              <w:spacing w:line="240" w:lineRule="auto"/>
            </w:pPr>
            <w:r w:rsidRPr="00E66334">
              <w:rPr>
                <w:lang w:eastAsia="en-GB"/>
              </w:rPr>
              <w:t xml:space="preserve">Through </w:t>
            </w:r>
            <w:r>
              <w:rPr>
                <w:lang w:eastAsia="en-GB"/>
              </w:rPr>
              <w:t>w</w:t>
            </w:r>
            <w:r w:rsidRPr="00E66334">
              <w:rPr>
                <w:lang w:eastAsia="en-GB"/>
              </w:rPr>
              <w:t>eek 48</w:t>
            </w:r>
          </w:p>
        </w:tc>
        <w:tc>
          <w:tcPr>
            <w:tcW w:w="1009" w:type="pct"/>
            <w:tcBorders>
              <w:top w:val="single" w:sz="4" w:space="0" w:color="auto"/>
              <w:left w:val="single" w:sz="4" w:space="0" w:color="auto"/>
              <w:bottom w:val="single" w:sz="4" w:space="0" w:color="auto"/>
              <w:right w:val="single" w:sz="4" w:space="0" w:color="auto"/>
            </w:tcBorders>
          </w:tcPr>
          <w:p w14:paraId="510150AB" w14:textId="77777777" w:rsidR="007D34B1" w:rsidRPr="00E66334" w:rsidRDefault="005A3D7D" w:rsidP="006878A4">
            <w:pPr>
              <w:tabs>
                <w:tab w:val="clear" w:pos="567"/>
              </w:tabs>
              <w:spacing w:line="240" w:lineRule="auto"/>
              <w:jc w:val="center"/>
            </w:pPr>
            <w:r w:rsidRPr="00E66334">
              <w:t>8.6</w:t>
            </w:r>
          </w:p>
          <w:p w14:paraId="3A808431" w14:textId="77777777" w:rsidR="007D34B1" w:rsidRPr="00E66334" w:rsidRDefault="005A3D7D" w:rsidP="006878A4">
            <w:pPr>
              <w:tabs>
                <w:tab w:val="clear" w:pos="567"/>
              </w:tabs>
              <w:spacing w:line="240" w:lineRule="auto"/>
              <w:jc w:val="center"/>
              <w:rPr>
                <w:lang w:eastAsia="en-GB"/>
              </w:rPr>
            </w:pPr>
            <w:r w:rsidRPr="00E66334">
              <w:t>(5.3, 11.9)</w:t>
            </w:r>
          </w:p>
        </w:tc>
        <w:tc>
          <w:tcPr>
            <w:tcW w:w="732" w:type="pct"/>
            <w:tcBorders>
              <w:top w:val="single" w:sz="4" w:space="0" w:color="auto"/>
              <w:left w:val="single" w:sz="4" w:space="0" w:color="auto"/>
              <w:bottom w:val="single" w:sz="4" w:space="0" w:color="auto"/>
              <w:right w:val="single" w:sz="4" w:space="0" w:color="auto"/>
            </w:tcBorders>
          </w:tcPr>
          <w:p w14:paraId="6F5C1DFF" w14:textId="77777777" w:rsidR="007D34B1" w:rsidRPr="00E66334" w:rsidRDefault="005A3D7D"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3BF7A371" w14:textId="77777777" w:rsidR="007D34B1" w:rsidRPr="00E66334" w:rsidRDefault="005A3D7D" w:rsidP="006878A4">
            <w:pPr>
              <w:tabs>
                <w:tab w:val="clear" w:pos="567"/>
              </w:tabs>
              <w:spacing w:line="240" w:lineRule="auto"/>
              <w:jc w:val="center"/>
              <w:rPr>
                <w:lang w:eastAsia="en-GB"/>
              </w:rPr>
            </w:pPr>
            <w:r w:rsidRPr="00E66334">
              <w:rPr>
                <w:lang w:eastAsia="en-GB"/>
              </w:rPr>
              <w:t>5.1</w:t>
            </w:r>
          </w:p>
          <w:p w14:paraId="2645FDCB" w14:textId="77777777" w:rsidR="007D34B1" w:rsidRPr="00E66334" w:rsidRDefault="005A3D7D" w:rsidP="006878A4">
            <w:pPr>
              <w:tabs>
                <w:tab w:val="clear" w:pos="567"/>
              </w:tabs>
              <w:spacing w:line="240" w:lineRule="auto"/>
              <w:jc w:val="center"/>
              <w:rPr>
                <w:lang w:eastAsia="en-GB"/>
              </w:rPr>
            </w:pPr>
            <w:r w:rsidRPr="00E66334">
              <w:rPr>
                <w:lang w:eastAsia="en-GB"/>
              </w:rPr>
              <w:t>(</w:t>
            </w:r>
            <w:r w:rsidRPr="00E66334">
              <w:rPr>
                <w:lang w:eastAsia="en-GB"/>
              </w:rPr>
              <w:noBreakHyphen/>
              <w:t>1.6, 11.8)</w:t>
            </w:r>
          </w:p>
        </w:tc>
        <w:tc>
          <w:tcPr>
            <w:tcW w:w="894" w:type="pct"/>
            <w:tcBorders>
              <w:top w:val="single" w:sz="4" w:space="0" w:color="auto"/>
              <w:left w:val="single" w:sz="4" w:space="0" w:color="auto"/>
              <w:bottom w:val="single" w:sz="4" w:space="0" w:color="auto"/>
              <w:right w:val="single" w:sz="4" w:space="0" w:color="auto"/>
            </w:tcBorders>
          </w:tcPr>
          <w:p w14:paraId="6626231E" w14:textId="77777777" w:rsidR="007D34B1" w:rsidRPr="00E66334" w:rsidRDefault="005A3D7D" w:rsidP="006878A4">
            <w:pPr>
              <w:keepNext/>
              <w:tabs>
                <w:tab w:val="clear" w:pos="567"/>
              </w:tabs>
              <w:spacing w:line="240" w:lineRule="auto"/>
              <w:jc w:val="center"/>
              <w:rPr>
                <w:lang w:eastAsia="en-GB"/>
              </w:rPr>
            </w:pPr>
            <w:r w:rsidRPr="00E66334">
              <w:rPr>
                <w:lang w:eastAsia="en-GB"/>
              </w:rPr>
              <w:t>0.1354</w:t>
            </w:r>
          </w:p>
        </w:tc>
      </w:tr>
      <w:tr w:rsidR="00476058" w14:paraId="1E576582" w14:textId="77777777" w:rsidTr="006878A4">
        <w:trPr>
          <w:trHeight w:val="199"/>
        </w:trPr>
        <w:tc>
          <w:tcPr>
            <w:tcW w:w="5000" w:type="pct"/>
            <w:gridSpan w:val="5"/>
            <w:tcBorders>
              <w:top w:val="single" w:sz="4" w:space="0" w:color="auto"/>
              <w:left w:val="single" w:sz="4" w:space="0" w:color="auto"/>
              <w:bottom w:val="single" w:sz="4" w:space="0" w:color="auto"/>
              <w:right w:val="single" w:sz="4" w:space="0" w:color="auto"/>
            </w:tcBorders>
          </w:tcPr>
          <w:p w14:paraId="02089561" w14:textId="77777777" w:rsidR="007D34B1" w:rsidRPr="00E66334" w:rsidRDefault="005A3D7D" w:rsidP="006878A4">
            <w:pPr>
              <w:keepNext/>
              <w:tabs>
                <w:tab w:val="clear" w:pos="567"/>
              </w:tabs>
              <w:spacing w:line="240" w:lineRule="auto"/>
              <w:rPr>
                <w:b/>
                <w:bCs/>
                <w:lang w:eastAsia="en-GB"/>
              </w:rPr>
            </w:pPr>
            <w:r w:rsidRPr="00E66334">
              <w:rPr>
                <w:b/>
                <w:bCs/>
              </w:rPr>
              <w:t xml:space="preserve">Relative risk of </w:t>
            </w:r>
            <w:r w:rsidRPr="00E66334">
              <w:rPr>
                <w:b/>
                <w:bCs/>
              </w:rPr>
              <w:t>pulmonary exacerbation</w:t>
            </w:r>
          </w:p>
        </w:tc>
      </w:tr>
      <w:tr w:rsidR="00476058" w14:paraId="04299F5B" w14:textId="77777777" w:rsidTr="006878A4">
        <w:trPr>
          <w:trHeight w:val="210"/>
        </w:trPr>
        <w:tc>
          <w:tcPr>
            <w:tcW w:w="1356" w:type="pct"/>
            <w:tcBorders>
              <w:top w:val="single" w:sz="4" w:space="0" w:color="auto"/>
              <w:left w:val="single" w:sz="4" w:space="0" w:color="auto"/>
              <w:bottom w:val="single" w:sz="4" w:space="0" w:color="auto"/>
              <w:right w:val="single" w:sz="4" w:space="0" w:color="auto"/>
            </w:tcBorders>
          </w:tcPr>
          <w:p w14:paraId="19DDF9B5" w14:textId="77777777" w:rsidR="007D34B1" w:rsidRPr="00E66334" w:rsidRDefault="005A3D7D" w:rsidP="007D34B1">
            <w:pPr>
              <w:keepNext/>
              <w:tabs>
                <w:tab w:val="clear" w:pos="567"/>
              </w:tabs>
              <w:spacing w:line="240" w:lineRule="auto"/>
              <w:rPr>
                <w:lang w:eastAsia="en-GB"/>
              </w:rPr>
            </w:pPr>
            <w:r w:rsidRPr="00E66334">
              <w:rPr>
                <w:lang w:eastAsia="en-GB"/>
              </w:rPr>
              <w:t xml:space="preserve">Through </w:t>
            </w:r>
            <w:r>
              <w:rPr>
                <w:lang w:eastAsia="en-GB"/>
              </w:rPr>
              <w:t>w</w:t>
            </w:r>
            <w:r w:rsidRPr="00E66334">
              <w:rPr>
                <w:lang w:eastAsia="en-GB"/>
              </w:rPr>
              <w:t>eek 24</w:t>
            </w:r>
          </w:p>
        </w:tc>
        <w:tc>
          <w:tcPr>
            <w:tcW w:w="1009" w:type="pct"/>
            <w:tcBorders>
              <w:top w:val="single" w:sz="4" w:space="0" w:color="auto"/>
              <w:left w:val="single" w:sz="4" w:space="0" w:color="auto"/>
              <w:bottom w:val="single" w:sz="4" w:space="0" w:color="auto"/>
              <w:right w:val="single" w:sz="4" w:space="0" w:color="auto"/>
            </w:tcBorders>
          </w:tcPr>
          <w:p w14:paraId="73C15830" w14:textId="77777777" w:rsidR="007D34B1" w:rsidRPr="00E66334" w:rsidRDefault="005A3D7D" w:rsidP="006878A4">
            <w:pPr>
              <w:keepNext/>
              <w:tabs>
                <w:tab w:val="clear" w:pos="567"/>
              </w:tabs>
              <w:spacing w:line="240" w:lineRule="auto"/>
              <w:jc w:val="center"/>
              <w:rPr>
                <w:lang w:eastAsia="en-GB"/>
              </w:rPr>
            </w:pPr>
            <w:r w:rsidRPr="00E66334">
              <w:t>0.40</w:t>
            </w:r>
            <w:r w:rsidRPr="00E66334">
              <w:rPr>
                <w:vertAlign w:val="superscript"/>
                <w:lang w:eastAsia="en-GB"/>
              </w:rPr>
              <w:t>d</w:t>
            </w:r>
          </w:p>
        </w:tc>
        <w:tc>
          <w:tcPr>
            <w:tcW w:w="732" w:type="pct"/>
            <w:tcBorders>
              <w:top w:val="single" w:sz="4" w:space="0" w:color="auto"/>
              <w:left w:val="single" w:sz="4" w:space="0" w:color="auto"/>
              <w:bottom w:val="single" w:sz="4" w:space="0" w:color="auto"/>
              <w:right w:val="single" w:sz="4" w:space="0" w:color="auto"/>
            </w:tcBorders>
          </w:tcPr>
          <w:p w14:paraId="5B61158F" w14:textId="77777777" w:rsidR="007D34B1" w:rsidRPr="00E66334" w:rsidRDefault="005A3D7D" w:rsidP="006878A4">
            <w:pPr>
              <w:keepNext/>
              <w:tabs>
                <w:tab w:val="clear" w:pos="567"/>
              </w:tabs>
              <w:spacing w:line="240" w:lineRule="auto"/>
              <w:jc w:val="center"/>
              <w:rPr>
                <w:lang w:eastAsia="en-GB"/>
              </w:rPr>
            </w:pPr>
            <w:r w:rsidRPr="00E66334">
              <w:t>0.0016</w:t>
            </w:r>
          </w:p>
        </w:tc>
        <w:tc>
          <w:tcPr>
            <w:tcW w:w="1009" w:type="pct"/>
            <w:tcBorders>
              <w:top w:val="single" w:sz="4" w:space="0" w:color="auto"/>
              <w:left w:val="single" w:sz="4" w:space="0" w:color="auto"/>
              <w:bottom w:val="single" w:sz="4" w:space="0" w:color="auto"/>
              <w:right w:val="single" w:sz="4" w:space="0" w:color="auto"/>
            </w:tcBorders>
          </w:tcPr>
          <w:p w14:paraId="3684ECFC" w14:textId="77777777" w:rsidR="007D34B1" w:rsidRPr="00E66334" w:rsidRDefault="005A3D7D" w:rsidP="006878A4">
            <w:pPr>
              <w:keepNext/>
              <w:tabs>
                <w:tab w:val="clear" w:pos="567"/>
              </w:tabs>
              <w:spacing w:line="240" w:lineRule="auto"/>
              <w:jc w:val="center"/>
              <w:rPr>
                <w:lang w:eastAsia="en-GB"/>
              </w:rPr>
            </w:pPr>
            <w:r w:rsidRPr="00E66334">
              <w:rPr>
                <w:lang w:eastAsia="en-GB"/>
              </w:rPr>
              <w:t>NA</w:t>
            </w:r>
          </w:p>
        </w:tc>
        <w:tc>
          <w:tcPr>
            <w:tcW w:w="894" w:type="pct"/>
            <w:tcBorders>
              <w:top w:val="single" w:sz="4" w:space="0" w:color="auto"/>
              <w:left w:val="single" w:sz="4" w:space="0" w:color="auto"/>
              <w:bottom w:val="single" w:sz="4" w:space="0" w:color="auto"/>
              <w:right w:val="single" w:sz="4" w:space="0" w:color="auto"/>
            </w:tcBorders>
          </w:tcPr>
          <w:p w14:paraId="248457D0" w14:textId="77777777" w:rsidR="007D34B1" w:rsidRPr="00E66334" w:rsidRDefault="005A3D7D" w:rsidP="006878A4">
            <w:pPr>
              <w:keepNext/>
              <w:tabs>
                <w:tab w:val="clear" w:pos="567"/>
              </w:tabs>
              <w:spacing w:line="240" w:lineRule="auto"/>
              <w:jc w:val="center"/>
              <w:rPr>
                <w:lang w:eastAsia="en-GB"/>
              </w:rPr>
            </w:pPr>
            <w:r w:rsidRPr="00E66334">
              <w:rPr>
                <w:lang w:eastAsia="en-GB"/>
              </w:rPr>
              <w:t>NA</w:t>
            </w:r>
          </w:p>
        </w:tc>
      </w:tr>
      <w:tr w:rsidR="00476058" w14:paraId="7124B3EC" w14:textId="77777777" w:rsidTr="006878A4">
        <w:trPr>
          <w:trHeight w:val="199"/>
        </w:trPr>
        <w:tc>
          <w:tcPr>
            <w:tcW w:w="1356" w:type="pct"/>
            <w:tcBorders>
              <w:top w:val="single" w:sz="4" w:space="0" w:color="auto"/>
              <w:left w:val="single" w:sz="4" w:space="0" w:color="auto"/>
              <w:bottom w:val="single" w:sz="4" w:space="0" w:color="auto"/>
              <w:right w:val="single" w:sz="4" w:space="0" w:color="auto"/>
            </w:tcBorders>
          </w:tcPr>
          <w:p w14:paraId="4BD322E6" w14:textId="77777777" w:rsidR="007D34B1" w:rsidRPr="00E66334" w:rsidRDefault="005A3D7D" w:rsidP="007D34B1">
            <w:pPr>
              <w:keepNext/>
              <w:tabs>
                <w:tab w:val="clear" w:pos="567"/>
              </w:tabs>
              <w:spacing w:line="240" w:lineRule="auto"/>
            </w:pPr>
            <w:r w:rsidRPr="00E66334">
              <w:rPr>
                <w:lang w:eastAsia="en-GB"/>
              </w:rPr>
              <w:t xml:space="preserve">Through </w:t>
            </w:r>
            <w:r>
              <w:rPr>
                <w:lang w:eastAsia="en-GB"/>
              </w:rPr>
              <w:t>w</w:t>
            </w:r>
            <w:r w:rsidRPr="00E66334">
              <w:rPr>
                <w:lang w:eastAsia="en-GB"/>
              </w:rPr>
              <w:t>eek 48</w:t>
            </w:r>
          </w:p>
        </w:tc>
        <w:tc>
          <w:tcPr>
            <w:tcW w:w="1009" w:type="pct"/>
            <w:tcBorders>
              <w:top w:val="single" w:sz="4" w:space="0" w:color="auto"/>
              <w:left w:val="single" w:sz="4" w:space="0" w:color="auto"/>
              <w:bottom w:val="single" w:sz="4" w:space="0" w:color="auto"/>
              <w:right w:val="single" w:sz="4" w:space="0" w:color="auto"/>
            </w:tcBorders>
          </w:tcPr>
          <w:p w14:paraId="7DEEBE46" w14:textId="77777777" w:rsidR="007D34B1" w:rsidRPr="00E66334" w:rsidRDefault="005A3D7D" w:rsidP="006878A4">
            <w:pPr>
              <w:keepNext/>
              <w:tabs>
                <w:tab w:val="clear" w:pos="567"/>
              </w:tabs>
              <w:spacing w:line="240" w:lineRule="auto"/>
              <w:jc w:val="center"/>
              <w:rPr>
                <w:lang w:eastAsia="en-GB"/>
              </w:rPr>
            </w:pPr>
            <w:r w:rsidRPr="00E66334">
              <w:rPr>
                <w:lang w:eastAsia="en-GB"/>
              </w:rPr>
              <w:t>0.46</w:t>
            </w:r>
            <w:r w:rsidRPr="00E66334">
              <w:rPr>
                <w:vertAlign w:val="superscript"/>
                <w:lang w:eastAsia="en-GB"/>
              </w:rPr>
              <w:t>d</w:t>
            </w:r>
          </w:p>
        </w:tc>
        <w:tc>
          <w:tcPr>
            <w:tcW w:w="732" w:type="pct"/>
            <w:tcBorders>
              <w:top w:val="single" w:sz="4" w:space="0" w:color="auto"/>
              <w:left w:val="single" w:sz="4" w:space="0" w:color="auto"/>
              <w:bottom w:val="single" w:sz="4" w:space="0" w:color="auto"/>
              <w:right w:val="single" w:sz="4" w:space="0" w:color="auto"/>
            </w:tcBorders>
          </w:tcPr>
          <w:p w14:paraId="4B0672C6" w14:textId="77777777" w:rsidR="007D34B1" w:rsidRPr="00E66334" w:rsidRDefault="005A3D7D" w:rsidP="006878A4">
            <w:pPr>
              <w:keepNext/>
              <w:tabs>
                <w:tab w:val="clear" w:pos="567"/>
              </w:tabs>
              <w:spacing w:line="240" w:lineRule="auto"/>
              <w:jc w:val="center"/>
              <w:rPr>
                <w:lang w:eastAsia="en-GB"/>
              </w:rPr>
            </w:pPr>
            <w:r w:rsidRPr="00E66334">
              <w:rPr>
                <w:lang w:eastAsia="en-GB"/>
              </w:rPr>
              <w:t>0.0012</w:t>
            </w:r>
          </w:p>
        </w:tc>
        <w:tc>
          <w:tcPr>
            <w:tcW w:w="1009" w:type="pct"/>
            <w:tcBorders>
              <w:top w:val="single" w:sz="4" w:space="0" w:color="auto"/>
              <w:left w:val="single" w:sz="4" w:space="0" w:color="auto"/>
              <w:bottom w:val="single" w:sz="4" w:space="0" w:color="auto"/>
              <w:right w:val="single" w:sz="4" w:space="0" w:color="auto"/>
            </w:tcBorders>
          </w:tcPr>
          <w:p w14:paraId="516DECC5" w14:textId="77777777" w:rsidR="007D34B1" w:rsidRPr="00E66334" w:rsidRDefault="005A3D7D" w:rsidP="006878A4">
            <w:pPr>
              <w:keepNext/>
              <w:tabs>
                <w:tab w:val="clear" w:pos="567"/>
              </w:tabs>
              <w:spacing w:line="240" w:lineRule="auto"/>
              <w:jc w:val="center"/>
              <w:rPr>
                <w:lang w:eastAsia="en-GB"/>
              </w:rPr>
            </w:pPr>
            <w:r w:rsidRPr="00E66334">
              <w:rPr>
                <w:lang w:eastAsia="en-GB"/>
              </w:rPr>
              <w:t>NA</w:t>
            </w:r>
          </w:p>
        </w:tc>
        <w:tc>
          <w:tcPr>
            <w:tcW w:w="894" w:type="pct"/>
            <w:tcBorders>
              <w:top w:val="single" w:sz="4" w:space="0" w:color="auto"/>
              <w:left w:val="single" w:sz="4" w:space="0" w:color="auto"/>
              <w:bottom w:val="single" w:sz="4" w:space="0" w:color="auto"/>
              <w:right w:val="single" w:sz="4" w:space="0" w:color="auto"/>
            </w:tcBorders>
          </w:tcPr>
          <w:p w14:paraId="01212F6A" w14:textId="77777777" w:rsidR="007D34B1" w:rsidRPr="00E66334" w:rsidRDefault="005A3D7D" w:rsidP="006878A4">
            <w:pPr>
              <w:keepNext/>
              <w:tabs>
                <w:tab w:val="clear" w:pos="567"/>
              </w:tabs>
              <w:spacing w:line="240" w:lineRule="auto"/>
              <w:jc w:val="center"/>
              <w:rPr>
                <w:lang w:eastAsia="en-GB"/>
              </w:rPr>
            </w:pPr>
            <w:r w:rsidRPr="00E66334">
              <w:rPr>
                <w:lang w:eastAsia="en-GB"/>
              </w:rPr>
              <w:t>NA</w:t>
            </w:r>
          </w:p>
        </w:tc>
      </w:tr>
      <w:tr w:rsidR="00476058" w14:paraId="208BB650" w14:textId="77777777" w:rsidTr="006878A4">
        <w:trPr>
          <w:trHeight w:val="210"/>
        </w:trPr>
        <w:tc>
          <w:tcPr>
            <w:tcW w:w="5000" w:type="pct"/>
            <w:gridSpan w:val="5"/>
            <w:tcBorders>
              <w:top w:val="single" w:sz="4" w:space="0" w:color="auto"/>
              <w:left w:val="single" w:sz="4" w:space="0" w:color="auto"/>
              <w:bottom w:val="single" w:sz="4" w:space="0" w:color="auto"/>
              <w:right w:val="single" w:sz="4" w:space="0" w:color="auto"/>
            </w:tcBorders>
          </w:tcPr>
          <w:p w14:paraId="28174A57" w14:textId="77777777" w:rsidR="007D34B1" w:rsidRPr="00E66334" w:rsidRDefault="005A3D7D" w:rsidP="006878A4">
            <w:pPr>
              <w:keepNext/>
              <w:tabs>
                <w:tab w:val="clear" w:pos="567"/>
              </w:tabs>
              <w:spacing w:line="240" w:lineRule="auto"/>
              <w:rPr>
                <w:b/>
                <w:bCs/>
                <w:lang w:eastAsia="en-GB"/>
              </w:rPr>
            </w:pPr>
            <w:r w:rsidRPr="00E66334">
              <w:rPr>
                <w:b/>
                <w:bCs/>
              </w:rPr>
              <w:t>Mean absolute change from baseline in body weight (kg)</w:t>
            </w:r>
          </w:p>
        </w:tc>
      </w:tr>
      <w:tr w:rsidR="00476058" w14:paraId="0DDECDF6" w14:textId="77777777" w:rsidTr="006878A4">
        <w:trPr>
          <w:trHeight w:val="377"/>
        </w:trPr>
        <w:tc>
          <w:tcPr>
            <w:tcW w:w="1356" w:type="pct"/>
            <w:tcBorders>
              <w:top w:val="single" w:sz="4" w:space="0" w:color="auto"/>
              <w:left w:val="single" w:sz="4" w:space="0" w:color="auto"/>
              <w:bottom w:val="single" w:sz="4" w:space="0" w:color="auto"/>
              <w:right w:val="single" w:sz="4" w:space="0" w:color="auto"/>
            </w:tcBorders>
          </w:tcPr>
          <w:p w14:paraId="2ADDD236" w14:textId="77777777" w:rsidR="007D34B1" w:rsidRPr="00E66334" w:rsidRDefault="005A3D7D" w:rsidP="007D34B1">
            <w:pPr>
              <w:tabs>
                <w:tab w:val="clear" w:pos="567"/>
              </w:tabs>
              <w:spacing w:line="240" w:lineRule="auto"/>
              <w:rPr>
                <w:lang w:eastAsia="en-GB"/>
              </w:rPr>
            </w:pPr>
            <w:r w:rsidRPr="00E66334">
              <w:t>At </w:t>
            </w:r>
            <w:r>
              <w:t>w</w:t>
            </w:r>
            <w:r w:rsidRPr="00E66334">
              <w:t>eek 24</w:t>
            </w:r>
          </w:p>
        </w:tc>
        <w:tc>
          <w:tcPr>
            <w:tcW w:w="1009" w:type="pct"/>
            <w:tcBorders>
              <w:top w:val="single" w:sz="4" w:space="0" w:color="auto"/>
              <w:left w:val="single" w:sz="4" w:space="0" w:color="auto"/>
              <w:bottom w:val="single" w:sz="4" w:space="0" w:color="auto"/>
              <w:right w:val="single" w:sz="4" w:space="0" w:color="auto"/>
            </w:tcBorders>
          </w:tcPr>
          <w:p w14:paraId="1AD62F78" w14:textId="77777777" w:rsidR="007D34B1" w:rsidRPr="00E66334" w:rsidRDefault="005A3D7D" w:rsidP="006878A4">
            <w:pPr>
              <w:tabs>
                <w:tab w:val="clear" w:pos="567"/>
              </w:tabs>
              <w:spacing w:line="240" w:lineRule="auto"/>
              <w:jc w:val="center"/>
            </w:pPr>
            <w:r w:rsidRPr="00E66334">
              <w:t>2.8</w:t>
            </w:r>
          </w:p>
          <w:p w14:paraId="25E7DDDF" w14:textId="77777777" w:rsidR="007D34B1" w:rsidRPr="00E66334" w:rsidRDefault="005A3D7D" w:rsidP="006878A4">
            <w:pPr>
              <w:tabs>
                <w:tab w:val="clear" w:pos="567"/>
              </w:tabs>
              <w:spacing w:line="240" w:lineRule="auto"/>
              <w:jc w:val="center"/>
              <w:rPr>
                <w:lang w:eastAsia="en-GB"/>
              </w:rPr>
            </w:pPr>
            <w:r w:rsidRPr="00E66334">
              <w:t>(1.8, 3.7)</w:t>
            </w:r>
          </w:p>
        </w:tc>
        <w:tc>
          <w:tcPr>
            <w:tcW w:w="732" w:type="pct"/>
            <w:tcBorders>
              <w:top w:val="single" w:sz="4" w:space="0" w:color="auto"/>
              <w:left w:val="single" w:sz="4" w:space="0" w:color="auto"/>
              <w:bottom w:val="single" w:sz="4" w:space="0" w:color="auto"/>
              <w:right w:val="single" w:sz="4" w:space="0" w:color="auto"/>
            </w:tcBorders>
          </w:tcPr>
          <w:p w14:paraId="4B376E3B" w14:textId="77777777" w:rsidR="007D34B1" w:rsidRPr="00E66334" w:rsidRDefault="005A3D7D" w:rsidP="006878A4">
            <w:pPr>
              <w:tabs>
                <w:tab w:val="clear" w:pos="567"/>
              </w:tabs>
              <w:spacing w:line="240" w:lineRule="auto"/>
              <w:jc w:val="center"/>
              <w:rPr>
                <w:lang w:eastAsia="en-GB"/>
              </w:rPr>
            </w:pPr>
            <w:r w:rsidRPr="00E66334">
              <w:t>&lt;</w:t>
            </w:r>
            <w:r>
              <w:t> </w:t>
            </w:r>
            <w:r w:rsidRPr="00E66334">
              <w:t>0.0001</w:t>
            </w:r>
          </w:p>
        </w:tc>
        <w:tc>
          <w:tcPr>
            <w:tcW w:w="1009" w:type="pct"/>
            <w:tcBorders>
              <w:top w:val="single" w:sz="4" w:space="0" w:color="auto"/>
              <w:left w:val="single" w:sz="4" w:space="0" w:color="auto"/>
              <w:bottom w:val="single" w:sz="4" w:space="0" w:color="auto"/>
              <w:right w:val="single" w:sz="4" w:space="0" w:color="auto"/>
            </w:tcBorders>
          </w:tcPr>
          <w:p w14:paraId="288CAC72" w14:textId="77777777" w:rsidR="007D34B1" w:rsidRPr="00E66334" w:rsidRDefault="005A3D7D" w:rsidP="006878A4">
            <w:pPr>
              <w:tabs>
                <w:tab w:val="clear" w:pos="567"/>
              </w:tabs>
              <w:spacing w:line="240" w:lineRule="auto"/>
              <w:jc w:val="center"/>
            </w:pPr>
            <w:r w:rsidRPr="00E66334">
              <w:t>1.9</w:t>
            </w:r>
          </w:p>
          <w:p w14:paraId="37C0512E" w14:textId="77777777" w:rsidR="007D34B1" w:rsidRPr="00E66334" w:rsidRDefault="005A3D7D" w:rsidP="006878A4">
            <w:pPr>
              <w:tabs>
                <w:tab w:val="clear" w:pos="567"/>
              </w:tabs>
              <w:spacing w:line="240" w:lineRule="auto"/>
              <w:jc w:val="center"/>
              <w:rPr>
                <w:lang w:eastAsia="en-GB"/>
              </w:rPr>
            </w:pPr>
            <w:r w:rsidRPr="00E66334">
              <w:rPr>
                <w:lang w:eastAsia="en-GB"/>
              </w:rPr>
              <w:t>(0.9, 2.9)</w:t>
            </w:r>
          </w:p>
        </w:tc>
        <w:tc>
          <w:tcPr>
            <w:tcW w:w="894" w:type="pct"/>
            <w:tcBorders>
              <w:top w:val="single" w:sz="4" w:space="0" w:color="auto"/>
              <w:left w:val="single" w:sz="4" w:space="0" w:color="auto"/>
              <w:bottom w:val="single" w:sz="4" w:space="0" w:color="auto"/>
              <w:right w:val="single" w:sz="4" w:space="0" w:color="auto"/>
            </w:tcBorders>
          </w:tcPr>
          <w:p w14:paraId="67F71B4A" w14:textId="77777777" w:rsidR="007D34B1" w:rsidRPr="00E66334" w:rsidRDefault="005A3D7D" w:rsidP="006878A4">
            <w:pPr>
              <w:keepNext/>
              <w:tabs>
                <w:tab w:val="clear" w:pos="567"/>
              </w:tabs>
              <w:spacing w:line="240" w:lineRule="auto"/>
              <w:jc w:val="center"/>
              <w:rPr>
                <w:lang w:eastAsia="en-GB"/>
              </w:rPr>
            </w:pPr>
            <w:r w:rsidRPr="00E66334">
              <w:rPr>
                <w:lang w:eastAsia="en-GB"/>
              </w:rPr>
              <w:t>0.0004</w:t>
            </w:r>
          </w:p>
        </w:tc>
      </w:tr>
      <w:tr w:rsidR="00476058" w14:paraId="3C28FD5C"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3790154F" w14:textId="77777777" w:rsidR="007D34B1" w:rsidRPr="00E66334" w:rsidRDefault="005A3D7D" w:rsidP="007D34B1">
            <w:pPr>
              <w:tabs>
                <w:tab w:val="clear" w:pos="567"/>
              </w:tabs>
              <w:spacing w:line="240" w:lineRule="auto"/>
            </w:pPr>
            <w:r w:rsidRPr="00E66334">
              <w:t>At </w:t>
            </w:r>
            <w:r>
              <w:t>w</w:t>
            </w:r>
            <w:r w:rsidRPr="00E66334">
              <w:t>eek 48</w:t>
            </w:r>
          </w:p>
        </w:tc>
        <w:tc>
          <w:tcPr>
            <w:tcW w:w="1009" w:type="pct"/>
            <w:tcBorders>
              <w:top w:val="single" w:sz="4" w:space="0" w:color="auto"/>
              <w:left w:val="single" w:sz="4" w:space="0" w:color="auto"/>
              <w:bottom w:val="single" w:sz="4" w:space="0" w:color="auto"/>
              <w:right w:val="single" w:sz="4" w:space="0" w:color="auto"/>
            </w:tcBorders>
          </w:tcPr>
          <w:p w14:paraId="2D8E415B" w14:textId="77777777" w:rsidR="007D34B1" w:rsidRPr="00E66334" w:rsidRDefault="005A3D7D" w:rsidP="006878A4">
            <w:pPr>
              <w:tabs>
                <w:tab w:val="clear" w:pos="567"/>
                <w:tab w:val="left" w:pos="715"/>
              </w:tabs>
              <w:spacing w:line="240" w:lineRule="auto"/>
              <w:jc w:val="center"/>
            </w:pPr>
            <w:r w:rsidRPr="00E66334">
              <w:t>2.7</w:t>
            </w:r>
          </w:p>
          <w:p w14:paraId="456E08BD" w14:textId="77777777" w:rsidR="007D34B1" w:rsidRPr="00E66334" w:rsidRDefault="005A3D7D" w:rsidP="006878A4">
            <w:pPr>
              <w:tabs>
                <w:tab w:val="clear" w:pos="567"/>
              </w:tabs>
              <w:spacing w:line="240" w:lineRule="auto"/>
              <w:jc w:val="center"/>
              <w:rPr>
                <w:lang w:eastAsia="en-GB"/>
              </w:rPr>
            </w:pPr>
            <w:r w:rsidRPr="00E66334">
              <w:t>(1.3, 4.1)</w:t>
            </w:r>
          </w:p>
        </w:tc>
        <w:tc>
          <w:tcPr>
            <w:tcW w:w="732" w:type="pct"/>
            <w:tcBorders>
              <w:top w:val="single" w:sz="4" w:space="0" w:color="auto"/>
              <w:left w:val="single" w:sz="4" w:space="0" w:color="auto"/>
              <w:bottom w:val="single" w:sz="4" w:space="0" w:color="auto"/>
              <w:right w:val="single" w:sz="4" w:space="0" w:color="auto"/>
            </w:tcBorders>
          </w:tcPr>
          <w:p w14:paraId="29521BD8" w14:textId="77777777" w:rsidR="007D34B1" w:rsidRPr="00E66334" w:rsidRDefault="005A3D7D" w:rsidP="006878A4">
            <w:pPr>
              <w:tabs>
                <w:tab w:val="clear" w:pos="567"/>
              </w:tabs>
              <w:spacing w:line="240" w:lineRule="auto"/>
              <w:jc w:val="center"/>
              <w:rPr>
                <w:lang w:eastAsia="en-GB"/>
              </w:rPr>
            </w:pP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4E02F77F" w14:textId="77777777" w:rsidR="007D34B1" w:rsidRPr="00E66334" w:rsidRDefault="005A3D7D" w:rsidP="006878A4">
            <w:pPr>
              <w:tabs>
                <w:tab w:val="clear" w:pos="567"/>
                <w:tab w:val="left" w:pos="654"/>
              </w:tabs>
              <w:spacing w:line="240" w:lineRule="auto"/>
              <w:jc w:val="center"/>
              <w:rPr>
                <w:lang w:eastAsia="en-GB"/>
              </w:rPr>
            </w:pPr>
            <w:r w:rsidRPr="00E66334">
              <w:rPr>
                <w:lang w:eastAsia="en-GB"/>
              </w:rPr>
              <w:t>2.8</w:t>
            </w:r>
          </w:p>
          <w:p w14:paraId="62DDAEA8" w14:textId="77777777" w:rsidR="007D34B1" w:rsidRPr="00E66334" w:rsidRDefault="005A3D7D" w:rsidP="006878A4">
            <w:pPr>
              <w:tabs>
                <w:tab w:val="clear" w:pos="567"/>
              </w:tabs>
              <w:spacing w:line="240" w:lineRule="auto"/>
              <w:jc w:val="center"/>
              <w:rPr>
                <w:lang w:eastAsia="en-GB"/>
              </w:rPr>
            </w:pPr>
            <w:r w:rsidRPr="00E66334">
              <w:rPr>
                <w:lang w:eastAsia="en-GB"/>
              </w:rPr>
              <w:t>(1.3, 4.2)</w:t>
            </w:r>
          </w:p>
        </w:tc>
        <w:tc>
          <w:tcPr>
            <w:tcW w:w="894" w:type="pct"/>
            <w:tcBorders>
              <w:top w:val="single" w:sz="4" w:space="0" w:color="auto"/>
              <w:left w:val="single" w:sz="4" w:space="0" w:color="auto"/>
              <w:bottom w:val="single" w:sz="4" w:space="0" w:color="auto"/>
              <w:right w:val="single" w:sz="4" w:space="0" w:color="auto"/>
            </w:tcBorders>
          </w:tcPr>
          <w:p w14:paraId="6D8255F8" w14:textId="77777777" w:rsidR="007D34B1" w:rsidRPr="00E66334" w:rsidRDefault="005A3D7D" w:rsidP="006878A4">
            <w:pPr>
              <w:keepNext/>
              <w:tabs>
                <w:tab w:val="clear" w:pos="567"/>
              </w:tabs>
              <w:spacing w:line="240" w:lineRule="auto"/>
              <w:jc w:val="center"/>
              <w:rPr>
                <w:lang w:eastAsia="en-GB"/>
              </w:rPr>
            </w:pPr>
            <w:r w:rsidRPr="00E66334">
              <w:rPr>
                <w:lang w:eastAsia="en-GB"/>
              </w:rPr>
              <w:t>0.0002</w:t>
            </w:r>
          </w:p>
        </w:tc>
      </w:tr>
      <w:tr w:rsidR="00476058" w14:paraId="29F377C1" w14:textId="77777777" w:rsidTr="006878A4">
        <w:trPr>
          <w:trHeight w:val="310"/>
        </w:trPr>
        <w:tc>
          <w:tcPr>
            <w:tcW w:w="5000" w:type="pct"/>
            <w:gridSpan w:val="5"/>
            <w:tcBorders>
              <w:left w:val="single" w:sz="4" w:space="0" w:color="auto"/>
              <w:bottom w:val="single" w:sz="4" w:space="0" w:color="auto"/>
              <w:right w:val="single" w:sz="4" w:space="0" w:color="auto"/>
            </w:tcBorders>
          </w:tcPr>
          <w:p w14:paraId="0B8C8C6A" w14:textId="77777777" w:rsidR="007D34B1" w:rsidRPr="00E66334" w:rsidRDefault="005A3D7D" w:rsidP="006878A4">
            <w:pPr>
              <w:keepNext/>
              <w:tabs>
                <w:tab w:val="clear" w:pos="567"/>
              </w:tabs>
              <w:spacing w:line="240" w:lineRule="auto"/>
              <w:rPr>
                <w:b/>
                <w:lang w:eastAsia="en-GB"/>
              </w:rPr>
            </w:pPr>
            <w:r w:rsidRPr="00E66334">
              <w:rPr>
                <w:b/>
                <w:lang w:eastAsia="en-GB"/>
              </w:rPr>
              <w:t>Mean absolute change from baseline in BMI (kg/m</w:t>
            </w:r>
            <w:r w:rsidRPr="00E66334">
              <w:rPr>
                <w:b/>
                <w:vertAlign w:val="superscript"/>
                <w:lang w:eastAsia="en-GB"/>
              </w:rPr>
              <w:t>2</w:t>
            </w:r>
            <w:r w:rsidRPr="00E66334">
              <w:rPr>
                <w:b/>
                <w:lang w:eastAsia="en-GB"/>
              </w:rPr>
              <w:t>)</w:t>
            </w:r>
          </w:p>
        </w:tc>
      </w:tr>
      <w:tr w:rsidR="00476058" w14:paraId="41ABB828"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7C45F842" w14:textId="77777777" w:rsidR="007D34B1" w:rsidRPr="00E66334" w:rsidRDefault="005A3D7D" w:rsidP="007D34B1">
            <w:pPr>
              <w:tabs>
                <w:tab w:val="clear" w:pos="567"/>
              </w:tabs>
              <w:spacing w:line="240" w:lineRule="auto"/>
            </w:pPr>
            <w:r w:rsidRPr="00E66334">
              <w:t xml:space="preserve">At </w:t>
            </w:r>
            <w:r>
              <w:t>w</w:t>
            </w:r>
            <w:r w:rsidRPr="00E66334">
              <w:t>eek 24</w:t>
            </w:r>
          </w:p>
        </w:tc>
        <w:tc>
          <w:tcPr>
            <w:tcW w:w="1009" w:type="pct"/>
            <w:tcBorders>
              <w:top w:val="single" w:sz="4" w:space="0" w:color="auto"/>
              <w:left w:val="single" w:sz="4" w:space="0" w:color="auto"/>
              <w:bottom w:val="single" w:sz="4" w:space="0" w:color="auto"/>
              <w:right w:val="single" w:sz="4" w:space="0" w:color="auto"/>
            </w:tcBorders>
          </w:tcPr>
          <w:p w14:paraId="2351F151" w14:textId="77777777" w:rsidR="007D34B1" w:rsidRPr="00E66334" w:rsidRDefault="005A3D7D" w:rsidP="006878A4">
            <w:pPr>
              <w:tabs>
                <w:tab w:val="clear" w:pos="567"/>
                <w:tab w:val="left" w:pos="704"/>
              </w:tabs>
              <w:spacing w:line="240" w:lineRule="auto"/>
              <w:jc w:val="center"/>
            </w:pPr>
            <w:r w:rsidRPr="00E66334">
              <w:t>0.94</w:t>
            </w:r>
          </w:p>
          <w:p w14:paraId="19A3754A" w14:textId="77777777" w:rsidR="007D34B1" w:rsidRPr="00E66334" w:rsidRDefault="005A3D7D" w:rsidP="006878A4">
            <w:pPr>
              <w:tabs>
                <w:tab w:val="clear" w:pos="567"/>
                <w:tab w:val="left" w:pos="681"/>
              </w:tabs>
              <w:spacing w:line="240" w:lineRule="auto"/>
              <w:jc w:val="center"/>
            </w:pPr>
            <w:r w:rsidRPr="00E66334">
              <w:t>(0.62, 1.26)</w:t>
            </w:r>
          </w:p>
        </w:tc>
        <w:tc>
          <w:tcPr>
            <w:tcW w:w="732" w:type="pct"/>
            <w:tcBorders>
              <w:top w:val="single" w:sz="4" w:space="0" w:color="auto"/>
              <w:left w:val="single" w:sz="4" w:space="0" w:color="auto"/>
              <w:bottom w:val="single" w:sz="4" w:space="0" w:color="auto"/>
              <w:right w:val="single" w:sz="4" w:space="0" w:color="auto"/>
            </w:tcBorders>
          </w:tcPr>
          <w:p w14:paraId="2ED74896" w14:textId="77777777" w:rsidR="007D34B1" w:rsidRPr="00E66334" w:rsidRDefault="005A3D7D"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14087EE2" w14:textId="77777777" w:rsidR="007D34B1" w:rsidRPr="00E66334" w:rsidRDefault="005A3D7D" w:rsidP="006878A4">
            <w:pPr>
              <w:tabs>
                <w:tab w:val="clear" w:pos="567"/>
              </w:tabs>
              <w:spacing w:line="240" w:lineRule="auto"/>
              <w:jc w:val="center"/>
              <w:rPr>
                <w:lang w:eastAsia="en-GB"/>
              </w:rPr>
            </w:pPr>
            <w:r w:rsidRPr="00E66334">
              <w:rPr>
                <w:lang w:eastAsia="en-GB"/>
              </w:rPr>
              <w:t>0.81</w:t>
            </w:r>
          </w:p>
          <w:p w14:paraId="24F85628" w14:textId="77777777" w:rsidR="007D34B1" w:rsidRPr="00E66334" w:rsidRDefault="005A3D7D" w:rsidP="006878A4">
            <w:pPr>
              <w:tabs>
                <w:tab w:val="clear" w:pos="567"/>
              </w:tabs>
              <w:spacing w:line="240" w:lineRule="auto"/>
              <w:jc w:val="center"/>
              <w:rPr>
                <w:lang w:eastAsia="en-GB"/>
              </w:rPr>
            </w:pPr>
            <w:r w:rsidRPr="00E66334">
              <w:rPr>
                <w:lang w:eastAsia="en-GB"/>
              </w:rPr>
              <w:t>(0.34, 1.28)</w:t>
            </w:r>
          </w:p>
        </w:tc>
        <w:tc>
          <w:tcPr>
            <w:tcW w:w="894" w:type="pct"/>
            <w:tcBorders>
              <w:top w:val="single" w:sz="4" w:space="0" w:color="auto"/>
              <w:left w:val="single" w:sz="4" w:space="0" w:color="auto"/>
              <w:bottom w:val="single" w:sz="4" w:space="0" w:color="auto"/>
              <w:right w:val="single" w:sz="4" w:space="0" w:color="auto"/>
            </w:tcBorders>
          </w:tcPr>
          <w:p w14:paraId="660DFCE5" w14:textId="77777777" w:rsidR="007D34B1" w:rsidRPr="00E66334" w:rsidRDefault="005A3D7D" w:rsidP="006878A4">
            <w:pPr>
              <w:keepNext/>
              <w:tabs>
                <w:tab w:val="clear" w:pos="567"/>
              </w:tabs>
              <w:spacing w:line="240" w:lineRule="auto"/>
              <w:jc w:val="center"/>
              <w:rPr>
                <w:lang w:eastAsia="en-GB"/>
              </w:rPr>
            </w:pPr>
            <w:r w:rsidRPr="00E66334">
              <w:rPr>
                <w:lang w:eastAsia="en-GB"/>
              </w:rPr>
              <w:t>0.0008</w:t>
            </w:r>
          </w:p>
        </w:tc>
      </w:tr>
      <w:tr w:rsidR="00476058" w14:paraId="24B1176D"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73C49DA3" w14:textId="77777777" w:rsidR="007D34B1" w:rsidRPr="00E66334" w:rsidRDefault="005A3D7D" w:rsidP="007D34B1">
            <w:pPr>
              <w:tabs>
                <w:tab w:val="clear" w:pos="567"/>
              </w:tabs>
              <w:spacing w:line="240" w:lineRule="auto"/>
            </w:pPr>
            <w:r w:rsidRPr="00E66334">
              <w:t xml:space="preserve">At </w:t>
            </w:r>
            <w:r>
              <w:t>w</w:t>
            </w:r>
            <w:r w:rsidRPr="00E66334">
              <w:t>eek 48</w:t>
            </w:r>
          </w:p>
        </w:tc>
        <w:tc>
          <w:tcPr>
            <w:tcW w:w="1009" w:type="pct"/>
            <w:tcBorders>
              <w:top w:val="single" w:sz="4" w:space="0" w:color="auto"/>
              <w:left w:val="single" w:sz="4" w:space="0" w:color="auto"/>
              <w:bottom w:val="single" w:sz="4" w:space="0" w:color="auto"/>
              <w:right w:val="single" w:sz="4" w:space="0" w:color="auto"/>
            </w:tcBorders>
          </w:tcPr>
          <w:p w14:paraId="58E05E84" w14:textId="77777777" w:rsidR="007D34B1" w:rsidRPr="00E66334" w:rsidRDefault="005A3D7D" w:rsidP="006878A4">
            <w:pPr>
              <w:tabs>
                <w:tab w:val="clear" w:pos="567"/>
              </w:tabs>
              <w:spacing w:line="240" w:lineRule="auto"/>
              <w:jc w:val="center"/>
            </w:pPr>
            <w:r w:rsidRPr="00E66334">
              <w:t>0.93</w:t>
            </w:r>
          </w:p>
          <w:p w14:paraId="3296C1CD" w14:textId="77777777" w:rsidR="007D34B1" w:rsidRPr="00E66334" w:rsidRDefault="005A3D7D" w:rsidP="006878A4">
            <w:pPr>
              <w:tabs>
                <w:tab w:val="clear" w:pos="567"/>
              </w:tabs>
              <w:spacing w:line="240" w:lineRule="auto"/>
              <w:jc w:val="center"/>
            </w:pPr>
            <w:r w:rsidRPr="00E66334">
              <w:t>(0.48, 1.38)</w:t>
            </w:r>
          </w:p>
        </w:tc>
        <w:tc>
          <w:tcPr>
            <w:tcW w:w="732" w:type="pct"/>
            <w:tcBorders>
              <w:top w:val="single" w:sz="4" w:space="0" w:color="auto"/>
              <w:left w:val="single" w:sz="4" w:space="0" w:color="auto"/>
              <w:bottom w:val="single" w:sz="4" w:space="0" w:color="auto"/>
              <w:right w:val="single" w:sz="4" w:space="0" w:color="auto"/>
            </w:tcBorders>
          </w:tcPr>
          <w:p w14:paraId="5C9592C3" w14:textId="77777777" w:rsidR="007D34B1" w:rsidRPr="00E66334" w:rsidRDefault="005A3D7D" w:rsidP="006878A4">
            <w:pPr>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c>
          <w:tcPr>
            <w:tcW w:w="1009" w:type="pct"/>
            <w:tcBorders>
              <w:top w:val="single" w:sz="4" w:space="0" w:color="auto"/>
              <w:left w:val="single" w:sz="4" w:space="0" w:color="auto"/>
              <w:bottom w:val="single" w:sz="4" w:space="0" w:color="auto"/>
              <w:right w:val="single" w:sz="4" w:space="0" w:color="auto"/>
            </w:tcBorders>
          </w:tcPr>
          <w:p w14:paraId="712C3301" w14:textId="77777777" w:rsidR="007D34B1" w:rsidRPr="00E66334" w:rsidRDefault="005A3D7D" w:rsidP="006878A4">
            <w:pPr>
              <w:tabs>
                <w:tab w:val="clear" w:pos="567"/>
              </w:tabs>
              <w:spacing w:line="240" w:lineRule="auto"/>
              <w:jc w:val="center"/>
              <w:rPr>
                <w:lang w:eastAsia="en-GB"/>
              </w:rPr>
            </w:pPr>
            <w:r w:rsidRPr="00E66334">
              <w:rPr>
                <w:lang w:eastAsia="en-GB"/>
              </w:rPr>
              <w:t>1.09</w:t>
            </w:r>
          </w:p>
          <w:p w14:paraId="47ADAA58" w14:textId="77777777" w:rsidR="007D34B1" w:rsidRPr="00E66334" w:rsidRDefault="005A3D7D" w:rsidP="006878A4">
            <w:pPr>
              <w:tabs>
                <w:tab w:val="clear" w:pos="567"/>
              </w:tabs>
              <w:spacing w:line="240" w:lineRule="auto"/>
              <w:jc w:val="center"/>
              <w:rPr>
                <w:lang w:eastAsia="en-GB"/>
              </w:rPr>
            </w:pPr>
            <w:r w:rsidRPr="00E66334">
              <w:rPr>
                <w:lang w:eastAsia="en-GB"/>
              </w:rPr>
              <w:t>(0.51, 1.67)</w:t>
            </w:r>
          </w:p>
        </w:tc>
        <w:tc>
          <w:tcPr>
            <w:tcW w:w="894" w:type="pct"/>
            <w:tcBorders>
              <w:top w:val="single" w:sz="4" w:space="0" w:color="auto"/>
              <w:left w:val="single" w:sz="4" w:space="0" w:color="auto"/>
              <w:bottom w:val="single" w:sz="4" w:space="0" w:color="auto"/>
              <w:right w:val="single" w:sz="4" w:space="0" w:color="auto"/>
            </w:tcBorders>
          </w:tcPr>
          <w:p w14:paraId="6C6CCAE8" w14:textId="77777777" w:rsidR="007D34B1" w:rsidRPr="00E66334" w:rsidRDefault="005A3D7D" w:rsidP="006878A4">
            <w:pPr>
              <w:keepNext/>
              <w:tabs>
                <w:tab w:val="clear" w:pos="567"/>
              </w:tabs>
              <w:spacing w:line="240" w:lineRule="auto"/>
              <w:jc w:val="center"/>
              <w:rPr>
                <w:lang w:eastAsia="en-GB"/>
              </w:rPr>
            </w:pPr>
            <w:r w:rsidRPr="00E66334">
              <w:rPr>
                <w:lang w:eastAsia="en-GB"/>
              </w:rPr>
              <w:t>0.0003</w:t>
            </w:r>
          </w:p>
        </w:tc>
      </w:tr>
      <w:tr w:rsidR="00476058" w14:paraId="7B95EBF3" w14:textId="77777777" w:rsidTr="006878A4">
        <w:trPr>
          <w:trHeight w:val="301"/>
        </w:trPr>
        <w:tc>
          <w:tcPr>
            <w:tcW w:w="5000" w:type="pct"/>
            <w:gridSpan w:val="5"/>
            <w:tcBorders>
              <w:left w:val="single" w:sz="4" w:space="0" w:color="auto"/>
              <w:bottom w:val="single" w:sz="4" w:space="0" w:color="auto"/>
              <w:right w:val="single" w:sz="4" w:space="0" w:color="auto"/>
            </w:tcBorders>
          </w:tcPr>
          <w:p w14:paraId="38DC6EDD" w14:textId="77777777" w:rsidR="007D34B1" w:rsidRPr="00E66334" w:rsidRDefault="005A3D7D" w:rsidP="006878A4">
            <w:pPr>
              <w:keepNext/>
              <w:tabs>
                <w:tab w:val="clear" w:pos="567"/>
              </w:tabs>
              <w:spacing w:line="240" w:lineRule="auto"/>
              <w:rPr>
                <w:lang w:eastAsia="en-GB"/>
              </w:rPr>
            </w:pPr>
            <w:r w:rsidRPr="00E66334">
              <w:rPr>
                <w:b/>
                <w:lang w:eastAsia="en-GB"/>
              </w:rPr>
              <w:t>Mean change from baseline in z</w:t>
            </w:r>
            <w:r w:rsidRPr="00E66334">
              <w:rPr>
                <w:b/>
                <w:lang w:eastAsia="en-GB"/>
              </w:rPr>
              <w:noBreakHyphen/>
              <w:t>scores</w:t>
            </w:r>
          </w:p>
        </w:tc>
      </w:tr>
      <w:tr w:rsidR="00476058" w14:paraId="09EF3E92"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4189B70C" w14:textId="77777777" w:rsidR="007D34B1" w:rsidRPr="00E66334" w:rsidRDefault="005A3D7D" w:rsidP="007D34B1">
            <w:pPr>
              <w:tabs>
                <w:tab w:val="clear" w:pos="567"/>
              </w:tabs>
              <w:spacing w:line="240" w:lineRule="auto"/>
            </w:pPr>
            <w:r>
              <w:t>W</w:t>
            </w:r>
            <w:r w:rsidRPr="00E66334">
              <w:t>eight</w:t>
            </w:r>
            <w:r w:rsidRPr="00E66334">
              <w:noBreakHyphen/>
              <w:t>for</w:t>
            </w:r>
            <w:r w:rsidRPr="00E66334">
              <w:noBreakHyphen/>
              <w:t>age z</w:t>
            </w:r>
            <w:r w:rsidRPr="00E66334">
              <w:noBreakHyphen/>
            </w:r>
            <w:r w:rsidRPr="00E66334">
              <w:t xml:space="preserve">score at </w:t>
            </w:r>
            <w:r>
              <w:t>w</w:t>
            </w:r>
            <w:r w:rsidRPr="00E66334">
              <w:t>eek 48</w:t>
            </w:r>
            <w:r w:rsidRPr="00E66334">
              <w:rPr>
                <w:vertAlign w:val="superscript"/>
              </w:rPr>
              <w:t>e</w:t>
            </w:r>
          </w:p>
        </w:tc>
        <w:tc>
          <w:tcPr>
            <w:tcW w:w="1009" w:type="pct"/>
            <w:tcBorders>
              <w:top w:val="single" w:sz="4" w:space="0" w:color="auto"/>
              <w:left w:val="single" w:sz="4" w:space="0" w:color="auto"/>
              <w:bottom w:val="single" w:sz="4" w:space="0" w:color="auto"/>
              <w:right w:val="single" w:sz="4" w:space="0" w:color="auto"/>
            </w:tcBorders>
          </w:tcPr>
          <w:p w14:paraId="5B40253E" w14:textId="77777777" w:rsidR="007D34B1" w:rsidRPr="00E66334" w:rsidRDefault="005A3D7D" w:rsidP="006878A4">
            <w:pPr>
              <w:tabs>
                <w:tab w:val="clear" w:pos="567"/>
              </w:tabs>
              <w:spacing w:line="240" w:lineRule="auto"/>
              <w:jc w:val="center"/>
            </w:pPr>
            <w:r w:rsidRPr="00E66334">
              <w:t>0.33</w:t>
            </w:r>
          </w:p>
          <w:p w14:paraId="46E1AC37" w14:textId="77777777" w:rsidR="007D34B1" w:rsidRPr="00E66334" w:rsidRDefault="005A3D7D" w:rsidP="006878A4">
            <w:pPr>
              <w:tabs>
                <w:tab w:val="clear" w:pos="567"/>
              </w:tabs>
              <w:spacing w:line="240" w:lineRule="auto"/>
              <w:jc w:val="center"/>
            </w:pPr>
            <w:r w:rsidRPr="00E66334">
              <w:t>(0.04, 0.62)</w:t>
            </w:r>
          </w:p>
        </w:tc>
        <w:tc>
          <w:tcPr>
            <w:tcW w:w="732" w:type="pct"/>
            <w:tcBorders>
              <w:top w:val="single" w:sz="4" w:space="0" w:color="auto"/>
              <w:left w:val="single" w:sz="4" w:space="0" w:color="auto"/>
              <w:bottom w:val="single" w:sz="4" w:space="0" w:color="auto"/>
              <w:right w:val="single" w:sz="4" w:space="0" w:color="auto"/>
            </w:tcBorders>
          </w:tcPr>
          <w:p w14:paraId="5A989B03" w14:textId="77777777" w:rsidR="007D34B1" w:rsidRPr="00E66334" w:rsidRDefault="005A3D7D" w:rsidP="006878A4">
            <w:pPr>
              <w:tabs>
                <w:tab w:val="clear" w:pos="567"/>
              </w:tabs>
              <w:spacing w:line="240" w:lineRule="auto"/>
              <w:jc w:val="center"/>
              <w:rPr>
                <w:lang w:eastAsia="en-GB"/>
              </w:rPr>
            </w:pPr>
            <w:r w:rsidRPr="00E66334">
              <w:rPr>
                <w:lang w:eastAsia="en-GB"/>
              </w:rPr>
              <w:t>0.0260</w:t>
            </w:r>
          </w:p>
        </w:tc>
        <w:tc>
          <w:tcPr>
            <w:tcW w:w="1009" w:type="pct"/>
            <w:tcBorders>
              <w:top w:val="single" w:sz="4" w:space="0" w:color="auto"/>
              <w:left w:val="single" w:sz="4" w:space="0" w:color="auto"/>
              <w:bottom w:val="single" w:sz="4" w:space="0" w:color="auto"/>
              <w:right w:val="single" w:sz="4" w:space="0" w:color="auto"/>
            </w:tcBorders>
          </w:tcPr>
          <w:p w14:paraId="2B7FA48C" w14:textId="77777777" w:rsidR="007D34B1" w:rsidRPr="00E66334" w:rsidRDefault="005A3D7D" w:rsidP="006878A4">
            <w:pPr>
              <w:tabs>
                <w:tab w:val="clear" w:pos="567"/>
              </w:tabs>
              <w:spacing w:line="240" w:lineRule="auto"/>
              <w:jc w:val="center"/>
              <w:rPr>
                <w:lang w:eastAsia="en-GB"/>
              </w:rPr>
            </w:pPr>
            <w:r w:rsidRPr="00E66334">
              <w:rPr>
                <w:lang w:eastAsia="en-GB"/>
              </w:rPr>
              <w:t>0.39</w:t>
            </w:r>
          </w:p>
          <w:p w14:paraId="5AD85C42" w14:textId="77777777" w:rsidR="007D34B1" w:rsidRPr="00E66334" w:rsidRDefault="005A3D7D" w:rsidP="006878A4">
            <w:pPr>
              <w:tabs>
                <w:tab w:val="clear" w:pos="567"/>
              </w:tabs>
              <w:spacing w:line="240" w:lineRule="auto"/>
              <w:jc w:val="center"/>
              <w:rPr>
                <w:lang w:eastAsia="en-GB"/>
              </w:rPr>
            </w:pPr>
            <w:r w:rsidRPr="00E66334">
              <w:rPr>
                <w:lang w:eastAsia="en-GB"/>
              </w:rPr>
              <w:t>(0.24, 0.53)</w:t>
            </w:r>
          </w:p>
        </w:tc>
        <w:tc>
          <w:tcPr>
            <w:tcW w:w="894" w:type="pct"/>
            <w:tcBorders>
              <w:top w:val="single" w:sz="4" w:space="0" w:color="auto"/>
              <w:left w:val="single" w:sz="4" w:space="0" w:color="auto"/>
              <w:bottom w:val="single" w:sz="4" w:space="0" w:color="auto"/>
              <w:right w:val="single" w:sz="4" w:space="0" w:color="auto"/>
            </w:tcBorders>
          </w:tcPr>
          <w:p w14:paraId="3958422B" w14:textId="77777777" w:rsidR="007D34B1" w:rsidRPr="00E66334" w:rsidRDefault="005A3D7D" w:rsidP="006878A4">
            <w:pPr>
              <w:keepNext/>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r>
      <w:tr w:rsidR="00476058" w14:paraId="3EC74E2E" w14:textId="77777777" w:rsidTr="006878A4">
        <w:trPr>
          <w:trHeight w:val="366"/>
        </w:trPr>
        <w:tc>
          <w:tcPr>
            <w:tcW w:w="1356" w:type="pct"/>
            <w:tcBorders>
              <w:top w:val="single" w:sz="4" w:space="0" w:color="auto"/>
              <w:left w:val="single" w:sz="4" w:space="0" w:color="auto"/>
              <w:bottom w:val="single" w:sz="4" w:space="0" w:color="auto"/>
              <w:right w:val="single" w:sz="4" w:space="0" w:color="auto"/>
            </w:tcBorders>
          </w:tcPr>
          <w:p w14:paraId="3A401D70" w14:textId="77777777" w:rsidR="007D34B1" w:rsidRPr="00E66334" w:rsidRDefault="005A3D7D" w:rsidP="000A093B">
            <w:pPr>
              <w:keepNext/>
              <w:tabs>
                <w:tab w:val="clear" w:pos="567"/>
              </w:tabs>
              <w:spacing w:line="240" w:lineRule="auto"/>
            </w:pPr>
            <w:r w:rsidRPr="00E66334">
              <w:t>BMI</w:t>
            </w:r>
            <w:r w:rsidRPr="00E66334">
              <w:noBreakHyphen/>
              <w:t>for</w:t>
            </w:r>
            <w:r w:rsidRPr="00E66334">
              <w:noBreakHyphen/>
              <w:t>age z</w:t>
            </w:r>
            <w:r w:rsidRPr="00E66334">
              <w:noBreakHyphen/>
              <w:t xml:space="preserve">score at </w:t>
            </w:r>
            <w:r>
              <w:t>w</w:t>
            </w:r>
            <w:r w:rsidRPr="00E66334">
              <w:t>eek 48</w:t>
            </w:r>
            <w:r w:rsidRPr="00E66334">
              <w:rPr>
                <w:vertAlign w:val="superscript"/>
              </w:rPr>
              <w:t>e</w:t>
            </w:r>
          </w:p>
        </w:tc>
        <w:tc>
          <w:tcPr>
            <w:tcW w:w="1009" w:type="pct"/>
            <w:tcBorders>
              <w:top w:val="single" w:sz="4" w:space="0" w:color="auto"/>
              <w:left w:val="single" w:sz="4" w:space="0" w:color="auto"/>
              <w:bottom w:val="single" w:sz="4" w:space="0" w:color="auto"/>
              <w:right w:val="single" w:sz="4" w:space="0" w:color="auto"/>
            </w:tcBorders>
          </w:tcPr>
          <w:p w14:paraId="48B62695" w14:textId="77777777" w:rsidR="007D34B1" w:rsidRPr="00E66334" w:rsidRDefault="005A3D7D" w:rsidP="000A093B">
            <w:pPr>
              <w:keepNext/>
              <w:tabs>
                <w:tab w:val="clear" w:pos="567"/>
              </w:tabs>
              <w:spacing w:line="240" w:lineRule="auto"/>
              <w:jc w:val="center"/>
            </w:pPr>
            <w:r w:rsidRPr="00E66334">
              <w:t>0.33</w:t>
            </w:r>
          </w:p>
          <w:p w14:paraId="0EF2F441" w14:textId="77777777" w:rsidR="007D34B1" w:rsidRPr="00E66334" w:rsidRDefault="005A3D7D" w:rsidP="000A093B">
            <w:pPr>
              <w:keepNext/>
              <w:tabs>
                <w:tab w:val="clear" w:pos="567"/>
              </w:tabs>
              <w:spacing w:line="240" w:lineRule="auto"/>
              <w:jc w:val="center"/>
            </w:pPr>
            <w:r w:rsidRPr="00E66334">
              <w:t>(0.002, 0.65)</w:t>
            </w:r>
          </w:p>
        </w:tc>
        <w:tc>
          <w:tcPr>
            <w:tcW w:w="732" w:type="pct"/>
            <w:tcBorders>
              <w:top w:val="single" w:sz="4" w:space="0" w:color="auto"/>
              <w:left w:val="single" w:sz="4" w:space="0" w:color="auto"/>
              <w:bottom w:val="single" w:sz="4" w:space="0" w:color="auto"/>
              <w:right w:val="single" w:sz="4" w:space="0" w:color="auto"/>
            </w:tcBorders>
          </w:tcPr>
          <w:p w14:paraId="19911817" w14:textId="77777777" w:rsidR="007D34B1" w:rsidRPr="00E66334" w:rsidRDefault="005A3D7D" w:rsidP="000A093B">
            <w:pPr>
              <w:keepNext/>
              <w:tabs>
                <w:tab w:val="clear" w:pos="567"/>
              </w:tabs>
              <w:spacing w:line="240" w:lineRule="auto"/>
              <w:jc w:val="center"/>
              <w:rPr>
                <w:lang w:eastAsia="en-GB"/>
              </w:rPr>
            </w:pPr>
            <w:r w:rsidRPr="00E66334">
              <w:rPr>
                <w:lang w:eastAsia="en-GB"/>
              </w:rPr>
              <w:t>0.0490</w:t>
            </w:r>
          </w:p>
        </w:tc>
        <w:tc>
          <w:tcPr>
            <w:tcW w:w="1009" w:type="pct"/>
            <w:tcBorders>
              <w:top w:val="single" w:sz="4" w:space="0" w:color="auto"/>
              <w:left w:val="single" w:sz="4" w:space="0" w:color="auto"/>
              <w:bottom w:val="single" w:sz="4" w:space="0" w:color="auto"/>
              <w:right w:val="single" w:sz="4" w:space="0" w:color="auto"/>
            </w:tcBorders>
          </w:tcPr>
          <w:p w14:paraId="6E55DFDA" w14:textId="77777777" w:rsidR="007D34B1" w:rsidRPr="00E66334" w:rsidRDefault="005A3D7D" w:rsidP="000A093B">
            <w:pPr>
              <w:keepNext/>
              <w:tabs>
                <w:tab w:val="clear" w:pos="567"/>
              </w:tabs>
              <w:spacing w:line="240" w:lineRule="auto"/>
              <w:jc w:val="center"/>
              <w:rPr>
                <w:lang w:eastAsia="en-GB"/>
              </w:rPr>
            </w:pPr>
            <w:r w:rsidRPr="00E66334">
              <w:rPr>
                <w:lang w:eastAsia="en-GB"/>
              </w:rPr>
              <w:t>0.45</w:t>
            </w:r>
          </w:p>
          <w:p w14:paraId="6F79A28E" w14:textId="77777777" w:rsidR="007D34B1" w:rsidRPr="00E66334" w:rsidRDefault="005A3D7D" w:rsidP="000A093B">
            <w:pPr>
              <w:keepNext/>
              <w:tabs>
                <w:tab w:val="clear" w:pos="567"/>
              </w:tabs>
              <w:spacing w:line="240" w:lineRule="auto"/>
              <w:jc w:val="center"/>
              <w:rPr>
                <w:lang w:eastAsia="en-GB"/>
              </w:rPr>
            </w:pPr>
            <w:r w:rsidRPr="00E66334">
              <w:rPr>
                <w:lang w:eastAsia="en-GB"/>
              </w:rPr>
              <w:t>(0.26, 0.65)</w:t>
            </w:r>
          </w:p>
        </w:tc>
        <w:tc>
          <w:tcPr>
            <w:tcW w:w="894" w:type="pct"/>
            <w:tcBorders>
              <w:top w:val="single" w:sz="4" w:space="0" w:color="auto"/>
              <w:left w:val="single" w:sz="4" w:space="0" w:color="auto"/>
              <w:bottom w:val="single" w:sz="4" w:space="0" w:color="auto"/>
              <w:right w:val="single" w:sz="4" w:space="0" w:color="auto"/>
            </w:tcBorders>
          </w:tcPr>
          <w:p w14:paraId="285E253D" w14:textId="77777777" w:rsidR="007D34B1" w:rsidRPr="00E66334" w:rsidRDefault="005A3D7D" w:rsidP="00B54C58">
            <w:pPr>
              <w:keepNext/>
              <w:tabs>
                <w:tab w:val="clear" w:pos="567"/>
              </w:tabs>
              <w:spacing w:line="240" w:lineRule="auto"/>
              <w:jc w:val="center"/>
              <w:rPr>
                <w:lang w:eastAsia="en-GB"/>
              </w:rPr>
            </w:pPr>
            <w:r w:rsidRPr="00E66334">
              <w:rPr>
                <w:lang w:eastAsia="en-GB"/>
              </w:rPr>
              <w:t>&lt;</w:t>
            </w:r>
            <w:r>
              <w:rPr>
                <w:lang w:eastAsia="en-GB"/>
              </w:rPr>
              <w:t> </w:t>
            </w:r>
            <w:r w:rsidRPr="00E66334">
              <w:rPr>
                <w:lang w:eastAsia="en-GB"/>
              </w:rPr>
              <w:t>0.0001</w:t>
            </w:r>
          </w:p>
        </w:tc>
      </w:tr>
    </w:tbl>
    <w:p w14:paraId="7F0F1D50" w14:textId="77777777" w:rsidR="007B0F2C" w:rsidRPr="00A025B3" w:rsidRDefault="005A3D7D" w:rsidP="000A093B">
      <w:pPr>
        <w:keepNext/>
        <w:spacing w:line="240" w:lineRule="auto"/>
        <w:rPr>
          <w:sz w:val="18"/>
          <w:szCs w:val="18"/>
        </w:rPr>
      </w:pPr>
      <w:r w:rsidRPr="00A025B3">
        <w:rPr>
          <w:sz w:val="18"/>
          <w:szCs w:val="18"/>
        </w:rPr>
        <w:t xml:space="preserve">CI: confidence interval; NA: not analysed due to low incidence of events </w:t>
      </w:r>
    </w:p>
    <w:p w14:paraId="01E487C4" w14:textId="77777777" w:rsidR="007B0F2C" w:rsidRPr="00A025B3" w:rsidRDefault="005A3D7D" w:rsidP="000A093B">
      <w:pPr>
        <w:keepNext/>
        <w:ind w:left="288" w:hanging="288"/>
        <w:rPr>
          <w:sz w:val="18"/>
          <w:szCs w:val="18"/>
        </w:rPr>
      </w:pPr>
      <w:r w:rsidRPr="00A025B3">
        <w:rPr>
          <w:sz w:val="18"/>
          <w:szCs w:val="18"/>
          <w:vertAlign w:val="superscript"/>
        </w:rPr>
        <w:t>a</w:t>
      </w:r>
      <w:r w:rsidRPr="00A025B3">
        <w:rPr>
          <w:sz w:val="18"/>
          <w:szCs w:val="18"/>
        </w:rPr>
        <w:tab/>
        <w:t>Treatment difference = effect of ivacaftor – effect of placebo</w:t>
      </w:r>
    </w:p>
    <w:p w14:paraId="37392DDD" w14:textId="77777777" w:rsidR="007B0F2C" w:rsidRPr="00A025B3" w:rsidRDefault="005A3D7D" w:rsidP="000A093B">
      <w:pPr>
        <w:keepNext/>
        <w:ind w:left="288" w:hanging="288"/>
        <w:rPr>
          <w:sz w:val="18"/>
          <w:szCs w:val="18"/>
        </w:rPr>
      </w:pPr>
      <w:r w:rsidRPr="00A025B3">
        <w:rPr>
          <w:sz w:val="18"/>
          <w:szCs w:val="18"/>
          <w:vertAlign w:val="superscript"/>
        </w:rPr>
        <w:t>b</w:t>
      </w:r>
      <w:r w:rsidRPr="00A025B3">
        <w:rPr>
          <w:sz w:val="18"/>
          <w:szCs w:val="18"/>
        </w:rPr>
        <w:tab/>
        <w:t xml:space="preserve">CFQ-R: Cystic Fibrosis Questionnaire-Revised is a disease-specific, health-related quality-of-life measure for </w:t>
      </w:r>
      <w:r w:rsidRPr="00A025B3">
        <w:rPr>
          <w:sz w:val="18"/>
          <w:szCs w:val="18"/>
        </w:rPr>
        <w:t>CF.</w:t>
      </w:r>
    </w:p>
    <w:p w14:paraId="27A151F4" w14:textId="77777777" w:rsidR="007B0F2C" w:rsidRPr="00A025B3" w:rsidRDefault="005A3D7D" w:rsidP="000A093B">
      <w:pPr>
        <w:keepNext/>
        <w:tabs>
          <w:tab w:val="clear" w:pos="567"/>
        </w:tabs>
        <w:ind w:left="288" w:hanging="288"/>
        <w:rPr>
          <w:sz w:val="18"/>
          <w:szCs w:val="18"/>
        </w:rPr>
      </w:pPr>
      <w:r w:rsidRPr="00A025B3">
        <w:rPr>
          <w:sz w:val="18"/>
          <w:szCs w:val="18"/>
          <w:vertAlign w:val="superscript"/>
        </w:rPr>
        <w:t>c</w:t>
      </w:r>
      <w:r w:rsidRPr="00A025B3">
        <w:rPr>
          <w:sz w:val="18"/>
          <w:szCs w:val="18"/>
        </w:rPr>
        <w:tab/>
        <w:t>Study 1 data were pooled from CFQ-R for adults/adolescents and CFQ-R for children 12 to 13 years of age; Study 2 data were obtained from CFQ-R for children 6 to 11 years of age.</w:t>
      </w:r>
    </w:p>
    <w:p w14:paraId="72D1BFE0" w14:textId="77777777" w:rsidR="007B0F2C" w:rsidRPr="00A025B3" w:rsidRDefault="005A3D7D" w:rsidP="000A093B">
      <w:pPr>
        <w:keepNext/>
        <w:ind w:left="288" w:hanging="288"/>
        <w:rPr>
          <w:sz w:val="18"/>
          <w:szCs w:val="18"/>
        </w:rPr>
      </w:pPr>
      <w:r w:rsidRPr="00A025B3">
        <w:rPr>
          <w:sz w:val="18"/>
          <w:szCs w:val="18"/>
          <w:vertAlign w:val="superscript"/>
        </w:rPr>
        <w:t>d</w:t>
      </w:r>
      <w:r w:rsidRPr="00A025B3">
        <w:rPr>
          <w:sz w:val="18"/>
          <w:szCs w:val="18"/>
        </w:rPr>
        <w:tab/>
        <w:t>Hazard ratio for time to first pulmonary exacerbation</w:t>
      </w:r>
    </w:p>
    <w:p w14:paraId="73BAE417" w14:textId="77777777" w:rsidR="007B0F2C" w:rsidRPr="00A025B3" w:rsidRDefault="005A3D7D" w:rsidP="000A093B">
      <w:pPr>
        <w:keepNext/>
        <w:ind w:left="288" w:hanging="288"/>
        <w:rPr>
          <w:sz w:val="18"/>
          <w:szCs w:val="18"/>
        </w:rPr>
      </w:pPr>
      <w:r w:rsidRPr="00A025B3">
        <w:rPr>
          <w:sz w:val="18"/>
          <w:szCs w:val="18"/>
          <w:vertAlign w:val="superscript"/>
        </w:rPr>
        <w:t>e</w:t>
      </w:r>
      <w:r w:rsidRPr="00A025B3">
        <w:rPr>
          <w:sz w:val="18"/>
          <w:szCs w:val="18"/>
        </w:rPr>
        <w:tab/>
        <w:t>In subjects un</w:t>
      </w:r>
      <w:r w:rsidRPr="00A025B3">
        <w:rPr>
          <w:sz w:val="18"/>
          <w:szCs w:val="18"/>
        </w:rPr>
        <w:t>der 20 years of age (CDC growth charts)</w:t>
      </w:r>
    </w:p>
    <w:p w14:paraId="63CD3FF6" w14:textId="77777777" w:rsidR="00096B0E" w:rsidRPr="00DD1609" w:rsidRDefault="00096B0E" w:rsidP="00A025B3">
      <w:pPr>
        <w:spacing w:line="240" w:lineRule="auto"/>
        <w:rPr>
          <w:u w:val="single"/>
        </w:rPr>
      </w:pPr>
    </w:p>
    <w:p w14:paraId="541BB913" w14:textId="77777777" w:rsidR="00096B0E" w:rsidRDefault="005A3D7D" w:rsidP="000A093B">
      <w:pPr>
        <w:keepNext/>
        <w:spacing w:line="240" w:lineRule="auto"/>
        <w:rPr>
          <w:i/>
        </w:rPr>
      </w:pPr>
      <w:r w:rsidRPr="00A808AC">
        <w:rPr>
          <w:i/>
        </w:rPr>
        <w:t>Study 5: study in patients with CF with non-G551D gating mutations</w:t>
      </w:r>
    </w:p>
    <w:p w14:paraId="4697FFA5" w14:textId="77777777" w:rsidR="00987822" w:rsidRPr="00A808AC" w:rsidRDefault="00987822" w:rsidP="000A093B">
      <w:pPr>
        <w:keepNext/>
        <w:spacing w:line="240" w:lineRule="auto"/>
        <w:rPr>
          <w:i/>
        </w:rPr>
      </w:pPr>
    </w:p>
    <w:p w14:paraId="50372C71" w14:textId="5E184EA6" w:rsidR="00096B0E" w:rsidRPr="00A808AC" w:rsidRDefault="005A3D7D" w:rsidP="000A093B">
      <w:pPr>
        <w:keepNext/>
        <w:spacing w:line="240" w:lineRule="auto"/>
        <w:rPr>
          <w:strike/>
        </w:rPr>
      </w:pPr>
      <w:r w:rsidRPr="00A808AC">
        <w:t xml:space="preserve">Study 5 was a </w:t>
      </w:r>
      <w:r w:rsidR="00BA40DB">
        <w:t>p</w:t>
      </w:r>
      <w:r w:rsidRPr="00A808AC">
        <w:t>hase 3, two</w:t>
      </w:r>
      <w:r w:rsidRPr="00A808AC">
        <w:noBreakHyphen/>
        <w:t>part, randomised, double</w:t>
      </w:r>
      <w:r w:rsidRPr="00A808AC">
        <w:noBreakHyphen/>
        <w:t>blind, placebo-controlled, crossover study (part 1) followed by a 16</w:t>
      </w:r>
      <w:r w:rsidRPr="00A808AC">
        <w:noBreakHyphen/>
        <w:t>week open</w:t>
      </w:r>
      <w:r w:rsidRPr="00A808AC">
        <w:noBreakHyphen/>
        <w:t xml:space="preserve">label extension </w:t>
      </w:r>
      <w:r w:rsidRPr="00A808AC">
        <w:t xml:space="preserve">period (part 2) to evaluate the efficacy and safety of ivacaftor in patients with CF aged 6 years and older who have a </w:t>
      </w:r>
      <w:r w:rsidR="007A3391" w:rsidRPr="007A3391">
        <w:rPr>
          <w:i/>
        </w:rPr>
        <w:t>G970R</w:t>
      </w:r>
      <w:r w:rsidR="007A3391">
        <w:t xml:space="preserve"> or </w:t>
      </w:r>
      <w:r w:rsidRPr="00A808AC">
        <w:t>non</w:t>
      </w:r>
      <w:r w:rsidRPr="00A808AC">
        <w:noBreakHyphen/>
      </w:r>
      <w:r w:rsidRPr="00A808AC">
        <w:rPr>
          <w:i/>
        </w:rPr>
        <w:t>G551D</w:t>
      </w:r>
      <w:r w:rsidRPr="00A808AC">
        <w:t xml:space="preserve"> gating mutation in the </w:t>
      </w:r>
      <w:r w:rsidRPr="00A808AC">
        <w:rPr>
          <w:i/>
        </w:rPr>
        <w:t>CFTR</w:t>
      </w:r>
      <w:r w:rsidRPr="00A808AC">
        <w:t xml:space="preserve"> gene </w:t>
      </w:r>
      <w:r w:rsidRPr="00A808AC">
        <w:rPr>
          <w:bCs/>
        </w:rPr>
        <w:t>(</w:t>
      </w:r>
      <w:r w:rsidRPr="00A808AC">
        <w:rPr>
          <w:bCs/>
          <w:i/>
        </w:rPr>
        <w:t>G178R, S549N, S549R, G551S, G1244E, S1251N, S1255P</w:t>
      </w:r>
      <w:r w:rsidRPr="00A808AC">
        <w:rPr>
          <w:bCs/>
        </w:rPr>
        <w:t xml:space="preserve"> or</w:t>
      </w:r>
      <w:r w:rsidRPr="00A808AC">
        <w:rPr>
          <w:bCs/>
          <w:i/>
        </w:rPr>
        <w:t xml:space="preserve"> G1349D</w:t>
      </w:r>
      <w:r w:rsidRPr="00A808AC">
        <w:rPr>
          <w:bCs/>
        </w:rPr>
        <w:t>)</w:t>
      </w:r>
      <w:r w:rsidRPr="00A808AC">
        <w:t>.</w:t>
      </w:r>
    </w:p>
    <w:p w14:paraId="6FB0BA2C" w14:textId="77777777" w:rsidR="00096B0E" w:rsidRPr="00ED1D45" w:rsidRDefault="00096B0E" w:rsidP="006C4477"/>
    <w:p w14:paraId="69E322FE" w14:textId="77777777" w:rsidR="00096B0E" w:rsidRPr="00BA47B4" w:rsidRDefault="005A3D7D" w:rsidP="006C4477">
      <w:pPr>
        <w:spacing w:line="240" w:lineRule="auto"/>
      </w:pPr>
      <w:r w:rsidRPr="00BA47B4">
        <w:t xml:space="preserve">In part 1, </w:t>
      </w:r>
      <w:r w:rsidRPr="00BA47B4">
        <w:t>patients were randomised 1:1 to receive either 150 mg of ivacaftor or placebo every 12 hours with fat-containing food for 8 weeks in addition to their prescribed CF therapies and crossed over to the other treatment for the second 8 weeks after a 4- to 8</w:t>
      </w:r>
      <w:r w:rsidR="00C35A66" w:rsidRPr="006C4477">
        <w:noBreakHyphen/>
      </w:r>
      <w:r w:rsidRPr="006C4477">
        <w:t>we</w:t>
      </w:r>
      <w:r w:rsidRPr="006C4477">
        <w:t>ek washout period. The use of inhaled hypertonic saline was not permitted. In part 2, all patients received ivacaftor as indicated in part 1 for 16 additional weeks. The duration of continuous ivacaftor treatment was 24</w:t>
      </w:r>
      <w:r w:rsidR="00282EAE" w:rsidRPr="00A808AC">
        <w:rPr>
          <w:bCs/>
        </w:rPr>
        <w:t> </w:t>
      </w:r>
      <w:r w:rsidRPr="00ED1D45">
        <w:t>weeks for patients randomised to the</w:t>
      </w:r>
      <w:r w:rsidRPr="00ED1D45">
        <w:t xml:space="preserve"> part 1 placebo/ivacaftor treatment sequence and 16 weeks for patients randomised to part 1 ivacaftor/placebo treatmen</w:t>
      </w:r>
      <w:r w:rsidRPr="00BA47B4">
        <w:t>t sequence.</w:t>
      </w:r>
    </w:p>
    <w:p w14:paraId="49C25199" w14:textId="77777777" w:rsidR="00096B0E" w:rsidRPr="00BA47B4" w:rsidRDefault="00096B0E" w:rsidP="006C4477">
      <w:pPr>
        <w:spacing w:line="240" w:lineRule="auto"/>
      </w:pPr>
    </w:p>
    <w:p w14:paraId="3EC146EE" w14:textId="77777777" w:rsidR="00096B0E" w:rsidRPr="006C4477" w:rsidRDefault="005A3D7D" w:rsidP="006C4477">
      <w:pPr>
        <w:spacing w:line="240" w:lineRule="auto"/>
      </w:pPr>
      <w:r w:rsidRPr="006C4477">
        <w:t>Thirty-nine patients (mean age 23 years) with baseline FEV</w:t>
      </w:r>
      <w:r w:rsidRPr="006C4477">
        <w:rPr>
          <w:vertAlign w:val="subscript"/>
        </w:rPr>
        <w:t>1</w:t>
      </w:r>
      <w:r w:rsidRPr="006C4477">
        <w:t xml:space="preserve"> </w:t>
      </w:r>
      <w:r w:rsidRPr="006C4477">
        <w:rPr>
          <w:rFonts w:hint="eastAsia"/>
        </w:rPr>
        <w:t>≥</w:t>
      </w:r>
      <w:r w:rsidR="006D6288">
        <w:rPr>
          <w:bCs/>
        </w:rPr>
        <w:t> </w:t>
      </w:r>
      <w:r w:rsidRPr="00ED1D45">
        <w:t>40% predicted (mean FEV</w:t>
      </w:r>
      <w:r w:rsidRPr="00BA47B4">
        <w:rPr>
          <w:vertAlign w:val="subscript"/>
        </w:rPr>
        <w:t>1</w:t>
      </w:r>
      <w:r w:rsidRPr="00BA47B4">
        <w:t xml:space="preserve"> 78% predicted [range: 43% to 119%]) we</w:t>
      </w:r>
      <w:r w:rsidRPr="00BA47B4">
        <w:t>re enrolled. Sixty</w:t>
      </w:r>
      <w:r w:rsidR="007178AD" w:rsidRPr="00BA47B4">
        <w:noBreakHyphen/>
      </w:r>
      <w:r w:rsidRPr="006C4477">
        <w:t xml:space="preserve">two percent (24/39) of them carried the </w:t>
      </w:r>
      <w:r w:rsidRPr="006C4477">
        <w:rPr>
          <w:i/>
        </w:rPr>
        <w:t>F508del</w:t>
      </w:r>
      <w:r w:rsidRPr="006C4477">
        <w:t>-</w:t>
      </w:r>
      <w:r w:rsidRPr="006C4477">
        <w:rPr>
          <w:i/>
        </w:rPr>
        <w:t>CFTR</w:t>
      </w:r>
      <w:r w:rsidRPr="006C4477">
        <w:t xml:space="preserve"> mutation in the second allele. A total of 36 patients continued into part 2 (18 per treatment sequence).</w:t>
      </w:r>
    </w:p>
    <w:p w14:paraId="17CAE4F7" w14:textId="77777777" w:rsidR="00096B0E" w:rsidRPr="00A808AC" w:rsidRDefault="00096B0E" w:rsidP="00096B0E">
      <w:pPr>
        <w:spacing w:line="240" w:lineRule="auto"/>
        <w:rPr>
          <w:bCs/>
          <w:u w:val="single"/>
        </w:rPr>
      </w:pPr>
    </w:p>
    <w:p w14:paraId="5DBE9CAA" w14:textId="18C01210" w:rsidR="00096B0E" w:rsidRPr="00A808AC" w:rsidRDefault="005A3D7D" w:rsidP="00096B0E">
      <w:pPr>
        <w:spacing w:line="240" w:lineRule="auto"/>
      </w:pPr>
      <w:r w:rsidRPr="00A808AC">
        <w:rPr>
          <w:bCs/>
        </w:rPr>
        <w:t xml:space="preserve">In part 1 of </w:t>
      </w:r>
      <w:r w:rsidR="0032138D">
        <w:rPr>
          <w:bCs/>
        </w:rPr>
        <w:t>study </w:t>
      </w:r>
      <w:r w:rsidRPr="00A808AC">
        <w:rPr>
          <w:bCs/>
        </w:rPr>
        <w:t>5, the mean FEV</w:t>
      </w:r>
      <w:r w:rsidRPr="00A808AC">
        <w:rPr>
          <w:bCs/>
          <w:vertAlign w:val="subscript"/>
        </w:rPr>
        <w:t>1</w:t>
      </w:r>
      <w:r w:rsidRPr="00A808AC">
        <w:rPr>
          <w:bCs/>
        </w:rPr>
        <w:t xml:space="preserve"> percent predicted at baseline in placebo-t</w:t>
      </w:r>
      <w:r w:rsidRPr="00A808AC">
        <w:rPr>
          <w:bCs/>
        </w:rPr>
        <w:t>reated patients was 79.3% while in ivacaftor</w:t>
      </w:r>
      <w:r w:rsidR="007178AD" w:rsidRPr="00A808AC">
        <w:rPr>
          <w:bCs/>
        </w:rPr>
        <w:noBreakHyphen/>
      </w:r>
      <w:r w:rsidRPr="00A808AC">
        <w:rPr>
          <w:bCs/>
        </w:rPr>
        <w:t>treated patients this value was 76.4%. The mean overall post</w:t>
      </w:r>
      <w:r w:rsidR="007178AD" w:rsidRPr="00A808AC">
        <w:rPr>
          <w:bCs/>
        </w:rPr>
        <w:noBreakHyphen/>
      </w:r>
      <w:r w:rsidRPr="00A808AC">
        <w:rPr>
          <w:bCs/>
        </w:rPr>
        <w:t xml:space="preserve">baseline value was 76.0% and 83.7%, respectively. </w:t>
      </w:r>
      <w:r w:rsidRPr="00A808AC">
        <w:rPr>
          <w:bCs/>
          <w:iCs/>
        </w:rPr>
        <w:t xml:space="preserve">The mean absolute change from baseline through </w:t>
      </w:r>
      <w:r w:rsidR="0051031C">
        <w:rPr>
          <w:bCs/>
          <w:iCs/>
        </w:rPr>
        <w:t>w</w:t>
      </w:r>
      <w:r w:rsidR="00C53F51" w:rsidRPr="00A808AC">
        <w:rPr>
          <w:bCs/>
          <w:iCs/>
        </w:rPr>
        <w:t>eek </w:t>
      </w:r>
      <w:r w:rsidRPr="00A808AC">
        <w:rPr>
          <w:bCs/>
          <w:iCs/>
        </w:rPr>
        <w:t>8 in percent predicted FEV</w:t>
      </w:r>
      <w:r w:rsidRPr="00A808AC">
        <w:rPr>
          <w:bCs/>
          <w:iCs/>
          <w:vertAlign w:val="subscript"/>
        </w:rPr>
        <w:t>1</w:t>
      </w:r>
      <w:r w:rsidRPr="00A808AC">
        <w:rPr>
          <w:bCs/>
          <w:iCs/>
        </w:rPr>
        <w:t xml:space="preserve"> (primary efficacy endpoint) was 7.</w:t>
      </w:r>
      <w:r w:rsidR="007178AD" w:rsidRPr="00A808AC">
        <w:rPr>
          <w:bCs/>
          <w:iCs/>
        </w:rPr>
        <w:t xml:space="preserve">5% in the ivacaftor period and </w:t>
      </w:r>
      <w:r w:rsidR="007178AD" w:rsidRPr="00A808AC">
        <w:rPr>
          <w:bCs/>
          <w:iCs/>
        </w:rPr>
        <w:noBreakHyphen/>
      </w:r>
      <w:r w:rsidRPr="00A808AC">
        <w:rPr>
          <w:bCs/>
          <w:iCs/>
        </w:rPr>
        <w:t xml:space="preserve">3.2% in the placebo period. The observed treatment difference (95% CI) between ivacaftor and placebo was 10.7% (7.3, 14.1) </w:t>
      </w:r>
      <w:r w:rsidRPr="00A808AC">
        <w:t>(</w:t>
      </w:r>
      <w:r w:rsidRPr="007B0741">
        <w:t>P</w:t>
      </w:r>
      <w:r w:rsidR="00CE76B9">
        <w:t> </w:t>
      </w:r>
      <w:r w:rsidR="006D6288">
        <w:t>&lt; </w:t>
      </w:r>
      <w:r w:rsidRPr="00A808AC">
        <w:t>0.0001).</w:t>
      </w:r>
    </w:p>
    <w:p w14:paraId="748D03CA" w14:textId="77777777" w:rsidR="00096B0E" w:rsidRPr="00A808AC" w:rsidRDefault="00096B0E" w:rsidP="00096B0E">
      <w:pPr>
        <w:spacing w:line="240" w:lineRule="auto"/>
      </w:pPr>
    </w:p>
    <w:p w14:paraId="60D75B03" w14:textId="1B819DF9" w:rsidR="00096B0E" w:rsidRDefault="005A3D7D" w:rsidP="00096B0E">
      <w:pPr>
        <w:spacing w:line="240" w:lineRule="auto"/>
      </w:pPr>
      <w:r w:rsidRPr="00A808AC">
        <w:t>The effect of ivacaftor in the overall population o</w:t>
      </w:r>
      <w:r w:rsidRPr="00A808AC">
        <w:t>f study 5 (including the secondary endpoints absolute change in BMI</w:t>
      </w:r>
      <w:r w:rsidRPr="00A808AC">
        <w:rPr>
          <w:iCs/>
        </w:rPr>
        <w:t xml:space="preserve"> at 8</w:t>
      </w:r>
      <w:r w:rsidRPr="00A808AC">
        <w:t> </w:t>
      </w:r>
      <w:r w:rsidRPr="00A808AC">
        <w:rPr>
          <w:iCs/>
        </w:rPr>
        <w:t>weeks of treatment and absolute change in the respiratory domain score of the CFQ</w:t>
      </w:r>
      <w:r w:rsidRPr="00A808AC">
        <w:rPr>
          <w:iCs/>
        </w:rPr>
        <w:noBreakHyphen/>
        <w:t>R through 8</w:t>
      </w:r>
      <w:r w:rsidRPr="00A808AC">
        <w:t> </w:t>
      </w:r>
      <w:r w:rsidRPr="00A808AC">
        <w:rPr>
          <w:iCs/>
        </w:rPr>
        <w:t>weeks of treatment)</w:t>
      </w:r>
      <w:r w:rsidRPr="00A808AC">
        <w:t xml:space="preserve"> and by individual mutation (absolute change in sweat chloride and in </w:t>
      </w:r>
      <w:r w:rsidRPr="00A808AC">
        <w:t>percent predicted FEV</w:t>
      </w:r>
      <w:r w:rsidRPr="00A808AC">
        <w:rPr>
          <w:vertAlign w:val="subscript"/>
        </w:rPr>
        <w:t>1</w:t>
      </w:r>
      <w:r w:rsidRPr="00A808AC">
        <w:t xml:space="preserve"> at </w:t>
      </w:r>
      <w:r w:rsidR="0051031C">
        <w:t>w</w:t>
      </w:r>
      <w:r w:rsidR="00C53F51" w:rsidRPr="00A808AC">
        <w:t>eek </w:t>
      </w:r>
      <w:r w:rsidRPr="00A808AC">
        <w:t>8) is shown in Table </w:t>
      </w:r>
      <w:r w:rsidR="00E66F6D">
        <w:t>5</w:t>
      </w:r>
      <w:r w:rsidRPr="00A808AC">
        <w:t>.</w:t>
      </w:r>
      <w:r w:rsidRPr="00A808AC">
        <w:rPr>
          <w:iCs/>
        </w:rPr>
        <w:t xml:space="preserve"> </w:t>
      </w:r>
      <w:r w:rsidRPr="00A808AC">
        <w:t>Based on clinical (percent predicted FEV</w:t>
      </w:r>
      <w:r w:rsidRPr="00A808AC">
        <w:rPr>
          <w:vertAlign w:val="subscript"/>
        </w:rPr>
        <w:t>1</w:t>
      </w:r>
      <w:r w:rsidRPr="00A808AC">
        <w:t xml:space="preserve">) and pharmacodynamic (sweat chloride) responses to ivacaftor, efficacy in patients with the </w:t>
      </w:r>
      <w:r w:rsidRPr="00A808AC">
        <w:rPr>
          <w:i/>
        </w:rPr>
        <w:t>G970R</w:t>
      </w:r>
      <w:r w:rsidRPr="00A808AC">
        <w:t xml:space="preserve"> mutation could not be established.</w:t>
      </w:r>
    </w:p>
    <w:p w14:paraId="40CB5B08" w14:textId="77777777" w:rsidR="005849DF" w:rsidRPr="00A808AC" w:rsidRDefault="005849DF" w:rsidP="00096B0E">
      <w:pPr>
        <w:spacing w:line="240" w:lineRule="auto"/>
      </w:pPr>
    </w:p>
    <w:p w14:paraId="54700CAF" w14:textId="569608BC" w:rsidR="00096B0E" w:rsidRPr="00E2090F" w:rsidRDefault="005A3D7D" w:rsidP="000A093B">
      <w:pPr>
        <w:keepNext/>
        <w:spacing w:after="120"/>
        <w:rPr>
          <w:b/>
        </w:rPr>
      </w:pPr>
      <w:r w:rsidRPr="00E2090F">
        <w:rPr>
          <w:b/>
        </w:rPr>
        <w:t>Table </w:t>
      </w:r>
      <w:r w:rsidR="00E66F6D">
        <w:rPr>
          <w:b/>
        </w:rPr>
        <w:t>5</w:t>
      </w:r>
      <w:r w:rsidRPr="00E2090F">
        <w:rPr>
          <w:b/>
        </w:rPr>
        <w:t>: Effect of ivacaf</w:t>
      </w:r>
      <w:r w:rsidRPr="00E2090F">
        <w:rPr>
          <w:b/>
        </w:rPr>
        <w:t xml:space="preserve">tor for efficacy variables in the overall population and for specific </w:t>
      </w:r>
      <w:r w:rsidRPr="007B0741">
        <w:rPr>
          <w:b/>
          <w:i/>
        </w:rPr>
        <w:t>CFTR</w:t>
      </w:r>
      <w:r w:rsidRPr="00E2090F">
        <w:rPr>
          <w:b/>
        </w:rPr>
        <w:t xml:space="preserve"> mutations</w:t>
      </w:r>
    </w:p>
    <w:tbl>
      <w:tblPr>
        <w:tblW w:w="9080"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6"/>
        <w:gridCol w:w="1841"/>
        <w:gridCol w:w="1838"/>
        <w:gridCol w:w="1838"/>
        <w:gridCol w:w="1867"/>
      </w:tblGrid>
      <w:tr w:rsidR="00476058" w14:paraId="600D60A2" w14:textId="77777777" w:rsidTr="005849DF">
        <w:tc>
          <w:tcPr>
            <w:tcW w:w="2955" w:type="dxa"/>
            <w:gridSpan w:val="2"/>
          </w:tcPr>
          <w:p w14:paraId="69A37A0D" w14:textId="77777777" w:rsidR="005849DF" w:rsidRPr="00A808AC" w:rsidRDefault="005A3D7D" w:rsidP="000A093B">
            <w:pPr>
              <w:keepNext/>
              <w:spacing w:line="240" w:lineRule="auto"/>
              <w:jc w:val="center"/>
            </w:pPr>
            <w:r w:rsidRPr="00A808AC">
              <w:rPr>
                <w:b/>
                <w:szCs w:val="16"/>
              </w:rPr>
              <w:t>Absolute change in percent predicted FEV</w:t>
            </w:r>
            <w:r w:rsidRPr="00A808AC">
              <w:rPr>
                <w:b/>
                <w:szCs w:val="16"/>
                <w:vertAlign w:val="subscript"/>
              </w:rPr>
              <w:t>1</w:t>
            </w:r>
          </w:p>
        </w:tc>
        <w:tc>
          <w:tcPr>
            <w:tcW w:w="3050" w:type="dxa"/>
            <w:gridSpan w:val="2"/>
          </w:tcPr>
          <w:p w14:paraId="3F8E34D1" w14:textId="77777777" w:rsidR="005849DF" w:rsidRPr="00A808AC" w:rsidRDefault="005A3D7D" w:rsidP="000A093B">
            <w:pPr>
              <w:keepNext/>
              <w:autoSpaceDE w:val="0"/>
              <w:autoSpaceDN w:val="0"/>
              <w:adjustRightInd w:val="0"/>
              <w:spacing w:line="240" w:lineRule="auto"/>
              <w:jc w:val="center"/>
              <w:rPr>
                <w:b/>
                <w:szCs w:val="16"/>
              </w:rPr>
            </w:pPr>
            <w:r w:rsidRPr="00A808AC">
              <w:rPr>
                <w:b/>
                <w:szCs w:val="16"/>
              </w:rPr>
              <w:t>BMI</w:t>
            </w:r>
          </w:p>
          <w:p w14:paraId="4D8D0593" w14:textId="77777777" w:rsidR="005849DF" w:rsidRPr="00A808AC" w:rsidRDefault="005A3D7D" w:rsidP="000A093B">
            <w:pPr>
              <w:keepNext/>
              <w:autoSpaceDE w:val="0"/>
              <w:autoSpaceDN w:val="0"/>
              <w:adjustRightInd w:val="0"/>
              <w:spacing w:line="240" w:lineRule="auto"/>
              <w:jc w:val="center"/>
              <w:rPr>
                <w:b/>
                <w:szCs w:val="16"/>
              </w:rPr>
            </w:pPr>
            <w:r w:rsidRPr="00A808AC">
              <w:rPr>
                <w:b/>
                <w:szCs w:val="16"/>
              </w:rPr>
              <w:t>(kg/m</w:t>
            </w:r>
            <w:r w:rsidRPr="00A808AC">
              <w:rPr>
                <w:b/>
                <w:szCs w:val="16"/>
                <w:vertAlign w:val="superscript"/>
              </w:rPr>
              <w:t>2</w:t>
            </w:r>
            <w:r w:rsidRPr="00A808AC">
              <w:rPr>
                <w:b/>
                <w:szCs w:val="16"/>
              </w:rPr>
              <w:t>)</w:t>
            </w:r>
          </w:p>
        </w:tc>
        <w:tc>
          <w:tcPr>
            <w:tcW w:w="3075" w:type="dxa"/>
          </w:tcPr>
          <w:p w14:paraId="361BB577" w14:textId="77777777" w:rsidR="005849DF" w:rsidRPr="00A808AC" w:rsidRDefault="005A3D7D" w:rsidP="000A093B">
            <w:pPr>
              <w:keepNext/>
              <w:spacing w:line="240" w:lineRule="auto"/>
              <w:jc w:val="center"/>
            </w:pPr>
            <w:r w:rsidRPr="00A808AC">
              <w:rPr>
                <w:b/>
                <w:szCs w:val="16"/>
              </w:rPr>
              <w:t>CFQ-R respiratory domain score (points)</w:t>
            </w:r>
          </w:p>
        </w:tc>
      </w:tr>
      <w:tr w:rsidR="00476058" w14:paraId="59399D40" w14:textId="77777777" w:rsidTr="005849DF">
        <w:tc>
          <w:tcPr>
            <w:tcW w:w="2955" w:type="dxa"/>
            <w:gridSpan w:val="2"/>
          </w:tcPr>
          <w:p w14:paraId="7C410ED9" w14:textId="77777777" w:rsidR="005849DF" w:rsidRPr="00A808AC" w:rsidRDefault="005A3D7D" w:rsidP="006878A4">
            <w:pPr>
              <w:spacing w:line="240" w:lineRule="auto"/>
              <w:jc w:val="center"/>
            </w:pPr>
            <w:r w:rsidRPr="00A808AC">
              <w:rPr>
                <w:b/>
                <w:szCs w:val="16"/>
              </w:rPr>
              <w:t xml:space="preserve">Through </w:t>
            </w:r>
            <w:r>
              <w:rPr>
                <w:b/>
                <w:szCs w:val="16"/>
              </w:rPr>
              <w:t>w</w:t>
            </w:r>
            <w:r w:rsidRPr="00A808AC">
              <w:rPr>
                <w:b/>
                <w:szCs w:val="16"/>
              </w:rPr>
              <w:t>eek 8</w:t>
            </w:r>
          </w:p>
        </w:tc>
        <w:tc>
          <w:tcPr>
            <w:tcW w:w="3050" w:type="dxa"/>
            <w:gridSpan w:val="2"/>
          </w:tcPr>
          <w:p w14:paraId="66E39F87" w14:textId="77777777" w:rsidR="005849DF" w:rsidRPr="00A808AC" w:rsidRDefault="005A3D7D" w:rsidP="006878A4">
            <w:pPr>
              <w:spacing w:line="240" w:lineRule="auto"/>
              <w:jc w:val="center"/>
            </w:pPr>
            <w:r w:rsidRPr="00A808AC">
              <w:rPr>
                <w:b/>
                <w:szCs w:val="16"/>
              </w:rPr>
              <w:t xml:space="preserve">At </w:t>
            </w:r>
            <w:r>
              <w:rPr>
                <w:b/>
                <w:szCs w:val="16"/>
              </w:rPr>
              <w:t>w</w:t>
            </w:r>
            <w:r w:rsidRPr="00A808AC">
              <w:rPr>
                <w:b/>
                <w:szCs w:val="16"/>
              </w:rPr>
              <w:t>eek 8</w:t>
            </w:r>
          </w:p>
        </w:tc>
        <w:tc>
          <w:tcPr>
            <w:tcW w:w="3075" w:type="dxa"/>
          </w:tcPr>
          <w:p w14:paraId="456BF242" w14:textId="77777777" w:rsidR="005849DF" w:rsidRPr="00A808AC" w:rsidRDefault="005A3D7D" w:rsidP="006878A4">
            <w:pPr>
              <w:spacing w:line="240" w:lineRule="auto"/>
              <w:jc w:val="center"/>
            </w:pPr>
            <w:r w:rsidRPr="00A808AC">
              <w:rPr>
                <w:b/>
                <w:szCs w:val="16"/>
              </w:rPr>
              <w:t xml:space="preserve">Through </w:t>
            </w:r>
            <w:r>
              <w:rPr>
                <w:b/>
                <w:szCs w:val="16"/>
              </w:rPr>
              <w:t>w</w:t>
            </w:r>
            <w:r w:rsidRPr="00A808AC">
              <w:rPr>
                <w:b/>
                <w:szCs w:val="16"/>
              </w:rPr>
              <w:t>eek 8</w:t>
            </w:r>
          </w:p>
        </w:tc>
      </w:tr>
      <w:tr w:rsidR="00476058" w14:paraId="6BA39E17" w14:textId="77777777" w:rsidTr="005849DF">
        <w:tc>
          <w:tcPr>
            <w:tcW w:w="9080" w:type="dxa"/>
            <w:gridSpan w:val="5"/>
          </w:tcPr>
          <w:p w14:paraId="125280D6" w14:textId="77777777" w:rsidR="005849DF" w:rsidRPr="00A808AC" w:rsidRDefault="005A3D7D" w:rsidP="006878A4">
            <w:pPr>
              <w:autoSpaceDE w:val="0"/>
              <w:autoSpaceDN w:val="0"/>
              <w:adjustRightInd w:val="0"/>
              <w:spacing w:line="240" w:lineRule="auto"/>
              <w:rPr>
                <w:szCs w:val="16"/>
              </w:rPr>
            </w:pPr>
            <w:r w:rsidRPr="00A808AC">
              <w:rPr>
                <w:szCs w:val="16"/>
              </w:rPr>
              <w:t>All patients (N</w:t>
            </w:r>
            <w:r>
              <w:rPr>
                <w:szCs w:val="16"/>
              </w:rPr>
              <w:t> = </w:t>
            </w:r>
            <w:r w:rsidRPr="00A808AC">
              <w:rPr>
                <w:szCs w:val="16"/>
              </w:rPr>
              <w:t>39)</w:t>
            </w:r>
          </w:p>
          <w:p w14:paraId="02254A64" w14:textId="77777777" w:rsidR="005849DF" w:rsidRPr="00A808AC" w:rsidRDefault="005A3D7D" w:rsidP="006878A4">
            <w:pPr>
              <w:autoSpaceDE w:val="0"/>
              <w:autoSpaceDN w:val="0"/>
              <w:adjustRightInd w:val="0"/>
              <w:spacing w:line="240" w:lineRule="auto"/>
              <w:rPr>
                <w:szCs w:val="16"/>
              </w:rPr>
            </w:pPr>
            <w:r w:rsidRPr="00A808AC">
              <w:rPr>
                <w:szCs w:val="16"/>
              </w:rPr>
              <w:t>Results shown as mean (95% CI) change from baseline ivacaftor vs</w:t>
            </w:r>
            <w:r>
              <w:rPr>
                <w:szCs w:val="16"/>
              </w:rPr>
              <w:t>.</w:t>
            </w:r>
            <w:r w:rsidRPr="00A808AC">
              <w:rPr>
                <w:szCs w:val="16"/>
              </w:rPr>
              <w:t xml:space="preserve"> placebo-treated patients:</w:t>
            </w:r>
          </w:p>
        </w:tc>
      </w:tr>
      <w:tr w:rsidR="00476058" w14:paraId="2D0C7897" w14:textId="77777777" w:rsidTr="005849DF">
        <w:tc>
          <w:tcPr>
            <w:tcW w:w="2955" w:type="dxa"/>
            <w:gridSpan w:val="2"/>
          </w:tcPr>
          <w:p w14:paraId="7EF4C84C" w14:textId="77777777" w:rsidR="005849DF" w:rsidRPr="00A808AC" w:rsidRDefault="005A3D7D" w:rsidP="006878A4">
            <w:pPr>
              <w:spacing w:line="240" w:lineRule="auto"/>
              <w:jc w:val="center"/>
            </w:pPr>
            <w:r w:rsidRPr="00A808AC">
              <w:rPr>
                <w:bCs/>
                <w:iCs/>
                <w:szCs w:val="16"/>
              </w:rPr>
              <w:t>10.7 (7.3, 14.1)</w:t>
            </w:r>
          </w:p>
        </w:tc>
        <w:tc>
          <w:tcPr>
            <w:tcW w:w="3050" w:type="dxa"/>
            <w:gridSpan w:val="2"/>
          </w:tcPr>
          <w:p w14:paraId="0FB50AC4" w14:textId="77777777" w:rsidR="005849DF" w:rsidRPr="00A808AC" w:rsidRDefault="005A3D7D" w:rsidP="006878A4">
            <w:pPr>
              <w:spacing w:line="240" w:lineRule="auto"/>
              <w:jc w:val="center"/>
            </w:pPr>
            <w:r w:rsidRPr="00A808AC">
              <w:rPr>
                <w:szCs w:val="16"/>
              </w:rPr>
              <w:t>0.66 (0.34, 0.99)</w:t>
            </w:r>
          </w:p>
        </w:tc>
        <w:tc>
          <w:tcPr>
            <w:tcW w:w="3075" w:type="dxa"/>
          </w:tcPr>
          <w:p w14:paraId="2F6ABE1F" w14:textId="77777777" w:rsidR="005849DF" w:rsidRPr="00A808AC" w:rsidRDefault="005A3D7D" w:rsidP="006878A4">
            <w:pPr>
              <w:spacing w:line="240" w:lineRule="auto"/>
              <w:jc w:val="center"/>
            </w:pPr>
            <w:r w:rsidRPr="00A808AC">
              <w:rPr>
                <w:szCs w:val="16"/>
              </w:rPr>
              <w:t>9.6 (4.5, 14.7)</w:t>
            </w:r>
          </w:p>
        </w:tc>
      </w:tr>
      <w:tr w:rsidR="00476058" w14:paraId="450DD33F" w14:textId="77777777" w:rsidTr="006878A4">
        <w:trPr>
          <w:trHeight w:val="268"/>
        </w:trPr>
        <w:tc>
          <w:tcPr>
            <w:tcW w:w="5000" w:type="pct"/>
            <w:gridSpan w:val="5"/>
          </w:tcPr>
          <w:p w14:paraId="527AFDB7" w14:textId="77777777" w:rsidR="005849DF" w:rsidRPr="00A808AC" w:rsidRDefault="005A3D7D" w:rsidP="006878A4">
            <w:pPr>
              <w:autoSpaceDE w:val="0"/>
              <w:autoSpaceDN w:val="0"/>
              <w:adjustRightInd w:val="0"/>
              <w:spacing w:line="240" w:lineRule="auto"/>
              <w:rPr>
                <w:b/>
                <w:bCs/>
              </w:rPr>
            </w:pPr>
            <w:r w:rsidRPr="00A808AC">
              <w:rPr>
                <w:b/>
                <w:bCs/>
              </w:rPr>
              <w:t>Patients grouped under mutation types (n)</w:t>
            </w:r>
          </w:p>
          <w:p w14:paraId="53642C8C" w14:textId="77777777" w:rsidR="005849DF" w:rsidRPr="00A808AC" w:rsidRDefault="005A3D7D" w:rsidP="006878A4">
            <w:pPr>
              <w:autoSpaceDE w:val="0"/>
              <w:autoSpaceDN w:val="0"/>
              <w:adjustRightInd w:val="0"/>
              <w:spacing w:line="240" w:lineRule="auto"/>
            </w:pPr>
            <w:r w:rsidRPr="00A808AC">
              <w:t>Results shown as mean (minimum, maximum) change from baseline for iva</w:t>
            </w:r>
            <w:r w:rsidRPr="00A808AC">
              <w:t xml:space="preserve">caftor-treated patients </w:t>
            </w:r>
            <w:r w:rsidRPr="00A808AC">
              <w:br/>
              <w:t xml:space="preserve">at </w:t>
            </w:r>
            <w:r>
              <w:t>w</w:t>
            </w:r>
            <w:r w:rsidRPr="00A808AC">
              <w:t>eek 8*:</w:t>
            </w:r>
          </w:p>
        </w:tc>
      </w:tr>
      <w:tr w:rsidR="00476058" w14:paraId="28D05062" w14:textId="77777777" w:rsidTr="006878A4">
        <w:trPr>
          <w:trHeight w:val="268"/>
        </w:trPr>
        <w:tc>
          <w:tcPr>
            <w:tcW w:w="934" w:type="pct"/>
            <w:vMerge w:val="restart"/>
            <w:vAlign w:val="bottom"/>
          </w:tcPr>
          <w:p w14:paraId="3E6DF04D" w14:textId="77777777" w:rsidR="005849DF" w:rsidRPr="00A808AC" w:rsidRDefault="005A3D7D" w:rsidP="006878A4">
            <w:pPr>
              <w:autoSpaceDE w:val="0"/>
              <w:autoSpaceDN w:val="0"/>
              <w:adjustRightInd w:val="0"/>
              <w:spacing w:line="240" w:lineRule="auto"/>
              <w:jc w:val="center"/>
              <w:rPr>
                <w:b/>
                <w:bCs/>
              </w:rPr>
            </w:pPr>
            <w:r w:rsidRPr="00A808AC">
              <w:rPr>
                <w:b/>
                <w:bCs/>
              </w:rPr>
              <w:t>Mutation (n)</w:t>
            </w:r>
          </w:p>
        </w:tc>
        <w:tc>
          <w:tcPr>
            <w:tcW w:w="2026" w:type="pct"/>
            <w:gridSpan w:val="2"/>
          </w:tcPr>
          <w:p w14:paraId="1AA8A0B4" w14:textId="77777777" w:rsidR="005849DF" w:rsidRPr="00A808AC" w:rsidRDefault="005A3D7D" w:rsidP="006878A4">
            <w:pPr>
              <w:autoSpaceDE w:val="0"/>
              <w:autoSpaceDN w:val="0"/>
              <w:adjustRightInd w:val="0"/>
              <w:spacing w:line="240" w:lineRule="auto"/>
              <w:jc w:val="center"/>
              <w:rPr>
                <w:b/>
              </w:rPr>
            </w:pPr>
            <w:r w:rsidRPr="00A808AC">
              <w:rPr>
                <w:b/>
              </w:rPr>
              <w:t>Absolute change in sweat chloride (mmol/L)</w:t>
            </w:r>
          </w:p>
        </w:tc>
        <w:tc>
          <w:tcPr>
            <w:tcW w:w="2040" w:type="pct"/>
            <w:gridSpan w:val="2"/>
          </w:tcPr>
          <w:p w14:paraId="5229CDFD" w14:textId="77777777" w:rsidR="005849DF" w:rsidRPr="00A808AC" w:rsidRDefault="005A3D7D" w:rsidP="006878A4">
            <w:pPr>
              <w:autoSpaceDE w:val="0"/>
              <w:autoSpaceDN w:val="0"/>
              <w:adjustRightInd w:val="0"/>
              <w:spacing w:line="240" w:lineRule="auto"/>
              <w:jc w:val="center"/>
              <w:rPr>
                <w:b/>
                <w:bCs/>
              </w:rPr>
            </w:pPr>
            <w:r w:rsidRPr="00A808AC">
              <w:rPr>
                <w:b/>
              </w:rPr>
              <w:t>Absolute change in percent predicted FEV</w:t>
            </w:r>
            <w:r w:rsidRPr="00A808AC">
              <w:rPr>
                <w:b/>
                <w:vertAlign w:val="subscript"/>
              </w:rPr>
              <w:t xml:space="preserve">1 </w:t>
            </w:r>
            <w:r w:rsidRPr="00A808AC">
              <w:rPr>
                <w:b/>
              </w:rPr>
              <w:t>(percentage points)</w:t>
            </w:r>
          </w:p>
        </w:tc>
      </w:tr>
      <w:tr w:rsidR="00476058" w14:paraId="7B63921F" w14:textId="77777777" w:rsidTr="006878A4">
        <w:trPr>
          <w:trHeight w:val="268"/>
        </w:trPr>
        <w:tc>
          <w:tcPr>
            <w:tcW w:w="934" w:type="pct"/>
            <w:vMerge/>
          </w:tcPr>
          <w:p w14:paraId="5AA8818A" w14:textId="77777777" w:rsidR="005849DF" w:rsidRPr="00A808AC" w:rsidRDefault="005849DF" w:rsidP="006878A4">
            <w:pPr>
              <w:autoSpaceDE w:val="0"/>
              <w:autoSpaceDN w:val="0"/>
              <w:adjustRightInd w:val="0"/>
              <w:spacing w:line="240" w:lineRule="auto"/>
              <w:rPr>
                <w:b/>
                <w:bCs/>
              </w:rPr>
            </w:pPr>
          </w:p>
        </w:tc>
        <w:tc>
          <w:tcPr>
            <w:tcW w:w="2026" w:type="pct"/>
            <w:gridSpan w:val="2"/>
          </w:tcPr>
          <w:p w14:paraId="0D7E5EFB" w14:textId="77777777" w:rsidR="005849DF" w:rsidRPr="00A808AC" w:rsidRDefault="005A3D7D" w:rsidP="006878A4">
            <w:pPr>
              <w:autoSpaceDE w:val="0"/>
              <w:autoSpaceDN w:val="0"/>
              <w:adjustRightInd w:val="0"/>
              <w:spacing w:line="240" w:lineRule="auto"/>
              <w:jc w:val="center"/>
              <w:rPr>
                <w:b/>
              </w:rPr>
            </w:pPr>
            <w:r w:rsidRPr="00A808AC">
              <w:rPr>
                <w:b/>
              </w:rPr>
              <w:t xml:space="preserve">At </w:t>
            </w:r>
            <w:r>
              <w:rPr>
                <w:b/>
              </w:rPr>
              <w:t>w</w:t>
            </w:r>
            <w:r w:rsidRPr="00A808AC">
              <w:rPr>
                <w:b/>
              </w:rPr>
              <w:t>eek 8</w:t>
            </w:r>
          </w:p>
        </w:tc>
        <w:tc>
          <w:tcPr>
            <w:tcW w:w="2040" w:type="pct"/>
            <w:gridSpan w:val="2"/>
          </w:tcPr>
          <w:p w14:paraId="440E807A" w14:textId="77777777" w:rsidR="005849DF" w:rsidRPr="00A808AC" w:rsidRDefault="005A3D7D" w:rsidP="006878A4">
            <w:pPr>
              <w:autoSpaceDE w:val="0"/>
              <w:autoSpaceDN w:val="0"/>
              <w:adjustRightInd w:val="0"/>
              <w:spacing w:line="240" w:lineRule="auto"/>
              <w:jc w:val="center"/>
              <w:rPr>
                <w:b/>
                <w:bCs/>
              </w:rPr>
            </w:pPr>
            <w:r w:rsidRPr="00A808AC">
              <w:rPr>
                <w:b/>
              </w:rPr>
              <w:t xml:space="preserve">At </w:t>
            </w:r>
            <w:r>
              <w:rPr>
                <w:b/>
              </w:rPr>
              <w:t>w</w:t>
            </w:r>
            <w:r w:rsidRPr="00A808AC">
              <w:rPr>
                <w:b/>
              </w:rPr>
              <w:t>eek 8</w:t>
            </w:r>
          </w:p>
        </w:tc>
      </w:tr>
      <w:tr w:rsidR="00476058" w14:paraId="098EAF42" w14:textId="77777777" w:rsidTr="006878A4">
        <w:trPr>
          <w:trHeight w:val="1770"/>
        </w:trPr>
        <w:tc>
          <w:tcPr>
            <w:tcW w:w="934" w:type="pct"/>
          </w:tcPr>
          <w:p w14:paraId="35E9AC3E" w14:textId="77777777" w:rsidR="005849DF" w:rsidRPr="000A093B" w:rsidRDefault="005A3D7D" w:rsidP="006878A4">
            <w:pPr>
              <w:autoSpaceDE w:val="0"/>
              <w:autoSpaceDN w:val="0"/>
              <w:adjustRightInd w:val="0"/>
              <w:spacing w:line="240" w:lineRule="auto"/>
              <w:jc w:val="center"/>
              <w:rPr>
                <w:lang w:val="pt-PT"/>
              </w:rPr>
            </w:pPr>
            <w:r w:rsidRPr="000A093B">
              <w:rPr>
                <w:i/>
                <w:lang w:val="pt-PT"/>
              </w:rPr>
              <w:t>G1244E</w:t>
            </w:r>
            <w:r w:rsidRPr="000A093B">
              <w:rPr>
                <w:lang w:val="pt-PT"/>
              </w:rPr>
              <w:t xml:space="preserve"> (5)</w:t>
            </w:r>
          </w:p>
          <w:p w14:paraId="60819F76" w14:textId="77777777" w:rsidR="005849DF" w:rsidRPr="000A093B" w:rsidRDefault="005A3D7D" w:rsidP="006878A4">
            <w:pPr>
              <w:spacing w:line="240" w:lineRule="auto"/>
              <w:jc w:val="center"/>
              <w:rPr>
                <w:lang w:val="pt-PT"/>
              </w:rPr>
            </w:pPr>
            <w:r w:rsidRPr="000A093B">
              <w:rPr>
                <w:i/>
                <w:lang w:val="pt-PT"/>
              </w:rPr>
              <w:t>G1349D</w:t>
            </w:r>
            <w:r w:rsidRPr="000A093B">
              <w:rPr>
                <w:lang w:val="pt-PT"/>
              </w:rPr>
              <w:t xml:space="preserve"> (2)</w:t>
            </w:r>
          </w:p>
          <w:p w14:paraId="67CF6302" w14:textId="77777777" w:rsidR="005849DF" w:rsidRPr="000A093B" w:rsidRDefault="005A3D7D" w:rsidP="006878A4">
            <w:pPr>
              <w:spacing w:line="240" w:lineRule="auto"/>
              <w:jc w:val="center"/>
              <w:rPr>
                <w:lang w:val="pt-PT"/>
              </w:rPr>
            </w:pPr>
            <w:r w:rsidRPr="000A093B">
              <w:rPr>
                <w:i/>
                <w:lang w:val="pt-PT"/>
              </w:rPr>
              <w:t>G178R</w:t>
            </w:r>
            <w:r w:rsidRPr="000A093B">
              <w:rPr>
                <w:lang w:val="pt-PT"/>
              </w:rPr>
              <w:t xml:space="preserve"> (5)</w:t>
            </w:r>
          </w:p>
          <w:p w14:paraId="1A162835" w14:textId="77777777" w:rsidR="005849DF" w:rsidRPr="000A093B" w:rsidRDefault="005A3D7D" w:rsidP="006878A4">
            <w:pPr>
              <w:spacing w:line="240" w:lineRule="auto"/>
              <w:jc w:val="center"/>
              <w:rPr>
                <w:lang w:val="pt-PT"/>
              </w:rPr>
            </w:pPr>
            <w:r w:rsidRPr="000A093B">
              <w:rPr>
                <w:i/>
                <w:lang w:val="pt-PT"/>
              </w:rPr>
              <w:t>G551S</w:t>
            </w:r>
            <w:r w:rsidRPr="000A093B">
              <w:rPr>
                <w:lang w:val="pt-PT"/>
              </w:rPr>
              <w:t xml:space="preserve"> (2)</w:t>
            </w:r>
          </w:p>
          <w:p w14:paraId="5F1142FB" w14:textId="77777777" w:rsidR="005849DF" w:rsidRPr="000A093B" w:rsidRDefault="005A3D7D" w:rsidP="006878A4">
            <w:pPr>
              <w:spacing w:line="240" w:lineRule="auto"/>
              <w:jc w:val="center"/>
              <w:rPr>
                <w:lang w:val="pt-PT"/>
              </w:rPr>
            </w:pPr>
            <w:r w:rsidRPr="000A093B">
              <w:rPr>
                <w:i/>
                <w:lang w:val="pt-PT"/>
              </w:rPr>
              <w:t>G970R</w:t>
            </w:r>
            <w:r w:rsidRPr="000A093B">
              <w:rPr>
                <w:i/>
                <w:vertAlign w:val="superscript"/>
                <w:lang w:val="pt-PT"/>
              </w:rPr>
              <w:t>#</w:t>
            </w:r>
            <w:r w:rsidRPr="000A093B">
              <w:rPr>
                <w:lang w:val="pt-PT"/>
              </w:rPr>
              <w:t xml:space="preserve"> (4)</w:t>
            </w:r>
          </w:p>
          <w:p w14:paraId="34438D32" w14:textId="77777777" w:rsidR="005849DF" w:rsidRPr="00A808AC" w:rsidRDefault="005A3D7D" w:rsidP="006878A4">
            <w:pPr>
              <w:spacing w:line="240" w:lineRule="auto"/>
              <w:jc w:val="center"/>
            </w:pPr>
            <w:r w:rsidRPr="00A808AC">
              <w:rPr>
                <w:i/>
                <w:iCs/>
              </w:rPr>
              <w:t xml:space="preserve">S1251N </w:t>
            </w:r>
            <w:r w:rsidRPr="00A808AC">
              <w:t>(8)</w:t>
            </w:r>
          </w:p>
          <w:p w14:paraId="1E8C943A" w14:textId="77777777" w:rsidR="005849DF" w:rsidRPr="00A808AC" w:rsidRDefault="005A3D7D" w:rsidP="006878A4">
            <w:pPr>
              <w:spacing w:line="240" w:lineRule="auto"/>
              <w:jc w:val="center"/>
            </w:pPr>
            <w:r w:rsidRPr="00A808AC">
              <w:rPr>
                <w:i/>
                <w:iCs/>
              </w:rPr>
              <w:t>S1255P</w:t>
            </w:r>
            <w:r w:rsidRPr="00A808AC">
              <w:t xml:space="preserve"> (2)</w:t>
            </w:r>
          </w:p>
          <w:p w14:paraId="121F3F7A" w14:textId="77777777" w:rsidR="005849DF" w:rsidRPr="00A808AC" w:rsidRDefault="005A3D7D" w:rsidP="006878A4">
            <w:pPr>
              <w:spacing w:line="240" w:lineRule="auto"/>
              <w:jc w:val="center"/>
            </w:pPr>
            <w:r w:rsidRPr="00A808AC">
              <w:rPr>
                <w:i/>
                <w:iCs/>
              </w:rPr>
              <w:t>S549N</w:t>
            </w:r>
            <w:r w:rsidRPr="00A808AC">
              <w:t xml:space="preserve"> (6)</w:t>
            </w:r>
          </w:p>
          <w:p w14:paraId="53D2ECF5" w14:textId="77777777" w:rsidR="005849DF" w:rsidRPr="00A808AC" w:rsidRDefault="005A3D7D" w:rsidP="006878A4">
            <w:pPr>
              <w:autoSpaceDE w:val="0"/>
              <w:autoSpaceDN w:val="0"/>
              <w:adjustRightInd w:val="0"/>
              <w:spacing w:line="240" w:lineRule="auto"/>
              <w:jc w:val="center"/>
              <w:rPr>
                <w:b/>
                <w:bCs/>
              </w:rPr>
            </w:pPr>
            <w:r w:rsidRPr="00A808AC">
              <w:rPr>
                <w:i/>
                <w:iCs/>
              </w:rPr>
              <w:t>S549R</w:t>
            </w:r>
            <w:r w:rsidRPr="00A808AC">
              <w:t xml:space="preserve"> (4)</w:t>
            </w:r>
          </w:p>
        </w:tc>
        <w:tc>
          <w:tcPr>
            <w:tcW w:w="2026" w:type="pct"/>
            <w:gridSpan w:val="2"/>
          </w:tcPr>
          <w:p w14:paraId="5DD95156" w14:textId="77777777" w:rsidR="005849DF" w:rsidRPr="00A808AC" w:rsidRDefault="005A3D7D" w:rsidP="006878A4">
            <w:pPr>
              <w:spacing w:line="240" w:lineRule="auto"/>
              <w:jc w:val="center"/>
            </w:pPr>
            <w:r w:rsidRPr="00A808AC">
              <w:t>-55 (-75, -34)</w:t>
            </w:r>
          </w:p>
          <w:p w14:paraId="75124461" w14:textId="77777777" w:rsidR="005849DF" w:rsidRPr="00A808AC" w:rsidRDefault="005A3D7D" w:rsidP="006878A4">
            <w:pPr>
              <w:spacing w:line="240" w:lineRule="auto"/>
              <w:jc w:val="center"/>
            </w:pPr>
            <w:r w:rsidRPr="00A808AC">
              <w:t>-80 (-82, -79)</w:t>
            </w:r>
          </w:p>
          <w:p w14:paraId="58D62BE8" w14:textId="77777777" w:rsidR="005849DF" w:rsidRPr="00A808AC" w:rsidRDefault="005A3D7D" w:rsidP="006878A4">
            <w:pPr>
              <w:spacing w:line="240" w:lineRule="auto"/>
              <w:jc w:val="center"/>
            </w:pPr>
            <w:r w:rsidRPr="00A808AC">
              <w:t>-53 (-65, -35)</w:t>
            </w:r>
          </w:p>
          <w:p w14:paraId="2B5F4810" w14:textId="77777777" w:rsidR="005849DF" w:rsidRPr="00A808AC" w:rsidRDefault="005A3D7D" w:rsidP="006878A4">
            <w:pPr>
              <w:spacing w:line="240" w:lineRule="auto"/>
              <w:jc w:val="center"/>
            </w:pPr>
            <w:r w:rsidRPr="00A808AC">
              <w:t>-68</w:t>
            </w:r>
            <w:r w:rsidRPr="007B0741">
              <w:rPr>
                <w:position w:val="6"/>
                <w:vertAlign w:val="superscript"/>
              </w:rPr>
              <w:t>†</w:t>
            </w:r>
          </w:p>
          <w:p w14:paraId="015C4D0E" w14:textId="77777777" w:rsidR="005849DF" w:rsidRPr="00A808AC" w:rsidRDefault="005A3D7D" w:rsidP="006878A4">
            <w:pPr>
              <w:spacing w:line="240" w:lineRule="auto"/>
              <w:jc w:val="center"/>
            </w:pPr>
            <w:r w:rsidRPr="00A808AC">
              <w:t>-6 (-16, -2)</w:t>
            </w:r>
          </w:p>
          <w:p w14:paraId="4D04D140" w14:textId="77777777" w:rsidR="005849DF" w:rsidRPr="00A808AC" w:rsidRDefault="005A3D7D" w:rsidP="006878A4">
            <w:pPr>
              <w:spacing w:line="240" w:lineRule="auto"/>
              <w:jc w:val="center"/>
            </w:pPr>
            <w:r w:rsidRPr="00A808AC">
              <w:t>-54 (-84, -7)</w:t>
            </w:r>
          </w:p>
          <w:p w14:paraId="4CDC62CF" w14:textId="77777777" w:rsidR="005849DF" w:rsidRPr="00A808AC" w:rsidRDefault="005A3D7D" w:rsidP="006878A4">
            <w:pPr>
              <w:spacing w:line="240" w:lineRule="auto"/>
              <w:jc w:val="center"/>
            </w:pPr>
            <w:r w:rsidRPr="00A808AC">
              <w:t>-78 (-82, -74)</w:t>
            </w:r>
          </w:p>
          <w:p w14:paraId="3DC78D58" w14:textId="77777777" w:rsidR="005849DF" w:rsidRPr="00A808AC" w:rsidRDefault="005A3D7D" w:rsidP="006878A4">
            <w:pPr>
              <w:spacing w:line="240" w:lineRule="auto"/>
              <w:jc w:val="center"/>
            </w:pPr>
            <w:r w:rsidRPr="00A808AC">
              <w:t>-74 (-93, -53)</w:t>
            </w:r>
          </w:p>
          <w:p w14:paraId="2B864342" w14:textId="77777777" w:rsidR="005849DF" w:rsidRPr="00A808AC" w:rsidRDefault="005A3D7D" w:rsidP="006878A4">
            <w:pPr>
              <w:spacing w:line="240" w:lineRule="auto"/>
              <w:jc w:val="center"/>
            </w:pPr>
            <w:r w:rsidRPr="00A808AC">
              <w:t>-61</w:t>
            </w:r>
            <w:r w:rsidRPr="00A808AC">
              <w:rPr>
                <w:position w:val="6"/>
              </w:rPr>
              <w:t>††</w:t>
            </w:r>
            <w:r w:rsidRPr="00A808AC">
              <w:t xml:space="preserve"> (-71, -54)</w:t>
            </w:r>
          </w:p>
        </w:tc>
        <w:tc>
          <w:tcPr>
            <w:tcW w:w="2040" w:type="pct"/>
            <w:gridSpan w:val="2"/>
          </w:tcPr>
          <w:p w14:paraId="58CF1018" w14:textId="77777777" w:rsidR="005849DF" w:rsidRPr="00A808AC" w:rsidRDefault="005A3D7D" w:rsidP="006878A4">
            <w:pPr>
              <w:spacing w:line="240" w:lineRule="auto"/>
              <w:jc w:val="center"/>
            </w:pPr>
            <w:r w:rsidRPr="00A808AC">
              <w:t>8 (-1, 18)</w:t>
            </w:r>
          </w:p>
          <w:p w14:paraId="1AA94FBF" w14:textId="77777777" w:rsidR="005849DF" w:rsidRPr="00A808AC" w:rsidRDefault="005A3D7D" w:rsidP="006878A4">
            <w:pPr>
              <w:spacing w:line="240" w:lineRule="auto"/>
              <w:jc w:val="center"/>
            </w:pPr>
            <w:r w:rsidRPr="00A808AC">
              <w:t>20 (3, 36)</w:t>
            </w:r>
          </w:p>
          <w:p w14:paraId="6C6522DB" w14:textId="77777777" w:rsidR="005849DF" w:rsidRPr="00A808AC" w:rsidRDefault="005A3D7D" w:rsidP="006878A4">
            <w:pPr>
              <w:spacing w:line="240" w:lineRule="auto"/>
              <w:jc w:val="center"/>
            </w:pPr>
            <w:r w:rsidRPr="00A808AC">
              <w:t>8 (-1, 18)</w:t>
            </w:r>
          </w:p>
          <w:p w14:paraId="7EF72EE8" w14:textId="77777777" w:rsidR="005849DF" w:rsidRPr="00A808AC" w:rsidRDefault="005A3D7D" w:rsidP="006878A4">
            <w:pPr>
              <w:spacing w:line="240" w:lineRule="auto"/>
              <w:jc w:val="center"/>
            </w:pPr>
            <w:r w:rsidRPr="00A808AC">
              <w:t>3</w:t>
            </w:r>
            <w:r w:rsidRPr="007B0741">
              <w:rPr>
                <w:position w:val="6"/>
                <w:vertAlign w:val="superscript"/>
              </w:rPr>
              <w:t>†</w:t>
            </w:r>
          </w:p>
          <w:p w14:paraId="6BCF6427" w14:textId="77777777" w:rsidR="005849DF" w:rsidRPr="00A808AC" w:rsidRDefault="005A3D7D" w:rsidP="006878A4">
            <w:pPr>
              <w:spacing w:line="240" w:lineRule="auto"/>
              <w:jc w:val="center"/>
            </w:pPr>
            <w:r w:rsidRPr="00A808AC">
              <w:t>3 (-1, 5)</w:t>
            </w:r>
          </w:p>
          <w:p w14:paraId="0E421F56" w14:textId="77777777" w:rsidR="005849DF" w:rsidRPr="00A808AC" w:rsidRDefault="005A3D7D" w:rsidP="006878A4">
            <w:pPr>
              <w:spacing w:line="240" w:lineRule="auto"/>
              <w:jc w:val="center"/>
            </w:pPr>
            <w:r w:rsidRPr="00A808AC">
              <w:t>9 (-20, 21)</w:t>
            </w:r>
          </w:p>
          <w:p w14:paraId="19B8E0C4" w14:textId="77777777" w:rsidR="005849DF" w:rsidRPr="00A808AC" w:rsidRDefault="005A3D7D" w:rsidP="006878A4">
            <w:pPr>
              <w:spacing w:line="240" w:lineRule="auto"/>
              <w:jc w:val="center"/>
            </w:pPr>
            <w:r w:rsidRPr="00A808AC">
              <w:t>3 (-1, 8)</w:t>
            </w:r>
          </w:p>
          <w:p w14:paraId="64936D5B" w14:textId="77777777" w:rsidR="005849DF" w:rsidRPr="00A808AC" w:rsidRDefault="005A3D7D" w:rsidP="006878A4">
            <w:pPr>
              <w:spacing w:line="240" w:lineRule="auto"/>
              <w:jc w:val="center"/>
            </w:pPr>
            <w:r w:rsidRPr="00A808AC">
              <w:t>11 (-2, 20)</w:t>
            </w:r>
          </w:p>
          <w:p w14:paraId="06D73812" w14:textId="77777777" w:rsidR="005849DF" w:rsidRPr="00A808AC" w:rsidRDefault="005A3D7D" w:rsidP="006878A4">
            <w:pPr>
              <w:spacing w:line="240" w:lineRule="auto"/>
              <w:jc w:val="center"/>
              <w:rPr>
                <w:b/>
              </w:rPr>
            </w:pPr>
            <w:r w:rsidRPr="00A808AC">
              <w:t>5 (-3, 13)</w:t>
            </w:r>
          </w:p>
        </w:tc>
      </w:tr>
    </w:tbl>
    <w:p w14:paraId="41E62A9A" w14:textId="77777777" w:rsidR="00A55C5D" w:rsidRPr="00A025B3" w:rsidRDefault="005A3D7D" w:rsidP="000A093B">
      <w:pPr>
        <w:keepNext/>
        <w:ind w:left="288" w:hanging="288"/>
        <w:rPr>
          <w:sz w:val="18"/>
          <w:szCs w:val="18"/>
        </w:rPr>
      </w:pPr>
      <w:r w:rsidRPr="00B868C6">
        <w:rPr>
          <w:sz w:val="18"/>
          <w:szCs w:val="18"/>
          <w:vertAlign w:val="superscript"/>
        </w:rPr>
        <w:t>*</w:t>
      </w:r>
      <w:r w:rsidRPr="00B868C6">
        <w:rPr>
          <w:sz w:val="18"/>
          <w:szCs w:val="18"/>
        </w:rPr>
        <w:tab/>
      </w:r>
      <w:r w:rsidRPr="00A025B3">
        <w:rPr>
          <w:sz w:val="18"/>
          <w:szCs w:val="18"/>
        </w:rPr>
        <w:t>Statistical testing was not performed due to small numbers for individual mutations.</w:t>
      </w:r>
    </w:p>
    <w:p w14:paraId="35FD358E" w14:textId="77777777" w:rsidR="00A55C5D" w:rsidRPr="00A025B3" w:rsidRDefault="005A3D7D" w:rsidP="000A093B">
      <w:pPr>
        <w:keepNext/>
        <w:spacing w:line="240" w:lineRule="auto"/>
        <w:ind w:left="288" w:hanging="288"/>
        <w:rPr>
          <w:sz w:val="18"/>
          <w:szCs w:val="18"/>
        </w:rPr>
      </w:pPr>
      <w:r w:rsidRPr="00A025B3">
        <w:rPr>
          <w:sz w:val="18"/>
          <w:szCs w:val="18"/>
          <w:vertAlign w:val="superscript"/>
        </w:rPr>
        <w:t>†</w:t>
      </w:r>
      <w:r w:rsidRPr="00A025B3">
        <w:rPr>
          <w:sz w:val="18"/>
          <w:szCs w:val="18"/>
        </w:rPr>
        <w:tab/>
        <w:t xml:space="preserve">Reflects results from the one patient with the </w:t>
      </w:r>
      <w:r w:rsidRPr="00A025B3">
        <w:rPr>
          <w:i/>
          <w:sz w:val="18"/>
          <w:szCs w:val="18"/>
        </w:rPr>
        <w:t>G551S</w:t>
      </w:r>
      <w:r w:rsidRPr="00A025B3">
        <w:rPr>
          <w:sz w:val="18"/>
          <w:szCs w:val="18"/>
        </w:rPr>
        <w:t xml:space="preserve"> mutation with data at the 8-week time point.</w:t>
      </w:r>
    </w:p>
    <w:p w14:paraId="4DFC59BC" w14:textId="77777777" w:rsidR="00A55C5D" w:rsidRPr="00A025B3" w:rsidRDefault="005A3D7D" w:rsidP="000A093B">
      <w:pPr>
        <w:keepNext/>
        <w:suppressLineNumbers/>
        <w:spacing w:line="240" w:lineRule="auto"/>
        <w:ind w:left="288" w:hanging="288"/>
        <w:rPr>
          <w:sz w:val="18"/>
          <w:szCs w:val="18"/>
        </w:rPr>
      </w:pPr>
      <w:r w:rsidRPr="00A025B3">
        <w:rPr>
          <w:sz w:val="18"/>
          <w:szCs w:val="18"/>
          <w:vertAlign w:val="superscript"/>
        </w:rPr>
        <w:t>††</w:t>
      </w:r>
      <w:r w:rsidRPr="00A025B3">
        <w:rPr>
          <w:sz w:val="18"/>
          <w:szCs w:val="18"/>
        </w:rPr>
        <w:tab/>
        <w:t>n = 3 for the analysis of absolute change in sweat chloride.</w:t>
      </w:r>
    </w:p>
    <w:p w14:paraId="650B5045" w14:textId="77777777" w:rsidR="0096327C" w:rsidRPr="00A025B3" w:rsidRDefault="005A3D7D" w:rsidP="000A093B">
      <w:pPr>
        <w:keepNext/>
        <w:suppressLineNumbers/>
        <w:spacing w:line="240" w:lineRule="auto"/>
        <w:ind w:left="288" w:hanging="288"/>
        <w:rPr>
          <w:sz w:val="18"/>
          <w:szCs w:val="18"/>
        </w:rPr>
      </w:pPr>
      <w:r w:rsidRPr="00A025B3">
        <w:rPr>
          <w:sz w:val="18"/>
          <w:szCs w:val="18"/>
          <w:vertAlign w:val="superscript"/>
        </w:rPr>
        <w:t>#</w:t>
      </w:r>
      <w:r w:rsidRPr="00A025B3">
        <w:rPr>
          <w:sz w:val="18"/>
          <w:szCs w:val="18"/>
          <w:vertAlign w:val="superscript"/>
        </w:rPr>
        <w:tab/>
      </w:r>
      <w:r w:rsidRPr="00A025B3">
        <w:rPr>
          <w:sz w:val="18"/>
          <w:szCs w:val="18"/>
        </w:rPr>
        <w:t>Cause</w:t>
      </w:r>
      <w:r w:rsidRPr="00A025B3">
        <w:rPr>
          <w:sz w:val="18"/>
          <w:szCs w:val="18"/>
        </w:rPr>
        <w:t>s a splicing defect resulting in little-to-no CFTR protein at the cell surface</w:t>
      </w:r>
    </w:p>
    <w:p w14:paraId="7E135223" w14:textId="77777777" w:rsidR="00A55C5D" w:rsidRDefault="00A55C5D" w:rsidP="006C4477"/>
    <w:p w14:paraId="4642F835" w14:textId="54DA05BD" w:rsidR="00096B0E" w:rsidRPr="006C4477" w:rsidRDefault="005A3D7D" w:rsidP="006C4477">
      <w:r w:rsidRPr="00ED1D45">
        <w:t xml:space="preserve">In part 2 of </w:t>
      </w:r>
      <w:r w:rsidR="0032138D">
        <w:t>study </w:t>
      </w:r>
      <w:r w:rsidRPr="00ED1D45">
        <w:t>5, the mean (SD) absolute change in perc</w:t>
      </w:r>
      <w:r w:rsidRPr="00BA47B4">
        <w:t>ent predicted FEV</w:t>
      </w:r>
      <w:r w:rsidRPr="00BA47B4">
        <w:rPr>
          <w:vertAlign w:val="subscript"/>
        </w:rPr>
        <w:t>1</w:t>
      </w:r>
      <w:r w:rsidRPr="006C4477">
        <w:t xml:space="preserve"> following 16 weeks (patients randomised to the ivacaftor/placebo treatment sequence in part 1) of </w:t>
      </w:r>
      <w:r w:rsidRPr="006C4477">
        <w:t>continuous ivacaftor treatment was 10.4% (13.2%). At the follow</w:t>
      </w:r>
      <w:r w:rsidRPr="006C4477">
        <w:noBreakHyphen/>
        <w:t>up visit 4</w:t>
      </w:r>
      <w:r w:rsidR="00C35A66" w:rsidRPr="006C4477">
        <w:t> </w:t>
      </w:r>
      <w:r w:rsidRPr="006C4477">
        <w:t>weeks after ivacaftor dosing had ended, the mean (SD) absolute change in percent predicted FEV</w:t>
      </w:r>
      <w:r w:rsidRPr="006C4477">
        <w:rPr>
          <w:vertAlign w:val="subscript"/>
        </w:rPr>
        <w:t xml:space="preserve">1 </w:t>
      </w:r>
      <w:r w:rsidRPr="006C4477">
        <w:t>from</w:t>
      </w:r>
      <w:r w:rsidRPr="006C4477">
        <w:rPr>
          <w:vertAlign w:val="subscript"/>
        </w:rPr>
        <w:t xml:space="preserve"> </w:t>
      </w:r>
      <w:r w:rsidRPr="006C4477">
        <w:t xml:space="preserve">part 2 </w:t>
      </w:r>
      <w:r w:rsidR="00765F97">
        <w:t>w</w:t>
      </w:r>
      <w:r w:rsidR="00D91A30" w:rsidRPr="00A808AC">
        <w:t>eek</w:t>
      </w:r>
      <w:r w:rsidR="00D91A30" w:rsidRPr="00ED1D45">
        <w:t xml:space="preserve"> </w:t>
      </w:r>
      <w:r w:rsidRPr="00BA47B4">
        <w:t xml:space="preserve">16 was </w:t>
      </w:r>
      <w:r w:rsidRPr="00BA47B4">
        <w:noBreakHyphen/>
        <w:t>5.9% (9.4%). For patients randomised to the placebo/ivacafto</w:t>
      </w:r>
      <w:r w:rsidRPr="00BA47B4">
        <w:t>r treatment sequence in part 1 there was a further mean (SD) change of 3.3% (9.3%) in percent predicted FEV</w:t>
      </w:r>
      <w:r w:rsidRPr="006C4477">
        <w:rPr>
          <w:vertAlign w:val="subscript"/>
        </w:rPr>
        <w:t>1</w:t>
      </w:r>
      <w:r w:rsidRPr="006C4477">
        <w:t xml:space="preserve"> after the additional 16 weeks of treatment with ivacaftor. At the follow up visit 4</w:t>
      </w:r>
      <w:r w:rsidR="00C35A66" w:rsidRPr="006C4477">
        <w:t> </w:t>
      </w:r>
      <w:r w:rsidRPr="006C4477">
        <w:t xml:space="preserve">weeks after ivacaftor dosing had ended, the mean (SD) absolute </w:t>
      </w:r>
      <w:r w:rsidRPr="006C4477">
        <w:t>change in percent predicted FEV</w:t>
      </w:r>
      <w:r w:rsidRPr="006C4477">
        <w:rPr>
          <w:vertAlign w:val="subscript"/>
        </w:rPr>
        <w:t>1</w:t>
      </w:r>
      <w:r w:rsidRPr="006C4477">
        <w:t xml:space="preserve"> from part 2 </w:t>
      </w:r>
      <w:r w:rsidR="00765F97">
        <w:t>w</w:t>
      </w:r>
      <w:r w:rsidR="00D91A30" w:rsidRPr="00A808AC">
        <w:t>eek</w:t>
      </w:r>
      <w:r w:rsidR="00D91A30" w:rsidRPr="00ED1D45">
        <w:t xml:space="preserve"> </w:t>
      </w:r>
      <w:r w:rsidRPr="00BA47B4">
        <w:t>16 was</w:t>
      </w:r>
      <w:r w:rsidR="007178AD" w:rsidRPr="00BA47B4">
        <w:t xml:space="preserve"> </w:t>
      </w:r>
      <w:r w:rsidR="007178AD" w:rsidRPr="00BA47B4">
        <w:noBreakHyphen/>
      </w:r>
      <w:r w:rsidRPr="006C4477">
        <w:t>7.4% (5.5%).</w:t>
      </w:r>
    </w:p>
    <w:p w14:paraId="1238EDE3" w14:textId="77777777" w:rsidR="00096B0E" w:rsidRPr="006C4477" w:rsidRDefault="00096B0E" w:rsidP="006C4477"/>
    <w:p w14:paraId="2D0ACEC5" w14:textId="77777777" w:rsidR="00096B0E" w:rsidRDefault="005A3D7D" w:rsidP="006C4477">
      <w:pPr>
        <w:keepNext/>
        <w:keepLines/>
        <w:rPr>
          <w:i/>
        </w:rPr>
      </w:pPr>
      <w:r w:rsidRPr="006C4477">
        <w:rPr>
          <w:i/>
        </w:rPr>
        <w:t>Study 3: study in patients with CF with the F508del mutation in the CFTR gene</w:t>
      </w:r>
    </w:p>
    <w:p w14:paraId="12AB22FA" w14:textId="77777777" w:rsidR="00A4646D" w:rsidRPr="006C4477" w:rsidRDefault="00A4646D" w:rsidP="006C4477">
      <w:pPr>
        <w:keepNext/>
        <w:keepLines/>
        <w:rPr>
          <w:i/>
        </w:rPr>
      </w:pPr>
    </w:p>
    <w:p w14:paraId="4A698844" w14:textId="658E2F50" w:rsidR="00096B0E" w:rsidRPr="00A808AC" w:rsidRDefault="005A3D7D" w:rsidP="006C4477">
      <w:pPr>
        <w:keepNext/>
        <w:keepLines/>
        <w:spacing w:line="240" w:lineRule="auto"/>
      </w:pPr>
      <w:r w:rsidRPr="00A808AC">
        <w:t>Study 3 (part A) was a 16</w:t>
      </w:r>
      <w:r w:rsidR="007178AD" w:rsidRPr="00A808AC">
        <w:noBreakHyphen/>
      </w:r>
      <w:r w:rsidRPr="00A808AC">
        <w:t>week, 4:1 randomised, double</w:t>
      </w:r>
      <w:r w:rsidR="007178AD" w:rsidRPr="00A808AC">
        <w:noBreakHyphen/>
      </w:r>
      <w:r w:rsidRPr="00A808AC">
        <w:t>blind, placebo</w:t>
      </w:r>
      <w:r w:rsidR="007178AD" w:rsidRPr="00A808AC">
        <w:noBreakHyphen/>
      </w:r>
      <w:r w:rsidRPr="00A808AC">
        <w:t>controlled, parallel</w:t>
      </w:r>
      <w:r w:rsidR="007178AD" w:rsidRPr="00A808AC">
        <w:noBreakHyphen/>
      </w:r>
      <w:r w:rsidRPr="00A808AC">
        <w:t xml:space="preserve">group </w:t>
      </w:r>
      <w:r w:rsidR="00BA40DB">
        <w:t>p</w:t>
      </w:r>
      <w:r w:rsidRPr="00A808AC">
        <w:t xml:space="preserve">hase 2 study of ivacaftor (150 mg every 12 hours) in 140 patients with CF age 12 years and older who were homozygous for the </w:t>
      </w:r>
      <w:r w:rsidRPr="00A808AC">
        <w:rPr>
          <w:i/>
          <w:iCs/>
        </w:rPr>
        <w:t>F508del</w:t>
      </w:r>
      <w:r w:rsidRPr="00A808AC">
        <w:t xml:space="preserve"> mutation in the </w:t>
      </w:r>
      <w:r w:rsidRPr="00A808AC">
        <w:rPr>
          <w:i/>
          <w:iCs/>
        </w:rPr>
        <w:t>CFTR</w:t>
      </w:r>
      <w:r w:rsidRPr="00A808AC">
        <w:t xml:space="preserve"> gene and who had FEV</w:t>
      </w:r>
      <w:r w:rsidRPr="00A808AC">
        <w:rPr>
          <w:vertAlign w:val="subscript"/>
        </w:rPr>
        <w:t>1</w:t>
      </w:r>
      <w:r w:rsidRPr="00A808AC">
        <w:t xml:space="preserve"> ≥</w:t>
      </w:r>
      <w:r w:rsidR="006D6288">
        <w:t> </w:t>
      </w:r>
      <w:r w:rsidRPr="00A808AC">
        <w:t>40% predicted.</w:t>
      </w:r>
    </w:p>
    <w:p w14:paraId="4D9D826D" w14:textId="77777777" w:rsidR="00096B0E" w:rsidRPr="00A808AC" w:rsidRDefault="00096B0E" w:rsidP="00F5367F">
      <w:pPr>
        <w:spacing w:line="240" w:lineRule="auto"/>
      </w:pPr>
    </w:p>
    <w:p w14:paraId="2EA174C1" w14:textId="77777777" w:rsidR="00096B0E" w:rsidRPr="00A808AC" w:rsidRDefault="005A3D7D" w:rsidP="00F5367F">
      <w:pPr>
        <w:spacing w:line="240" w:lineRule="auto"/>
      </w:pPr>
      <w:r w:rsidRPr="00A808AC">
        <w:t xml:space="preserve">The mean absolute change from baseline through </w:t>
      </w:r>
      <w:r w:rsidR="00E97780">
        <w:t>w</w:t>
      </w:r>
      <w:r w:rsidR="00C53F51" w:rsidRPr="00A808AC">
        <w:t>eek </w:t>
      </w:r>
      <w:r w:rsidRPr="00A808AC">
        <w:t>16 in perc</w:t>
      </w:r>
      <w:r w:rsidRPr="00A808AC">
        <w:t>ent predicted FEV</w:t>
      </w:r>
      <w:r w:rsidRPr="00A808AC">
        <w:rPr>
          <w:vertAlign w:val="subscript"/>
        </w:rPr>
        <w:t>1</w:t>
      </w:r>
      <w:r w:rsidRPr="00A808AC">
        <w:t xml:space="preserve"> (primary efficacy endpoint) was 1.5 percentage poi</w:t>
      </w:r>
      <w:r w:rsidR="007178AD" w:rsidRPr="00A808AC">
        <w:t xml:space="preserve">nts in the ivacaftor group and </w:t>
      </w:r>
      <w:r w:rsidR="007178AD" w:rsidRPr="00A808AC">
        <w:noBreakHyphen/>
      </w:r>
      <w:r w:rsidRPr="00A808AC">
        <w:t>0.2 percentage points in the placebo group. The estimated treatment difference for ivacaftor versus placebo was</w:t>
      </w:r>
      <w:r w:rsidR="007178AD" w:rsidRPr="00A808AC">
        <w:t xml:space="preserve"> 1.7 percentage points (95% CI </w:t>
      </w:r>
      <w:r w:rsidR="007178AD" w:rsidRPr="00A808AC">
        <w:noBreakHyphen/>
      </w:r>
      <w:r w:rsidRPr="00A808AC">
        <w:t>0.6, 4.1); t</w:t>
      </w:r>
      <w:r w:rsidRPr="00A808AC">
        <w:t>his difference was not statistically significant (</w:t>
      </w:r>
      <w:r w:rsidRPr="007B0741">
        <w:t>P</w:t>
      </w:r>
      <w:r w:rsidRPr="00A808AC">
        <w:t> = 0.15).</w:t>
      </w:r>
    </w:p>
    <w:p w14:paraId="0308CBD6" w14:textId="77777777" w:rsidR="00096B0E" w:rsidRPr="00A808AC" w:rsidRDefault="00096B0E" w:rsidP="00F5367F">
      <w:pPr>
        <w:spacing w:line="240" w:lineRule="auto"/>
        <w:rPr>
          <w:rFonts w:eastAsia="MS Mincho"/>
          <w:u w:val="single"/>
        </w:rPr>
      </w:pPr>
    </w:p>
    <w:p w14:paraId="03807B4E" w14:textId="77777777" w:rsidR="00096B0E" w:rsidRDefault="005A3D7D" w:rsidP="000A093B">
      <w:pPr>
        <w:keepNext/>
        <w:spacing w:line="240" w:lineRule="auto"/>
        <w:rPr>
          <w:rFonts w:eastAsia="MS Mincho"/>
          <w:i/>
        </w:rPr>
      </w:pPr>
      <w:r w:rsidRPr="00A808AC">
        <w:rPr>
          <w:rFonts w:eastAsia="MS Mincho"/>
          <w:i/>
        </w:rPr>
        <w:t>Study 4: open-label extension study</w:t>
      </w:r>
    </w:p>
    <w:p w14:paraId="73071968" w14:textId="77777777" w:rsidR="00987822" w:rsidRPr="00A808AC" w:rsidRDefault="00987822" w:rsidP="000A093B">
      <w:pPr>
        <w:keepNext/>
        <w:spacing w:line="240" w:lineRule="auto"/>
        <w:rPr>
          <w:rFonts w:eastAsia="MS Mincho"/>
          <w:i/>
        </w:rPr>
      </w:pPr>
    </w:p>
    <w:p w14:paraId="726692D8" w14:textId="77777777" w:rsidR="00096B0E" w:rsidRPr="00A808AC" w:rsidRDefault="005A3D7D" w:rsidP="000A093B">
      <w:pPr>
        <w:keepNext/>
        <w:spacing w:line="240" w:lineRule="auto"/>
        <w:rPr>
          <w:rFonts w:eastAsia="MS Mincho"/>
          <w:lang w:eastAsia="ja-JP"/>
        </w:rPr>
      </w:pPr>
      <w:r w:rsidRPr="00A808AC">
        <w:rPr>
          <w:rFonts w:eastAsia="MS Mincho"/>
          <w:lang w:eastAsia="ja-JP"/>
        </w:rPr>
        <w:t>In study 4, patients who completed treatment in studies 1 and 2 with placebo were switched to ivacaftor while patients on ivacaftor continued to receive it f</w:t>
      </w:r>
      <w:r w:rsidRPr="00A808AC">
        <w:rPr>
          <w:rFonts w:eastAsia="MS Mincho"/>
          <w:lang w:eastAsia="ja-JP"/>
        </w:rPr>
        <w:t>or a minimum of 96 weeks, i.e., the length of treatment with ivacaftor was at least 96 weeks for patients in the placebo/ivacaftor group and at least 144 weeks for patients in the ivacaftor/ivacaftor group.</w:t>
      </w:r>
    </w:p>
    <w:p w14:paraId="641C64EC" w14:textId="77777777" w:rsidR="00096B0E" w:rsidRPr="00A808AC" w:rsidRDefault="00096B0E" w:rsidP="00F5367F">
      <w:pPr>
        <w:spacing w:line="240" w:lineRule="auto"/>
        <w:rPr>
          <w:rFonts w:eastAsia="MS Mincho"/>
          <w:lang w:eastAsia="ja-JP"/>
        </w:rPr>
      </w:pPr>
    </w:p>
    <w:p w14:paraId="3058A6B3" w14:textId="77777777" w:rsidR="00096B0E" w:rsidRPr="00A808AC" w:rsidRDefault="005A3D7D" w:rsidP="00F5367F">
      <w:pPr>
        <w:spacing w:line="240" w:lineRule="auto"/>
        <w:rPr>
          <w:rFonts w:eastAsia="MS Mincho"/>
          <w:lang w:eastAsia="ja-JP"/>
        </w:rPr>
      </w:pPr>
      <w:r w:rsidRPr="00A808AC">
        <w:rPr>
          <w:rFonts w:eastAsia="MS Mincho"/>
          <w:lang w:eastAsia="ja-JP"/>
        </w:rPr>
        <w:t>One hundred and forty</w:t>
      </w:r>
      <w:r w:rsidR="007178AD" w:rsidRPr="00A808AC">
        <w:rPr>
          <w:rFonts w:eastAsia="MS Mincho"/>
          <w:lang w:eastAsia="ja-JP"/>
        </w:rPr>
        <w:noBreakHyphen/>
      </w:r>
      <w:r w:rsidRPr="00A808AC">
        <w:rPr>
          <w:rFonts w:eastAsia="MS Mincho"/>
          <w:lang w:eastAsia="ja-JP"/>
        </w:rPr>
        <w:t xml:space="preserve">four (144) </w:t>
      </w:r>
      <w:r w:rsidRPr="00A808AC">
        <w:rPr>
          <w:rFonts w:eastAsia="MS Mincho"/>
          <w:lang w:eastAsia="ja-JP"/>
        </w:rPr>
        <w:t>patients from study 1 were rolled over in study 4, 67 in the placebo/ivacaftor group and 77 in the ivacaftor/ivacaftor group. Forty</w:t>
      </w:r>
      <w:r w:rsidR="007178AD" w:rsidRPr="00A808AC">
        <w:rPr>
          <w:rFonts w:eastAsia="MS Mincho"/>
          <w:lang w:eastAsia="ja-JP"/>
        </w:rPr>
        <w:noBreakHyphen/>
      </w:r>
      <w:r w:rsidRPr="00A808AC">
        <w:rPr>
          <w:rFonts w:eastAsia="MS Mincho"/>
          <w:lang w:eastAsia="ja-JP"/>
        </w:rPr>
        <w:t>eight (48) patients from study 2 were rolled over in study 4, 22 in the placebo/ivacaftor group and 26 in the ivacaftor/ivac</w:t>
      </w:r>
      <w:r w:rsidRPr="00A808AC">
        <w:rPr>
          <w:rFonts w:eastAsia="MS Mincho"/>
          <w:lang w:eastAsia="ja-JP"/>
        </w:rPr>
        <w:t>aftor group.</w:t>
      </w:r>
    </w:p>
    <w:p w14:paraId="53FFE942" w14:textId="77777777" w:rsidR="00096B0E" w:rsidRPr="00A808AC" w:rsidRDefault="00096B0E" w:rsidP="00F5367F">
      <w:pPr>
        <w:spacing w:line="240" w:lineRule="auto"/>
        <w:rPr>
          <w:rFonts w:eastAsia="MS Mincho"/>
          <w:lang w:eastAsia="ja-JP"/>
        </w:rPr>
      </w:pPr>
    </w:p>
    <w:p w14:paraId="1BA466B7" w14:textId="4B1AFDA6" w:rsidR="00096B0E" w:rsidRPr="00A808AC" w:rsidRDefault="005A3D7D" w:rsidP="00F5367F">
      <w:pPr>
        <w:spacing w:line="240" w:lineRule="auto"/>
        <w:rPr>
          <w:rFonts w:eastAsia="MS Mincho"/>
          <w:lang w:eastAsia="ja-JP"/>
        </w:rPr>
      </w:pPr>
      <w:r w:rsidRPr="00A808AC">
        <w:t>Table</w:t>
      </w:r>
      <w:r w:rsidRPr="00A808AC">
        <w:rPr>
          <w:rFonts w:eastAsia="MS Mincho"/>
          <w:lang w:eastAsia="ja-JP"/>
        </w:rPr>
        <w:t> </w:t>
      </w:r>
      <w:r w:rsidR="00212EEB">
        <w:t>6</w:t>
      </w:r>
      <w:r w:rsidRPr="00A808AC">
        <w:t xml:space="preserve"> shows the results of the mean (SD) absolute change in percent predicted FEV</w:t>
      </w:r>
      <w:r w:rsidRPr="00A808AC">
        <w:rPr>
          <w:vertAlign w:val="subscript"/>
        </w:rPr>
        <w:t>1</w:t>
      </w:r>
      <w:r w:rsidRPr="00A808AC">
        <w:t xml:space="preserve"> for both groups of patients. For patients in the placebo/ivacaftor group baseline percent predicted FEV</w:t>
      </w:r>
      <w:r w:rsidRPr="00A808AC">
        <w:rPr>
          <w:vertAlign w:val="subscript"/>
        </w:rPr>
        <w:t>1</w:t>
      </w:r>
      <w:r w:rsidRPr="00A808AC">
        <w:t xml:space="preserve"> is that of study 4 while for patients in the ivacaftor/ivacaftor group the baseline value is that of studies</w:t>
      </w:r>
      <w:r w:rsidRPr="00A808AC">
        <w:rPr>
          <w:rFonts w:eastAsia="MS Mincho"/>
          <w:lang w:eastAsia="ja-JP"/>
        </w:rPr>
        <w:t> </w:t>
      </w:r>
      <w:r w:rsidRPr="00A808AC">
        <w:t>1 and 2.</w:t>
      </w:r>
    </w:p>
    <w:p w14:paraId="0D0536E0" w14:textId="77777777" w:rsidR="00096B0E" w:rsidRPr="00A808AC" w:rsidRDefault="00096B0E" w:rsidP="006C4477">
      <w:pPr>
        <w:rPr>
          <w:rFonts w:eastAsia="MS Mincho"/>
          <w:lang w:eastAsia="ja-JP"/>
        </w:rPr>
      </w:pPr>
    </w:p>
    <w:p w14:paraId="1C16F24A" w14:textId="6581A8E9" w:rsidR="00A55C5D" w:rsidRDefault="005A3D7D" w:rsidP="000A093B">
      <w:pPr>
        <w:keepNext/>
        <w:spacing w:after="120" w:line="240" w:lineRule="auto"/>
        <w:rPr>
          <w:b/>
        </w:rPr>
      </w:pPr>
      <w:r w:rsidRPr="00A808AC">
        <w:rPr>
          <w:b/>
        </w:rPr>
        <w:t>Table </w:t>
      </w:r>
      <w:r w:rsidR="00212EEB">
        <w:rPr>
          <w:b/>
        </w:rPr>
        <w:t>6</w:t>
      </w:r>
      <w:r>
        <w:rPr>
          <w:b/>
        </w:rPr>
        <w:t>:</w:t>
      </w:r>
      <w:r w:rsidRPr="00A808AC">
        <w:rPr>
          <w:b/>
        </w:rPr>
        <w:t xml:space="preserve"> Effect of ivacaftor on</w:t>
      </w:r>
      <w:r w:rsidRPr="00A808AC">
        <w:rPr>
          <w:b/>
        </w:rPr>
        <w:t xml:space="preserve"> percent predicted FEV</w:t>
      </w:r>
      <w:r w:rsidRPr="00491009">
        <w:rPr>
          <w:vertAlign w:val="subscript"/>
        </w:rPr>
        <w:t>1</w:t>
      </w:r>
      <w:r w:rsidRPr="00A808AC">
        <w:rPr>
          <w:b/>
        </w:rPr>
        <w:t xml:space="preserve"> in study 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17"/>
        <w:gridCol w:w="2486"/>
        <w:gridCol w:w="1332"/>
        <w:gridCol w:w="2932"/>
      </w:tblGrid>
      <w:tr w:rsidR="00476058" w14:paraId="51F686B0" w14:textId="77777777" w:rsidTr="00612F72">
        <w:tc>
          <w:tcPr>
            <w:tcW w:w="1236" w:type="pct"/>
            <w:vMerge w:val="restart"/>
            <w:vAlign w:val="bottom"/>
          </w:tcPr>
          <w:p w14:paraId="3759BC3A" w14:textId="77777777" w:rsidR="00F5367F" w:rsidRPr="00A808AC" w:rsidRDefault="005A3D7D" w:rsidP="000A093B">
            <w:pPr>
              <w:keepNext/>
              <w:spacing w:line="240" w:lineRule="auto"/>
              <w:rPr>
                <w:rFonts w:eastAsia="MS Mincho"/>
                <w:lang w:eastAsia="ja-JP"/>
              </w:rPr>
            </w:pPr>
            <w:r w:rsidRPr="00A808AC">
              <w:rPr>
                <w:b/>
              </w:rPr>
              <w:t>Original study and treatment group</w:t>
            </w:r>
          </w:p>
        </w:tc>
        <w:tc>
          <w:tcPr>
            <w:tcW w:w="1386" w:type="pct"/>
            <w:vMerge w:val="restart"/>
            <w:vAlign w:val="bottom"/>
          </w:tcPr>
          <w:p w14:paraId="0896D185" w14:textId="77777777" w:rsidR="00F5367F" w:rsidRPr="00A808AC" w:rsidRDefault="005A3D7D" w:rsidP="000A093B">
            <w:pPr>
              <w:keepNext/>
              <w:spacing w:line="240" w:lineRule="auto"/>
              <w:jc w:val="center"/>
              <w:rPr>
                <w:rFonts w:eastAsia="MS Mincho"/>
                <w:lang w:eastAsia="ja-JP"/>
              </w:rPr>
            </w:pPr>
            <w:r w:rsidRPr="00A808AC">
              <w:rPr>
                <w:b/>
              </w:rPr>
              <w:t>Duration of ivacaftor treatment (</w:t>
            </w:r>
            <w:r w:rsidR="00E97780">
              <w:rPr>
                <w:b/>
              </w:rPr>
              <w:t>w</w:t>
            </w:r>
            <w:r w:rsidRPr="00A808AC">
              <w:rPr>
                <w:b/>
              </w:rPr>
              <w:t>eeks)</w:t>
            </w:r>
          </w:p>
        </w:tc>
        <w:tc>
          <w:tcPr>
            <w:tcW w:w="2378" w:type="pct"/>
            <w:gridSpan w:val="2"/>
          </w:tcPr>
          <w:p w14:paraId="1CF083A1" w14:textId="77777777" w:rsidR="00F5367F" w:rsidRPr="00A808AC" w:rsidRDefault="005A3D7D" w:rsidP="000A093B">
            <w:pPr>
              <w:keepNext/>
              <w:spacing w:line="240" w:lineRule="auto"/>
              <w:jc w:val="center"/>
              <w:rPr>
                <w:rFonts w:eastAsia="MS Mincho"/>
                <w:lang w:eastAsia="ja-JP"/>
              </w:rPr>
            </w:pPr>
            <w:r w:rsidRPr="00A808AC">
              <w:rPr>
                <w:b/>
              </w:rPr>
              <w:t>Absolute change from baseline in percent predicted FEV</w:t>
            </w:r>
            <w:r w:rsidRPr="00A808AC">
              <w:rPr>
                <w:b/>
                <w:vertAlign w:val="subscript"/>
              </w:rPr>
              <w:t xml:space="preserve">1 </w:t>
            </w:r>
            <w:r w:rsidRPr="00A808AC">
              <w:rPr>
                <w:b/>
              </w:rPr>
              <w:t>(percentage points)</w:t>
            </w:r>
          </w:p>
        </w:tc>
      </w:tr>
      <w:tr w:rsidR="00476058" w14:paraId="31FF7D19" w14:textId="77777777" w:rsidTr="00612F72">
        <w:tc>
          <w:tcPr>
            <w:tcW w:w="1236" w:type="pct"/>
            <w:vMerge/>
          </w:tcPr>
          <w:p w14:paraId="7999E78C" w14:textId="77777777" w:rsidR="00F5367F" w:rsidRPr="00A808AC" w:rsidRDefault="00F5367F" w:rsidP="00F5367F">
            <w:pPr>
              <w:spacing w:line="240" w:lineRule="auto"/>
              <w:rPr>
                <w:b/>
              </w:rPr>
            </w:pPr>
          </w:p>
        </w:tc>
        <w:tc>
          <w:tcPr>
            <w:tcW w:w="1386" w:type="pct"/>
            <w:vMerge/>
          </w:tcPr>
          <w:p w14:paraId="2054EF5B" w14:textId="77777777" w:rsidR="00F5367F" w:rsidRPr="00A808AC" w:rsidRDefault="00F5367F" w:rsidP="00F5367F">
            <w:pPr>
              <w:spacing w:line="240" w:lineRule="auto"/>
              <w:jc w:val="center"/>
              <w:rPr>
                <w:b/>
              </w:rPr>
            </w:pPr>
          </w:p>
        </w:tc>
        <w:tc>
          <w:tcPr>
            <w:tcW w:w="743" w:type="pct"/>
          </w:tcPr>
          <w:p w14:paraId="756F3585" w14:textId="77777777" w:rsidR="00F5367F" w:rsidRPr="00A808AC" w:rsidRDefault="005A3D7D" w:rsidP="00F5367F">
            <w:pPr>
              <w:spacing w:line="240" w:lineRule="auto"/>
              <w:jc w:val="center"/>
              <w:rPr>
                <w:b/>
              </w:rPr>
            </w:pPr>
            <w:r w:rsidRPr="00A808AC">
              <w:rPr>
                <w:b/>
              </w:rPr>
              <w:t>N</w:t>
            </w:r>
          </w:p>
        </w:tc>
        <w:tc>
          <w:tcPr>
            <w:tcW w:w="1635" w:type="pct"/>
          </w:tcPr>
          <w:p w14:paraId="466529C0" w14:textId="77777777" w:rsidR="00F5367F" w:rsidRPr="00A808AC" w:rsidRDefault="005A3D7D" w:rsidP="00F5367F">
            <w:pPr>
              <w:tabs>
                <w:tab w:val="clear" w:pos="567"/>
              </w:tabs>
              <w:spacing w:line="240" w:lineRule="auto"/>
              <w:jc w:val="center"/>
              <w:rPr>
                <w:b/>
              </w:rPr>
            </w:pPr>
            <w:r w:rsidRPr="00A808AC">
              <w:rPr>
                <w:b/>
              </w:rPr>
              <w:t>Mean (SD)</w:t>
            </w:r>
          </w:p>
        </w:tc>
      </w:tr>
      <w:tr w:rsidR="00476058" w14:paraId="087EC55F" w14:textId="77777777" w:rsidTr="00612F72">
        <w:tc>
          <w:tcPr>
            <w:tcW w:w="5000" w:type="pct"/>
            <w:gridSpan w:val="4"/>
          </w:tcPr>
          <w:p w14:paraId="316EF376" w14:textId="77777777" w:rsidR="00096B0E" w:rsidRPr="00A808AC" w:rsidRDefault="005A3D7D" w:rsidP="00F5367F">
            <w:pPr>
              <w:spacing w:line="240" w:lineRule="auto"/>
              <w:rPr>
                <w:b/>
              </w:rPr>
            </w:pPr>
            <w:r w:rsidRPr="00A808AC">
              <w:rPr>
                <w:b/>
              </w:rPr>
              <w:t>Study 1</w:t>
            </w:r>
          </w:p>
        </w:tc>
      </w:tr>
      <w:tr w:rsidR="00476058" w14:paraId="79A392C7" w14:textId="77777777" w:rsidTr="00612F72">
        <w:tc>
          <w:tcPr>
            <w:tcW w:w="1236" w:type="pct"/>
            <w:vMerge w:val="restart"/>
          </w:tcPr>
          <w:p w14:paraId="02667647" w14:textId="77777777" w:rsidR="00F5367F" w:rsidRPr="00A808AC" w:rsidRDefault="005A3D7D" w:rsidP="00F5367F">
            <w:pPr>
              <w:spacing w:line="240" w:lineRule="auto"/>
              <w:ind w:left="567"/>
              <w:rPr>
                <w:b/>
              </w:rPr>
            </w:pPr>
            <w:r w:rsidRPr="00A808AC">
              <w:rPr>
                <w:b/>
              </w:rPr>
              <w:t>Ivacaftor</w:t>
            </w:r>
          </w:p>
        </w:tc>
        <w:tc>
          <w:tcPr>
            <w:tcW w:w="1386" w:type="pct"/>
          </w:tcPr>
          <w:p w14:paraId="2FD42E14" w14:textId="77777777" w:rsidR="00F5367F" w:rsidRPr="00A808AC" w:rsidRDefault="005A3D7D" w:rsidP="00F5367F">
            <w:pPr>
              <w:tabs>
                <w:tab w:val="clear" w:pos="567"/>
              </w:tabs>
              <w:spacing w:line="240" w:lineRule="auto"/>
              <w:jc w:val="center"/>
            </w:pPr>
            <w:r w:rsidRPr="00A808AC">
              <w:t>48</w:t>
            </w:r>
            <w:r w:rsidRPr="007B0741">
              <w:rPr>
                <w:vertAlign w:val="superscript"/>
              </w:rPr>
              <w:t>*</w:t>
            </w:r>
          </w:p>
        </w:tc>
        <w:tc>
          <w:tcPr>
            <w:tcW w:w="743" w:type="pct"/>
          </w:tcPr>
          <w:p w14:paraId="79F87627" w14:textId="77777777" w:rsidR="00F5367F" w:rsidRPr="00A808AC" w:rsidRDefault="005A3D7D" w:rsidP="00F5367F">
            <w:pPr>
              <w:spacing w:line="240" w:lineRule="auto"/>
              <w:jc w:val="center"/>
            </w:pPr>
            <w:r w:rsidRPr="00A808AC">
              <w:t>77</w:t>
            </w:r>
          </w:p>
        </w:tc>
        <w:tc>
          <w:tcPr>
            <w:tcW w:w="1635" w:type="pct"/>
          </w:tcPr>
          <w:p w14:paraId="4BD9B28C" w14:textId="77777777" w:rsidR="00F5367F" w:rsidRPr="00A808AC" w:rsidRDefault="005A3D7D" w:rsidP="00F5367F">
            <w:pPr>
              <w:tabs>
                <w:tab w:val="clear" w:pos="567"/>
              </w:tabs>
              <w:spacing w:line="240" w:lineRule="auto"/>
              <w:jc w:val="center"/>
            </w:pPr>
            <w:r w:rsidRPr="00A808AC">
              <w:t>9.4 (8.3)</w:t>
            </w:r>
          </w:p>
        </w:tc>
      </w:tr>
      <w:tr w:rsidR="00476058" w14:paraId="6D14600C" w14:textId="77777777" w:rsidTr="00612F72">
        <w:tc>
          <w:tcPr>
            <w:tcW w:w="1236" w:type="pct"/>
            <w:vMerge/>
          </w:tcPr>
          <w:p w14:paraId="1342C80B" w14:textId="77777777" w:rsidR="00F5367F" w:rsidRPr="00A808AC" w:rsidRDefault="00F5367F" w:rsidP="00F5367F">
            <w:pPr>
              <w:spacing w:line="240" w:lineRule="auto"/>
              <w:rPr>
                <w:b/>
              </w:rPr>
            </w:pPr>
          </w:p>
        </w:tc>
        <w:tc>
          <w:tcPr>
            <w:tcW w:w="1386" w:type="pct"/>
          </w:tcPr>
          <w:p w14:paraId="04010945" w14:textId="77777777" w:rsidR="00F5367F" w:rsidRPr="00A808AC" w:rsidRDefault="005A3D7D" w:rsidP="00F5367F">
            <w:pPr>
              <w:spacing w:line="240" w:lineRule="auto"/>
              <w:jc w:val="center"/>
            </w:pPr>
            <w:r w:rsidRPr="00A808AC">
              <w:t>144</w:t>
            </w:r>
          </w:p>
        </w:tc>
        <w:tc>
          <w:tcPr>
            <w:tcW w:w="743" w:type="pct"/>
          </w:tcPr>
          <w:p w14:paraId="36CD432E" w14:textId="77777777" w:rsidR="00F5367F" w:rsidRPr="00A808AC" w:rsidRDefault="005A3D7D" w:rsidP="00F5367F">
            <w:pPr>
              <w:spacing w:line="240" w:lineRule="auto"/>
              <w:jc w:val="center"/>
            </w:pPr>
            <w:r w:rsidRPr="00A808AC">
              <w:t>72</w:t>
            </w:r>
          </w:p>
        </w:tc>
        <w:tc>
          <w:tcPr>
            <w:tcW w:w="1635" w:type="pct"/>
          </w:tcPr>
          <w:p w14:paraId="7B970E81" w14:textId="77777777" w:rsidR="00F5367F" w:rsidRPr="00A808AC" w:rsidRDefault="005A3D7D" w:rsidP="00F5367F">
            <w:pPr>
              <w:tabs>
                <w:tab w:val="clear" w:pos="567"/>
              </w:tabs>
              <w:spacing w:line="240" w:lineRule="auto"/>
              <w:jc w:val="center"/>
            </w:pPr>
            <w:r w:rsidRPr="00A808AC">
              <w:t xml:space="preserve">9.4 </w:t>
            </w:r>
            <w:r w:rsidRPr="00A808AC">
              <w:t>(10.8)</w:t>
            </w:r>
          </w:p>
        </w:tc>
      </w:tr>
      <w:tr w:rsidR="00476058" w14:paraId="5F0B3470" w14:textId="77777777" w:rsidTr="00612F72">
        <w:tc>
          <w:tcPr>
            <w:tcW w:w="1236" w:type="pct"/>
            <w:vMerge w:val="restart"/>
          </w:tcPr>
          <w:p w14:paraId="41B5AFDC" w14:textId="77777777" w:rsidR="00F5367F" w:rsidRPr="00A808AC" w:rsidRDefault="005A3D7D" w:rsidP="00F5367F">
            <w:pPr>
              <w:spacing w:line="240" w:lineRule="auto"/>
              <w:ind w:left="567"/>
              <w:rPr>
                <w:b/>
              </w:rPr>
            </w:pPr>
            <w:r w:rsidRPr="00A808AC">
              <w:rPr>
                <w:b/>
              </w:rPr>
              <w:t>Placebo</w:t>
            </w:r>
          </w:p>
        </w:tc>
        <w:tc>
          <w:tcPr>
            <w:tcW w:w="1386" w:type="pct"/>
          </w:tcPr>
          <w:p w14:paraId="72285C5E" w14:textId="77777777" w:rsidR="00F5367F" w:rsidRPr="00A808AC" w:rsidRDefault="005A3D7D" w:rsidP="00F5367F">
            <w:pPr>
              <w:spacing w:line="240" w:lineRule="auto"/>
              <w:jc w:val="center"/>
            </w:pPr>
            <w:r w:rsidRPr="00A808AC">
              <w:t>0</w:t>
            </w:r>
            <w:r w:rsidRPr="007B0741">
              <w:rPr>
                <w:vertAlign w:val="superscript"/>
              </w:rPr>
              <w:t>*</w:t>
            </w:r>
          </w:p>
        </w:tc>
        <w:tc>
          <w:tcPr>
            <w:tcW w:w="743" w:type="pct"/>
          </w:tcPr>
          <w:p w14:paraId="116C6D00" w14:textId="77777777" w:rsidR="00F5367F" w:rsidRPr="00A808AC" w:rsidRDefault="005A3D7D" w:rsidP="00F5367F">
            <w:pPr>
              <w:spacing w:line="240" w:lineRule="auto"/>
              <w:jc w:val="center"/>
            </w:pPr>
            <w:r w:rsidRPr="00A808AC">
              <w:t>67</w:t>
            </w:r>
          </w:p>
        </w:tc>
        <w:tc>
          <w:tcPr>
            <w:tcW w:w="1635" w:type="pct"/>
          </w:tcPr>
          <w:p w14:paraId="079E4D61" w14:textId="77777777" w:rsidR="00F5367F" w:rsidRPr="00A808AC" w:rsidRDefault="005A3D7D" w:rsidP="00F5367F">
            <w:pPr>
              <w:tabs>
                <w:tab w:val="clear" w:pos="567"/>
              </w:tabs>
              <w:spacing w:line="240" w:lineRule="auto"/>
              <w:jc w:val="center"/>
            </w:pPr>
            <w:r>
              <w:noBreakHyphen/>
            </w:r>
            <w:r w:rsidRPr="00A808AC">
              <w:t>1.2 (7.8)</w:t>
            </w:r>
            <w:r w:rsidRPr="007B0741">
              <w:rPr>
                <w:position w:val="6"/>
                <w:vertAlign w:val="superscript"/>
              </w:rPr>
              <w:t>†</w:t>
            </w:r>
          </w:p>
        </w:tc>
      </w:tr>
      <w:tr w:rsidR="00476058" w14:paraId="40C6A203" w14:textId="77777777" w:rsidTr="00612F72">
        <w:tc>
          <w:tcPr>
            <w:tcW w:w="1236" w:type="pct"/>
            <w:vMerge/>
          </w:tcPr>
          <w:p w14:paraId="4BE7A15A" w14:textId="77777777" w:rsidR="00F5367F" w:rsidRPr="00A808AC" w:rsidRDefault="00F5367F" w:rsidP="00F5367F">
            <w:pPr>
              <w:spacing w:line="240" w:lineRule="auto"/>
              <w:rPr>
                <w:b/>
              </w:rPr>
            </w:pPr>
          </w:p>
        </w:tc>
        <w:tc>
          <w:tcPr>
            <w:tcW w:w="1386" w:type="pct"/>
          </w:tcPr>
          <w:p w14:paraId="1025CC6B" w14:textId="77777777" w:rsidR="00F5367F" w:rsidRPr="00A808AC" w:rsidRDefault="005A3D7D" w:rsidP="00F5367F">
            <w:pPr>
              <w:spacing w:line="240" w:lineRule="auto"/>
              <w:jc w:val="center"/>
            </w:pPr>
            <w:r w:rsidRPr="00A808AC">
              <w:t>96</w:t>
            </w:r>
          </w:p>
        </w:tc>
        <w:tc>
          <w:tcPr>
            <w:tcW w:w="743" w:type="pct"/>
          </w:tcPr>
          <w:p w14:paraId="151FECBB" w14:textId="77777777" w:rsidR="00F5367F" w:rsidRPr="00A808AC" w:rsidRDefault="005A3D7D" w:rsidP="00F5367F">
            <w:pPr>
              <w:spacing w:line="240" w:lineRule="auto"/>
              <w:jc w:val="center"/>
            </w:pPr>
            <w:r w:rsidRPr="00A808AC">
              <w:t>55</w:t>
            </w:r>
          </w:p>
        </w:tc>
        <w:tc>
          <w:tcPr>
            <w:tcW w:w="1635" w:type="pct"/>
          </w:tcPr>
          <w:p w14:paraId="04C97CD5" w14:textId="77777777" w:rsidR="00F5367F" w:rsidRPr="00A808AC" w:rsidRDefault="005A3D7D" w:rsidP="00F5367F">
            <w:pPr>
              <w:tabs>
                <w:tab w:val="clear" w:pos="567"/>
              </w:tabs>
              <w:spacing w:line="240" w:lineRule="auto"/>
              <w:jc w:val="center"/>
            </w:pPr>
            <w:r w:rsidRPr="00A808AC">
              <w:t>9.5 (11.2)</w:t>
            </w:r>
          </w:p>
        </w:tc>
      </w:tr>
      <w:tr w:rsidR="00476058" w14:paraId="49E492B9" w14:textId="77777777" w:rsidTr="00612F72">
        <w:tc>
          <w:tcPr>
            <w:tcW w:w="5000" w:type="pct"/>
            <w:gridSpan w:val="4"/>
          </w:tcPr>
          <w:p w14:paraId="1F42347E" w14:textId="77777777" w:rsidR="00096B0E" w:rsidRPr="00A808AC" w:rsidRDefault="005A3D7D" w:rsidP="00F5367F">
            <w:pPr>
              <w:spacing w:line="240" w:lineRule="auto"/>
              <w:rPr>
                <w:b/>
              </w:rPr>
            </w:pPr>
            <w:r w:rsidRPr="00A808AC">
              <w:rPr>
                <w:b/>
              </w:rPr>
              <w:t>Study 2</w:t>
            </w:r>
          </w:p>
        </w:tc>
      </w:tr>
      <w:tr w:rsidR="00476058" w14:paraId="603C1171" w14:textId="77777777" w:rsidTr="00612F72">
        <w:tc>
          <w:tcPr>
            <w:tcW w:w="1236" w:type="pct"/>
            <w:vMerge w:val="restart"/>
          </w:tcPr>
          <w:p w14:paraId="60DDB1F3" w14:textId="77777777" w:rsidR="00F5367F" w:rsidRPr="00A808AC" w:rsidRDefault="005A3D7D" w:rsidP="00F5367F">
            <w:pPr>
              <w:spacing w:line="240" w:lineRule="auto"/>
              <w:ind w:left="567"/>
              <w:rPr>
                <w:b/>
              </w:rPr>
            </w:pPr>
            <w:r w:rsidRPr="00A808AC">
              <w:rPr>
                <w:b/>
              </w:rPr>
              <w:t>Ivacaftor</w:t>
            </w:r>
          </w:p>
        </w:tc>
        <w:tc>
          <w:tcPr>
            <w:tcW w:w="1386" w:type="pct"/>
          </w:tcPr>
          <w:p w14:paraId="3400A2F3" w14:textId="77777777" w:rsidR="00F5367F" w:rsidRPr="00A808AC" w:rsidRDefault="005A3D7D" w:rsidP="00F5367F">
            <w:pPr>
              <w:tabs>
                <w:tab w:val="clear" w:pos="567"/>
              </w:tabs>
              <w:spacing w:line="240" w:lineRule="auto"/>
              <w:jc w:val="center"/>
            </w:pPr>
            <w:r w:rsidRPr="00A808AC">
              <w:t>48</w:t>
            </w:r>
            <w:r w:rsidRPr="007B0741">
              <w:rPr>
                <w:vertAlign w:val="superscript"/>
              </w:rPr>
              <w:t>*</w:t>
            </w:r>
          </w:p>
        </w:tc>
        <w:tc>
          <w:tcPr>
            <w:tcW w:w="743" w:type="pct"/>
          </w:tcPr>
          <w:p w14:paraId="17781ECB" w14:textId="77777777" w:rsidR="00F5367F" w:rsidRPr="00A808AC" w:rsidRDefault="005A3D7D" w:rsidP="00F5367F">
            <w:pPr>
              <w:spacing w:line="240" w:lineRule="auto"/>
              <w:jc w:val="center"/>
            </w:pPr>
            <w:r w:rsidRPr="00A808AC">
              <w:t>26</w:t>
            </w:r>
          </w:p>
        </w:tc>
        <w:tc>
          <w:tcPr>
            <w:tcW w:w="1635" w:type="pct"/>
          </w:tcPr>
          <w:p w14:paraId="76421567" w14:textId="77777777" w:rsidR="00F5367F" w:rsidRPr="00A808AC" w:rsidRDefault="005A3D7D" w:rsidP="00F5367F">
            <w:pPr>
              <w:tabs>
                <w:tab w:val="clear" w:pos="567"/>
              </w:tabs>
              <w:spacing w:line="240" w:lineRule="auto"/>
              <w:jc w:val="center"/>
            </w:pPr>
            <w:r w:rsidRPr="00A808AC">
              <w:t>10.2 (15.7)</w:t>
            </w:r>
          </w:p>
        </w:tc>
      </w:tr>
      <w:tr w:rsidR="00476058" w14:paraId="42745E91" w14:textId="77777777" w:rsidTr="00612F72">
        <w:tc>
          <w:tcPr>
            <w:tcW w:w="1236" w:type="pct"/>
            <w:vMerge/>
          </w:tcPr>
          <w:p w14:paraId="7B761428" w14:textId="77777777" w:rsidR="00F5367F" w:rsidRPr="00A808AC" w:rsidRDefault="00F5367F" w:rsidP="00F5367F">
            <w:pPr>
              <w:spacing w:line="240" w:lineRule="auto"/>
              <w:rPr>
                <w:b/>
              </w:rPr>
            </w:pPr>
          </w:p>
        </w:tc>
        <w:tc>
          <w:tcPr>
            <w:tcW w:w="1386" w:type="pct"/>
          </w:tcPr>
          <w:p w14:paraId="7BF04940" w14:textId="77777777" w:rsidR="00F5367F" w:rsidRPr="00A808AC" w:rsidRDefault="005A3D7D" w:rsidP="00F5367F">
            <w:pPr>
              <w:tabs>
                <w:tab w:val="clear" w:pos="567"/>
              </w:tabs>
              <w:spacing w:line="240" w:lineRule="auto"/>
              <w:jc w:val="center"/>
            </w:pPr>
            <w:r w:rsidRPr="00A808AC">
              <w:t>144</w:t>
            </w:r>
          </w:p>
        </w:tc>
        <w:tc>
          <w:tcPr>
            <w:tcW w:w="743" w:type="pct"/>
          </w:tcPr>
          <w:p w14:paraId="4C370CDE" w14:textId="77777777" w:rsidR="00F5367F" w:rsidRPr="00A808AC" w:rsidRDefault="005A3D7D" w:rsidP="00F5367F">
            <w:pPr>
              <w:spacing w:line="240" w:lineRule="auto"/>
              <w:jc w:val="center"/>
            </w:pPr>
            <w:r w:rsidRPr="00A808AC">
              <w:t>25</w:t>
            </w:r>
          </w:p>
        </w:tc>
        <w:tc>
          <w:tcPr>
            <w:tcW w:w="1635" w:type="pct"/>
          </w:tcPr>
          <w:p w14:paraId="76F57AC9" w14:textId="77777777" w:rsidR="00F5367F" w:rsidRPr="00A808AC" w:rsidRDefault="005A3D7D" w:rsidP="00F5367F">
            <w:pPr>
              <w:tabs>
                <w:tab w:val="clear" w:pos="567"/>
              </w:tabs>
              <w:spacing w:line="240" w:lineRule="auto"/>
              <w:jc w:val="center"/>
            </w:pPr>
            <w:r w:rsidRPr="00A808AC">
              <w:t>10.3 (12.4)</w:t>
            </w:r>
          </w:p>
        </w:tc>
      </w:tr>
      <w:tr w:rsidR="00476058" w14:paraId="75D73DCE" w14:textId="77777777" w:rsidTr="00612F72">
        <w:tc>
          <w:tcPr>
            <w:tcW w:w="1236" w:type="pct"/>
            <w:vMerge w:val="restart"/>
          </w:tcPr>
          <w:p w14:paraId="055CA9BC" w14:textId="77777777" w:rsidR="00F5367F" w:rsidRPr="00A808AC" w:rsidRDefault="005A3D7D" w:rsidP="00F5367F">
            <w:pPr>
              <w:spacing w:line="240" w:lineRule="auto"/>
              <w:ind w:left="567"/>
              <w:rPr>
                <w:b/>
              </w:rPr>
            </w:pPr>
            <w:r w:rsidRPr="00A808AC">
              <w:rPr>
                <w:b/>
              </w:rPr>
              <w:t>Placebo</w:t>
            </w:r>
          </w:p>
        </w:tc>
        <w:tc>
          <w:tcPr>
            <w:tcW w:w="1386" w:type="pct"/>
          </w:tcPr>
          <w:p w14:paraId="4EE84898" w14:textId="77777777" w:rsidR="00F5367F" w:rsidRPr="00A808AC" w:rsidRDefault="005A3D7D" w:rsidP="00F5367F">
            <w:pPr>
              <w:tabs>
                <w:tab w:val="clear" w:pos="567"/>
              </w:tabs>
              <w:spacing w:line="240" w:lineRule="auto"/>
              <w:jc w:val="center"/>
            </w:pPr>
            <w:r w:rsidRPr="00A808AC">
              <w:t>0</w:t>
            </w:r>
            <w:r w:rsidRPr="007B0741">
              <w:rPr>
                <w:vertAlign w:val="superscript"/>
              </w:rPr>
              <w:t>*</w:t>
            </w:r>
          </w:p>
        </w:tc>
        <w:tc>
          <w:tcPr>
            <w:tcW w:w="743" w:type="pct"/>
          </w:tcPr>
          <w:p w14:paraId="4035CB02" w14:textId="77777777" w:rsidR="00F5367F" w:rsidRPr="00A808AC" w:rsidRDefault="005A3D7D" w:rsidP="00F5367F">
            <w:pPr>
              <w:spacing w:line="240" w:lineRule="auto"/>
              <w:jc w:val="center"/>
            </w:pPr>
            <w:r w:rsidRPr="00A808AC">
              <w:t>22</w:t>
            </w:r>
          </w:p>
        </w:tc>
        <w:tc>
          <w:tcPr>
            <w:tcW w:w="1635" w:type="pct"/>
          </w:tcPr>
          <w:p w14:paraId="6AB9D2C2" w14:textId="77777777" w:rsidR="00F5367F" w:rsidRPr="00A808AC" w:rsidRDefault="005A3D7D" w:rsidP="00F5367F">
            <w:pPr>
              <w:tabs>
                <w:tab w:val="clear" w:pos="567"/>
              </w:tabs>
              <w:spacing w:line="240" w:lineRule="auto"/>
              <w:jc w:val="center"/>
            </w:pPr>
            <w:r>
              <w:noBreakHyphen/>
            </w:r>
            <w:r w:rsidRPr="00A808AC">
              <w:t>0.6 (10.1)</w:t>
            </w:r>
            <w:r w:rsidRPr="007B0741">
              <w:rPr>
                <w:position w:val="6"/>
                <w:vertAlign w:val="superscript"/>
              </w:rPr>
              <w:t>†</w:t>
            </w:r>
          </w:p>
        </w:tc>
      </w:tr>
      <w:tr w:rsidR="00476058" w14:paraId="4C1B3CC9" w14:textId="77777777" w:rsidTr="00612F72">
        <w:tc>
          <w:tcPr>
            <w:tcW w:w="1236" w:type="pct"/>
            <w:vMerge/>
          </w:tcPr>
          <w:p w14:paraId="5D6B062A" w14:textId="77777777" w:rsidR="00F5367F" w:rsidRPr="00A808AC" w:rsidRDefault="00F5367F" w:rsidP="00F5367F">
            <w:pPr>
              <w:spacing w:line="240" w:lineRule="auto"/>
              <w:rPr>
                <w:b/>
              </w:rPr>
            </w:pPr>
          </w:p>
        </w:tc>
        <w:tc>
          <w:tcPr>
            <w:tcW w:w="1386" w:type="pct"/>
          </w:tcPr>
          <w:p w14:paraId="6DD85CAF" w14:textId="77777777" w:rsidR="00F5367F" w:rsidRPr="00A808AC" w:rsidRDefault="005A3D7D" w:rsidP="00F5367F">
            <w:pPr>
              <w:tabs>
                <w:tab w:val="clear" w:pos="567"/>
              </w:tabs>
              <w:spacing w:line="240" w:lineRule="auto"/>
              <w:jc w:val="center"/>
            </w:pPr>
            <w:r w:rsidRPr="00A808AC">
              <w:t>96</w:t>
            </w:r>
          </w:p>
        </w:tc>
        <w:tc>
          <w:tcPr>
            <w:tcW w:w="743" w:type="pct"/>
          </w:tcPr>
          <w:p w14:paraId="2068A734" w14:textId="77777777" w:rsidR="00F5367F" w:rsidRPr="00A808AC" w:rsidRDefault="005A3D7D" w:rsidP="00F5367F">
            <w:pPr>
              <w:spacing w:line="240" w:lineRule="auto"/>
              <w:jc w:val="center"/>
            </w:pPr>
            <w:r w:rsidRPr="00A808AC">
              <w:t>21</w:t>
            </w:r>
          </w:p>
        </w:tc>
        <w:tc>
          <w:tcPr>
            <w:tcW w:w="1635" w:type="pct"/>
          </w:tcPr>
          <w:p w14:paraId="69E332A8" w14:textId="77777777" w:rsidR="00F5367F" w:rsidRPr="00A808AC" w:rsidRDefault="005A3D7D" w:rsidP="00F5367F">
            <w:pPr>
              <w:tabs>
                <w:tab w:val="clear" w:pos="567"/>
              </w:tabs>
              <w:spacing w:line="240" w:lineRule="auto"/>
              <w:jc w:val="center"/>
            </w:pPr>
            <w:r w:rsidRPr="00A808AC">
              <w:t>10.5 (11.5)</w:t>
            </w:r>
          </w:p>
        </w:tc>
      </w:tr>
    </w:tbl>
    <w:p w14:paraId="4BF7B81F" w14:textId="1AB9F751" w:rsidR="00A55C5D" w:rsidRPr="00E95C66" w:rsidRDefault="005A3D7D" w:rsidP="00A025B3">
      <w:pPr>
        <w:ind w:left="288" w:hanging="288"/>
        <w:rPr>
          <w:sz w:val="18"/>
          <w:szCs w:val="18"/>
        </w:rPr>
      </w:pPr>
      <w:r w:rsidRPr="00E95C66">
        <w:rPr>
          <w:sz w:val="18"/>
          <w:szCs w:val="18"/>
          <w:vertAlign w:val="superscript"/>
        </w:rPr>
        <w:t>*</w:t>
      </w:r>
      <w:r w:rsidRPr="00E95C66">
        <w:rPr>
          <w:sz w:val="18"/>
          <w:szCs w:val="18"/>
        </w:rPr>
        <w:tab/>
      </w:r>
      <w:r w:rsidRPr="00E95C66">
        <w:rPr>
          <w:sz w:val="18"/>
          <w:szCs w:val="18"/>
        </w:rPr>
        <w:t xml:space="preserve">Treatment occurred during blinded, controlled, 48-week </w:t>
      </w:r>
      <w:r w:rsidR="00BA40DB">
        <w:rPr>
          <w:sz w:val="18"/>
          <w:szCs w:val="18"/>
        </w:rPr>
        <w:t>p</w:t>
      </w:r>
      <w:r w:rsidRPr="00E95C66">
        <w:rPr>
          <w:sz w:val="18"/>
          <w:szCs w:val="18"/>
        </w:rPr>
        <w:t>hase 3 study.</w:t>
      </w:r>
    </w:p>
    <w:p w14:paraId="795F5393" w14:textId="77777777" w:rsidR="00A55C5D" w:rsidRPr="00E95C66" w:rsidRDefault="005A3D7D" w:rsidP="00A025B3">
      <w:pPr>
        <w:spacing w:line="240" w:lineRule="auto"/>
        <w:ind w:left="288" w:hanging="288"/>
        <w:rPr>
          <w:rFonts w:eastAsia="MS Mincho"/>
          <w:sz w:val="18"/>
          <w:szCs w:val="18"/>
          <w:lang w:eastAsia="ja-JP"/>
        </w:rPr>
      </w:pPr>
      <w:r w:rsidRPr="00E95C66">
        <w:rPr>
          <w:sz w:val="18"/>
          <w:szCs w:val="18"/>
          <w:vertAlign w:val="superscript"/>
        </w:rPr>
        <w:t>†</w:t>
      </w:r>
      <w:r w:rsidRPr="00E95C66">
        <w:rPr>
          <w:sz w:val="18"/>
          <w:szCs w:val="18"/>
        </w:rPr>
        <w:tab/>
        <w:t>Change from prior study baseline after 48 weeks of placebo treatment.</w:t>
      </w:r>
    </w:p>
    <w:p w14:paraId="59163832" w14:textId="77777777" w:rsidR="00096B0E" w:rsidRPr="00A808AC" w:rsidRDefault="00096B0E" w:rsidP="00096B0E">
      <w:pPr>
        <w:spacing w:line="240" w:lineRule="auto"/>
        <w:rPr>
          <w:rFonts w:eastAsia="MS Mincho"/>
          <w:lang w:eastAsia="ja-JP"/>
        </w:rPr>
      </w:pPr>
    </w:p>
    <w:p w14:paraId="4476B180" w14:textId="77777777" w:rsidR="00096B0E" w:rsidRPr="00BA47B4" w:rsidRDefault="005A3D7D" w:rsidP="006C4477">
      <w:pPr>
        <w:spacing w:line="240" w:lineRule="auto"/>
      </w:pPr>
      <w:r w:rsidRPr="00ED1D45">
        <w:t>When the mean (SD) absolute change in percent predicted FEV</w:t>
      </w:r>
      <w:r w:rsidRPr="00BA47B4">
        <w:rPr>
          <w:vertAlign w:val="subscript"/>
        </w:rPr>
        <w:t>1</w:t>
      </w:r>
      <w:r w:rsidRPr="00BA47B4">
        <w:t xml:space="preserve"> is compared from study 4 baseline for patients in the ivacaftor/ivacaftor group (n</w:t>
      </w:r>
      <w:r w:rsidR="00B171E6">
        <w:rPr>
          <w:rFonts w:eastAsia="MS Mincho"/>
          <w:lang w:eastAsia="ja-JP"/>
        </w:rPr>
        <w:t> = </w:t>
      </w:r>
      <w:r w:rsidRPr="00ED1D45">
        <w:t>72) who rolled over from study 1, the mean (SD) absolute change in percent predicted FEV</w:t>
      </w:r>
      <w:r w:rsidRPr="00BA47B4">
        <w:rPr>
          <w:vertAlign w:val="subscript"/>
        </w:rPr>
        <w:t>1</w:t>
      </w:r>
      <w:r w:rsidRPr="00BA47B4">
        <w:t xml:space="preserve"> was 0.</w:t>
      </w:r>
      <w:r w:rsidRPr="006C4477">
        <w:t>0% (9.05), while for patients in the ivacaftor/ivacaftor group (n</w:t>
      </w:r>
      <w:r w:rsidR="00B171E6">
        <w:rPr>
          <w:rFonts w:eastAsia="MS Mincho"/>
          <w:lang w:eastAsia="ja-JP"/>
        </w:rPr>
        <w:t> = </w:t>
      </w:r>
      <w:r w:rsidRPr="00ED1D45">
        <w:t>25) wh</w:t>
      </w:r>
      <w:r w:rsidRPr="00ED1D45">
        <w:t xml:space="preserve">o rolled over from study 2 this figure was 0.6% (9.1). This shows that patients in the ivacaftor/ivacaftor group maintained the improvement seen at </w:t>
      </w:r>
      <w:r w:rsidR="00E97780">
        <w:rPr>
          <w:rFonts w:eastAsia="MS Mincho"/>
          <w:lang w:eastAsia="ja-JP"/>
        </w:rPr>
        <w:t>w</w:t>
      </w:r>
      <w:r w:rsidR="00C53F51" w:rsidRPr="00A808AC">
        <w:rPr>
          <w:rFonts w:eastAsia="MS Mincho"/>
          <w:lang w:eastAsia="ja-JP"/>
        </w:rPr>
        <w:t>eek</w:t>
      </w:r>
      <w:r w:rsidR="00C53F51" w:rsidRPr="00ED1D45">
        <w:t> </w:t>
      </w:r>
      <w:r w:rsidRPr="00BA47B4">
        <w:t>48 of the initial study (</w:t>
      </w:r>
      <w:r w:rsidR="00E347A4">
        <w:rPr>
          <w:rFonts w:eastAsia="MS Mincho"/>
          <w:lang w:eastAsia="ja-JP"/>
        </w:rPr>
        <w:t>d</w:t>
      </w:r>
      <w:r w:rsidR="00C53F51" w:rsidRPr="00A808AC">
        <w:rPr>
          <w:rFonts w:eastAsia="MS Mincho"/>
          <w:lang w:eastAsia="ja-JP"/>
        </w:rPr>
        <w:t>ay</w:t>
      </w:r>
      <w:r w:rsidR="00C53F51" w:rsidRPr="00ED1D45">
        <w:t> </w:t>
      </w:r>
      <w:r w:rsidRPr="00BA47B4">
        <w:t xml:space="preserve">0 through </w:t>
      </w:r>
      <w:r w:rsidR="00E97780">
        <w:rPr>
          <w:rFonts w:eastAsia="MS Mincho"/>
          <w:lang w:eastAsia="ja-JP"/>
        </w:rPr>
        <w:t>w</w:t>
      </w:r>
      <w:r w:rsidR="00C53F51" w:rsidRPr="00A808AC">
        <w:rPr>
          <w:rFonts w:eastAsia="MS Mincho"/>
          <w:lang w:eastAsia="ja-JP"/>
        </w:rPr>
        <w:t>eek</w:t>
      </w:r>
      <w:r w:rsidR="00C53F51" w:rsidRPr="00ED1D45">
        <w:t> </w:t>
      </w:r>
      <w:r w:rsidRPr="00BA47B4">
        <w:t>48) in percent predicted FEV</w:t>
      </w:r>
      <w:r w:rsidRPr="00BA47B4">
        <w:rPr>
          <w:vertAlign w:val="subscript"/>
        </w:rPr>
        <w:t>1</w:t>
      </w:r>
      <w:r w:rsidRPr="006C4477">
        <w:t xml:space="preserve"> through </w:t>
      </w:r>
      <w:r w:rsidR="00E97780">
        <w:rPr>
          <w:rFonts w:eastAsia="MS Mincho"/>
          <w:lang w:eastAsia="ja-JP"/>
        </w:rPr>
        <w:t>w</w:t>
      </w:r>
      <w:r w:rsidR="00C53F51" w:rsidRPr="00A808AC">
        <w:rPr>
          <w:rFonts w:eastAsia="MS Mincho"/>
          <w:lang w:eastAsia="ja-JP"/>
        </w:rPr>
        <w:t>eek</w:t>
      </w:r>
      <w:r w:rsidR="00C53F51" w:rsidRPr="00ED1D45">
        <w:t> </w:t>
      </w:r>
      <w:r w:rsidRPr="00BA47B4">
        <w:t xml:space="preserve">144. There were </w:t>
      </w:r>
      <w:r w:rsidRPr="00BA47B4">
        <w:t>no additional improvements in study 4 (</w:t>
      </w:r>
      <w:r w:rsidR="00E97780">
        <w:rPr>
          <w:rFonts w:eastAsia="MS Mincho"/>
          <w:lang w:eastAsia="ja-JP"/>
        </w:rPr>
        <w:t>w</w:t>
      </w:r>
      <w:r w:rsidR="00C53F51" w:rsidRPr="00A808AC">
        <w:rPr>
          <w:rFonts w:eastAsia="MS Mincho"/>
          <w:lang w:eastAsia="ja-JP"/>
        </w:rPr>
        <w:t>eek</w:t>
      </w:r>
      <w:r w:rsidR="00C53F51" w:rsidRPr="00ED1D45">
        <w:t> </w:t>
      </w:r>
      <w:r w:rsidRPr="00BA47B4">
        <w:t xml:space="preserve">48 through </w:t>
      </w:r>
      <w:r w:rsidR="00E97780">
        <w:rPr>
          <w:rFonts w:eastAsia="MS Mincho"/>
          <w:lang w:eastAsia="ja-JP"/>
        </w:rPr>
        <w:t>w</w:t>
      </w:r>
      <w:r w:rsidR="00C53F51" w:rsidRPr="00A808AC">
        <w:rPr>
          <w:rFonts w:eastAsia="MS Mincho"/>
          <w:lang w:eastAsia="ja-JP"/>
        </w:rPr>
        <w:t>eek</w:t>
      </w:r>
      <w:r w:rsidR="00C53F51" w:rsidRPr="00ED1D45">
        <w:t> </w:t>
      </w:r>
      <w:r w:rsidRPr="00BA47B4">
        <w:t>144).</w:t>
      </w:r>
    </w:p>
    <w:p w14:paraId="18846574" w14:textId="77777777" w:rsidR="00096B0E" w:rsidRPr="006C4477" w:rsidRDefault="00096B0E" w:rsidP="006C4477">
      <w:pPr>
        <w:spacing w:line="240" w:lineRule="auto"/>
      </w:pPr>
    </w:p>
    <w:p w14:paraId="2A34C079" w14:textId="77777777" w:rsidR="00096B0E" w:rsidRPr="00BA47B4" w:rsidRDefault="005A3D7D" w:rsidP="006C4477">
      <w:r w:rsidRPr="006C4477">
        <w:t>For patients in the placebo/ivacaftor group from study 1, the annualised rate of pulmonary exacerbations was higher in the initial study when patients were on placebo (1.34 events/year) tha</w:t>
      </w:r>
      <w:r w:rsidRPr="006C4477">
        <w:t xml:space="preserve">n during the subsequent study 4 when patients rolled over to ivacaftor (0.48 events/year across </w:t>
      </w:r>
      <w:r w:rsidR="00E97780">
        <w:rPr>
          <w:rFonts w:eastAsia="MS Mincho"/>
          <w:lang w:eastAsia="ja-JP"/>
        </w:rPr>
        <w:t>d</w:t>
      </w:r>
      <w:r w:rsidR="00C53F51" w:rsidRPr="00A808AC">
        <w:rPr>
          <w:rFonts w:eastAsia="MS Mincho"/>
          <w:lang w:eastAsia="ja-JP"/>
        </w:rPr>
        <w:t>ay</w:t>
      </w:r>
      <w:r w:rsidR="00C53F51" w:rsidRPr="00ED1D45">
        <w:t> </w:t>
      </w:r>
      <w:r w:rsidRPr="00BA47B4">
        <w:t xml:space="preserve">1 to </w:t>
      </w:r>
      <w:r w:rsidR="00E97780">
        <w:rPr>
          <w:rFonts w:eastAsia="MS Mincho"/>
          <w:lang w:eastAsia="ja-JP"/>
        </w:rPr>
        <w:t>w</w:t>
      </w:r>
      <w:r w:rsidR="00C53F51" w:rsidRPr="00A808AC">
        <w:rPr>
          <w:rFonts w:eastAsia="MS Mincho"/>
          <w:lang w:eastAsia="ja-JP"/>
        </w:rPr>
        <w:t>eek</w:t>
      </w:r>
      <w:r w:rsidR="00C53F51" w:rsidRPr="00ED1D45">
        <w:t> </w:t>
      </w:r>
      <w:r w:rsidRPr="00BA47B4">
        <w:t xml:space="preserve">48, and 0.67 events/year across </w:t>
      </w:r>
      <w:r w:rsidR="00E97780">
        <w:rPr>
          <w:rFonts w:eastAsia="MS Mincho"/>
          <w:lang w:eastAsia="ja-JP"/>
        </w:rPr>
        <w:t>w</w:t>
      </w:r>
      <w:r w:rsidR="00C53F51" w:rsidRPr="00A808AC">
        <w:rPr>
          <w:rFonts w:eastAsia="MS Mincho"/>
          <w:lang w:eastAsia="ja-JP"/>
        </w:rPr>
        <w:t>eeks</w:t>
      </w:r>
      <w:r w:rsidR="00C53F51" w:rsidRPr="00ED1D45">
        <w:t> </w:t>
      </w:r>
      <w:r w:rsidRPr="00BA47B4">
        <w:t xml:space="preserve">48 to 96). For patients in the ivacaftor/ivacaftor group from study 1, the annualised rate of pulmonary exacerbations was 0.57 events/year across </w:t>
      </w:r>
      <w:r w:rsidR="00E97780">
        <w:rPr>
          <w:rFonts w:eastAsia="MS Mincho"/>
          <w:lang w:eastAsia="ja-JP"/>
        </w:rPr>
        <w:t>d</w:t>
      </w:r>
      <w:r w:rsidR="00C53F51" w:rsidRPr="00A808AC">
        <w:rPr>
          <w:rFonts w:eastAsia="MS Mincho"/>
          <w:lang w:eastAsia="ja-JP"/>
        </w:rPr>
        <w:t>ay</w:t>
      </w:r>
      <w:r w:rsidR="00C53F51" w:rsidRPr="00ED1D45">
        <w:t> </w:t>
      </w:r>
      <w:r w:rsidRPr="00BA47B4">
        <w:t xml:space="preserve">1 to </w:t>
      </w:r>
      <w:r w:rsidR="00E97780">
        <w:rPr>
          <w:rFonts w:eastAsia="MS Mincho"/>
          <w:lang w:eastAsia="ja-JP"/>
        </w:rPr>
        <w:t>w</w:t>
      </w:r>
      <w:r w:rsidR="00C53F51" w:rsidRPr="00A808AC">
        <w:rPr>
          <w:rFonts w:eastAsia="MS Mincho"/>
          <w:lang w:eastAsia="ja-JP"/>
        </w:rPr>
        <w:t>eek</w:t>
      </w:r>
      <w:r w:rsidR="00C53F51" w:rsidRPr="00ED1D45">
        <w:t> </w:t>
      </w:r>
      <w:r w:rsidRPr="00BA47B4">
        <w:t>48 when patients were on ivacaftor. When they rolled over into study 4, the rate of annualised p</w:t>
      </w:r>
      <w:r w:rsidRPr="00BA47B4">
        <w:t xml:space="preserve">ulmonary exacerbations was 0.91 events/year across </w:t>
      </w:r>
      <w:r w:rsidR="00E97780">
        <w:rPr>
          <w:rFonts w:eastAsia="MS Mincho"/>
          <w:lang w:eastAsia="ja-JP"/>
        </w:rPr>
        <w:t>d</w:t>
      </w:r>
      <w:r w:rsidR="00C53F51" w:rsidRPr="00A808AC">
        <w:rPr>
          <w:rFonts w:eastAsia="MS Mincho"/>
          <w:lang w:eastAsia="ja-JP"/>
        </w:rPr>
        <w:t>ay</w:t>
      </w:r>
      <w:r w:rsidR="00C53F51" w:rsidRPr="00ED1D45">
        <w:t> </w:t>
      </w:r>
      <w:r w:rsidRPr="00BA47B4">
        <w:t xml:space="preserve">1 to </w:t>
      </w:r>
      <w:r w:rsidR="00E97780">
        <w:rPr>
          <w:rFonts w:eastAsia="MS Mincho"/>
          <w:lang w:eastAsia="ja-JP"/>
        </w:rPr>
        <w:t>w</w:t>
      </w:r>
      <w:r w:rsidR="00C53F51" w:rsidRPr="00A808AC">
        <w:rPr>
          <w:rFonts w:eastAsia="MS Mincho"/>
          <w:lang w:eastAsia="ja-JP"/>
        </w:rPr>
        <w:t>eek</w:t>
      </w:r>
      <w:r w:rsidR="00C53F51" w:rsidRPr="00ED1D45">
        <w:t> </w:t>
      </w:r>
      <w:r w:rsidRPr="00BA47B4">
        <w:t xml:space="preserve">48 and 0.77 events/year across </w:t>
      </w:r>
      <w:r w:rsidR="00E97780">
        <w:rPr>
          <w:rFonts w:eastAsia="MS Mincho"/>
          <w:lang w:eastAsia="ja-JP"/>
        </w:rPr>
        <w:t>w</w:t>
      </w:r>
      <w:r w:rsidR="00C53F51" w:rsidRPr="00A808AC">
        <w:rPr>
          <w:rFonts w:eastAsia="MS Mincho"/>
          <w:lang w:eastAsia="ja-JP"/>
        </w:rPr>
        <w:t>eeks</w:t>
      </w:r>
      <w:r w:rsidR="00C53F51" w:rsidRPr="00ED1D45">
        <w:t> </w:t>
      </w:r>
      <w:r w:rsidRPr="00BA47B4">
        <w:t>48 to 96.</w:t>
      </w:r>
    </w:p>
    <w:p w14:paraId="44C8B7AD" w14:textId="77777777" w:rsidR="00096B0E" w:rsidRPr="006C4477" w:rsidRDefault="00096B0E" w:rsidP="006C4477">
      <w:pPr>
        <w:spacing w:line="240" w:lineRule="auto"/>
      </w:pPr>
    </w:p>
    <w:p w14:paraId="633B39E4" w14:textId="77777777" w:rsidR="00096B0E" w:rsidRPr="006C4477" w:rsidRDefault="005A3D7D" w:rsidP="006C4477">
      <w:pPr>
        <w:spacing w:line="240" w:lineRule="auto"/>
      </w:pPr>
      <w:r w:rsidRPr="006C4477">
        <w:t>For patients who rolled over from study 2 the number of events was, overall, low.</w:t>
      </w:r>
    </w:p>
    <w:p w14:paraId="7228DC0E" w14:textId="77777777" w:rsidR="00096B0E" w:rsidRPr="00A808AC" w:rsidRDefault="00096B0E" w:rsidP="00096B0E">
      <w:pPr>
        <w:spacing w:line="240" w:lineRule="auto"/>
        <w:rPr>
          <w:u w:val="single"/>
        </w:rPr>
      </w:pPr>
    </w:p>
    <w:p w14:paraId="248F0B6F" w14:textId="77777777" w:rsidR="00E74C79" w:rsidRDefault="005A3D7D" w:rsidP="000A093B">
      <w:pPr>
        <w:keepNext/>
        <w:rPr>
          <w:i/>
          <w:lang w:val="en-US"/>
        </w:rPr>
      </w:pPr>
      <w:r w:rsidRPr="00D0562F">
        <w:rPr>
          <w:i/>
          <w:lang w:val="en-US"/>
        </w:rPr>
        <w:t>Study 6: study in patients with CF with an R117H mutation in</w:t>
      </w:r>
      <w:r w:rsidRPr="00D0562F">
        <w:rPr>
          <w:i/>
          <w:lang w:val="en-US"/>
        </w:rPr>
        <w:t xml:space="preserve"> the CFTR gene</w:t>
      </w:r>
    </w:p>
    <w:p w14:paraId="1EB66F07" w14:textId="77777777" w:rsidR="00E74C79" w:rsidRPr="00D0562F" w:rsidRDefault="00E74C79" w:rsidP="000A093B">
      <w:pPr>
        <w:keepNext/>
        <w:rPr>
          <w:i/>
          <w:lang w:val="en-US"/>
        </w:rPr>
      </w:pPr>
    </w:p>
    <w:p w14:paraId="57CE20E1" w14:textId="3511C8AD" w:rsidR="00E74C79" w:rsidRDefault="005A3D7D" w:rsidP="000A093B">
      <w:pPr>
        <w:keepNext/>
        <w:rPr>
          <w:lang w:val="en-US"/>
        </w:rPr>
      </w:pPr>
      <w:r w:rsidRPr="00D0562F">
        <w:rPr>
          <w:lang w:val="en-US"/>
        </w:rPr>
        <w:t xml:space="preserve">Study 6 evaluated 69 patients who were 6 years of age or older; 53 (76.8%) patients had the </w:t>
      </w:r>
      <w:r w:rsidRPr="00D0562F">
        <w:rPr>
          <w:i/>
          <w:lang w:val="en-US"/>
        </w:rPr>
        <w:t>F508del</w:t>
      </w:r>
      <w:r w:rsidRPr="00D0562F">
        <w:rPr>
          <w:lang w:val="en-US"/>
        </w:rPr>
        <w:t xml:space="preserve"> mutation in the second allele. The confirmed </w:t>
      </w:r>
      <w:r w:rsidRPr="00D0562F">
        <w:rPr>
          <w:i/>
          <w:iCs/>
          <w:lang w:val="en-US"/>
        </w:rPr>
        <w:t xml:space="preserve">R117H </w:t>
      </w:r>
      <w:r w:rsidRPr="00D0562F">
        <w:rPr>
          <w:lang w:val="en-US"/>
        </w:rPr>
        <w:t>poly</w:t>
      </w:r>
      <w:r w:rsidRPr="00D0562F">
        <w:rPr>
          <w:lang w:val="en-US"/>
        </w:rPr>
        <w:noBreakHyphen/>
        <w:t xml:space="preserve">T variant was </w:t>
      </w:r>
      <w:r w:rsidRPr="00D0562F">
        <w:rPr>
          <w:i/>
          <w:iCs/>
          <w:lang w:val="en-US"/>
        </w:rPr>
        <w:t xml:space="preserve">5T </w:t>
      </w:r>
      <w:r w:rsidRPr="00D0562F">
        <w:rPr>
          <w:iCs/>
          <w:lang w:val="en-US"/>
        </w:rPr>
        <w:t>in 38 patients</w:t>
      </w:r>
      <w:r w:rsidRPr="00D0562F">
        <w:rPr>
          <w:i/>
          <w:iCs/>
          <w:lang w:val="en-US"/>
        </w:rPr>
        <w:t xml:space="preserve"> </w:t>
      </w:r>
      <w:r w:rsidRPr="00D0562F">
        <w:rPr>
          <w:lang w:val="en-US"/>
        </w:rPr>
        <w:t xml:space="preserve">and </w:t>
      </w:r>
      <w:r w:rsidRPr="00D0562F">
        <w:rPr>
          <w:i/>
          <w:iCs/>
          <w:lang w:val="en-US"/>
        </w:rPr>
        <w:t xml:space="preserve">7T </w:t>
      </w:r>
      <w:r w:rsidRPr="00D0562F">
        <w:rPr>
          <w:iCs/>
          <w:lang w:val="en-US"/>
        </w:rPr>
        <w:t>in 16 patients</w:t>
      </w:r>
      <w:r w:rsidRPr="00D0562F">
        <w:rPr>
          <w:lang w:val="en-US"/>
        </w:rPr>
        <w:t xml:space="preserve">. At baseline, mean </w:t>
      </w:r>
      <w:r w:rsidRPr="00D0562F">
        <w:rPr>
          <w:lang w:val="en-US"/>
        </w:rPr>
        <w:t>predicted FEV</w:t>
      </w:r>
      <w:r w:rsidRPr="00D0562F">
        <w:rPr>
          <w:vertAlign w:val="subscript"/>
          <w:lang w:val="en-US"/>
        </w:rPr>
        <w:t>1</w:t>
      </w:r>
      <w:r w:rsidRPr="00D0562F">
        <w:rPr>
          <w:lang w:val="en-US"/>
        </w:rPr>
        <w:t xml:space="preserve"> was 73% (range: 32.5% to 105.5%) and mean age was 31 years (range: 6 to 68 years). The mean absolute change from baseline through </w:t>
      </w:r>
      <w:r w:rsidR="004F0618">
        <w:rPr>
          <w:lang w:val="en-US"/>
        </w:rPr>
        <w:t>w</w:t>
      </w:r>
      <w:r w:rsidR="004F0618" w:rsidRPr="00D0562F">
        <w:rPr>
          <w:lang w:val="en-US"/>
        </w:rPr>
        <w:t>eek </w:t>
      </w:r>
      <w:r w:rsidRPr="00D0562F">
        <w:rPr>
          <w:lang w:val="en-US"/>
        </w:rPr>
        <w:t>24 in percent predicted FEV</w:t>
      </w:r>
      <w:r w:rsidRPr="00D0562F">
        <w:rPr>
          <w:vertAlign w:val="subscript"/>
          <w:lang w:val="en-US"/>
        </w:rPr>
        <w:t>1</w:t>
      </w:r>
      <w:r w:rsidRPr="00D0562F">
        <w:rPr>
          <w:lang w:val="en-US"/>
        </w:rPr>
        <w:t xml:space="preserve"> (primary efficacy endpoint) was 2.57 percentage points in the ivacaftor group and 0.46 percentage points in the placebo group. The estimated treatment difference for ivacaftor versus placebo was 2.1 percentage points (95% CI </w:t>
      </w:r>
      <w:r w:rsidRPr="00D0562F">
        <w:rPr>
          <w:lang w:val="en-US"/>
        </w:rPr>
        <w:noBreakHyphen/>
        <w:t>1.1, 5.4).</w:t>
      </w:r>
    </w:p>
    <w:p w14:paraId="19D04091" w14:textId="77777777" w:rsidR="00E74C79" w:rsidRPr="00D0562F" w:rsidRDefault="00E74C79" w:rsidP="000A093B">
      <w:pPr>
        <w:rPr>
          <w:lang w:val="en-US"/>
        </w:rPr>
      </w:pPr>
    </w:p>
    <w:p w14:paraId="6549B292" w14:textId="064C5969" w:rsidR="00E74C79" w:rsidRPr="00A808AC" w:rsidRDefault="005A3D7D" w:rsidP="000A093B">
      <w:pPr>
        <w:rPr>
          <w:bCs/>
          <w:lang w:val="en-US"/>
        </w:rPr>
      </w:pPr>
      <w:r w:rsidRPr="00A808AC">
        <w:rPr>
          <w:bCs/>
          <w:lang w:val="en-US"/>
        </w:rPr>
        <w:t>A pre</w:t>
      </w:r>
      <w:r w:rsidRPr="00A808AC">
        <w:rPr>
          <w:bCs/>
          <w:lang w:val="en-US"/>
        </w:rPr>
        <w:noBreakHyphen/>
        <w:t>planned sub</w:t>
      </w:r>
      <w:r w:rsidRPr="00A808AC">
        <w:rPr>
          <w:bCs/>
          <w:lang w:val="en-US"/>
        </w:rPr>
        <w:t>group analysis was conducted in patients 18</w:t>
      </w:r>
      <w:r w:rsidR="00B40199">
        <w:rPr>
          <w:bCs/>
          <w:lang w:val="en-US"/>
        </w:rPr>
        <w:t> </w:t>
      </w:r>
      <w:r w:rsidRPr="00A808AC">
        <w:rPr>
          <w:bCs/>
          <w:lang w:val="en-US"/>
        </w:rPr>
        <w:t>years and older (26 patients on placebo and 24 on ivacaftor). Treatment with ivacaftor resulted in a mean absolute change in percent predicted FEV</w:t>
      </w:r>
      <w:r w:rsidRPr="00A808AC">
        <w:rPr>
          <w:bCs/>
          <w:vertAlign w:val="subscript"/>
          <w:lang w:val="en-US"/>
        </w:rPr>
        <w:t>1</w:t>
      </w:r>
      <w:r w:rsidRPr="00A808AC">
        <w:rPr>
          <w:bCs/>
          <w:lang w:val="en-US"/>
        </w:rPr>
        <w:t xml:space="preserve"> through </w:t>
      </w:r>
      <w:r w:rsidR="004F0618">
        <w:rPr>
          <w:bCs/>
          <w:lang w:val="en-US"/>
        </w:rPr>
        <w:t>w</w:t>
      </w:r>
      <w:r w:rsidR="004F0618" w:rsidRPr="00A808AC">
        <w:rPr>
          <w:bCs/>
          <w:lang w:val="en-US"/>
        </w:rPr>
        <w:t>eek </w:t>
      </w:r>
      <w:r w:rsidRPr="00A808AC">
        <w:rPr>
          <w:bCs/>
          <w:lang w:val="en-US"/>
        </w:rPr>
        <w:t xml:space="preserve">24 of 4.5 percentage points in the ivacaftor group </w:t>
      </w:r>
      <w:r w:rsidRPr="00A808AC">
        <w:rPr>
          <w:bCs/>
          <w:lang w:val="en-US"/>
        </w:rPr>
        <w:t xml:space="preserve">versus </w:t>
      </w:r>
      <w:r w:rsidRPr="00A808AC">
        <w:rPr>
          <w:bCs/>
          <w:lang w:val="en-US"/>
        </w:rPr>
        <w:noBreakHyphen/>
        <w:t>0.46 percentage points in the placebo group. The estimated treatment difference for ivacaftor versus placebo was 5.0 percentage points (95% CI 1.1, 8.8).</w:t>
      </w:r>
    </w:p>
    <w:p w14:paraId="57547835" w14:textId="77777777" w:rsidR="00E74C79" w:rsidRPr="00D0562F" w:rsidRDefault="00E74C79" w:rsidP="000A093B">
      <w:pPr>
        <w:rPr>
          <w:lang w:val="en-US"/>
        </w:rPr>
      </w:pPr>
    </w:p>
    <w:p w14:paraId="5E947C0B" w14:textId="64C1EC1C" w:rsidR="00E74C79" w:rsidRPr="00D0562F" w:rsidRDefault="005A3D7D" w:rsidP="000A093B">
      <w:pPr>
        <w:rPr>
          <w:lang w:val="en-US"/>
        </w:rPr>
      </w:pPr>
      <w:r w:rsidRPr="00D0562F">
        <w:rPr>
          <w:lang w:val="en-US"/>
        </w:rPr>
        <w:t xml:space="preserve">In a subgroup analysis in patients with a confirmed </w:t>
      </w:r>
      <w:r w:rsidRPr="00D0562F">
        <w:rPr>
          <w:i/>
          <w:iCs/>
          <w:lang w:val="en-US"/>
        </w:rPr>
        <w:t>R117H</w:t>
      </w:r>
      <w:r w:rsidRPr="00D0562F">
        <w:rPr>
          <w:i/>
          <w:iCs/>
          <w:lang w:val="en-US"/>
        </w:rPr>
        <w:noBreakHyphen/>
        <w:t xml:space="preserve">5T </w:t>
      </w:r>
      <w:r w:rsidRPr="00D0562F">
        <w:rPr>
          <w:iCs/>
          <w:lang w:val="en-US"/>
        </w:rPr>
        <w:t xml:space="preserve">genetic variant, </w:t>
      </w:r>
      <w:r w:rsidRPr="00D0562F">
        <w:rPr>
          <w:lang w:val="en-US"/>
        </w:rPr>
        <w:t xml:space="preserve">the difference </w:t>
      </w:r>
      <w:r w:rsidRPr="00D0562F">
        <w:rPr>
          <w:lang w:val="en-US"/>
        </w:rPr>
        <w:t xml:space="preserve">in the mean absolute change from baseline through </w:t>
      </w:r>
      <w:r w:rsidR="004F0618">
        <w:rPr>
          <w:lang w:val="en-US"/>
        </w:rPr>
        <w:t>w</w:t>
      </w:r>
      <w:r w:rsidR="004F0618" w:rsidRPr="00D0562F">
        <w:rPr>
          <w:lang w:val="en-US"/>
        </w:rPr>
        <w:t>eek</w:t>
      </w:r>
      <w:r w:rsidR="004F0618" w:rsidRPr="00D0562F">
        <w:t> </w:t>
      </w:r>
      <w:r w:rsidRPr="00D0562F">
        <w:rPr>
          <w:lang w:val="en-US"/>
        </w:rPr>
        <w:t>24 in percent predicted FEV</w:t>
      </w:r>
      <w:r w:rsidRPr="00D0562F">
        <w:rPr>
          <w:vertAlign w:val="subscript"/>
          <w:lang w:val="en-US"/>
        </w:rPr>
        <w:t>1</w:t>
      </w:r>
      <w:r w:rsidRPr="00D0562F">
        <w:rPr>
          <w:lang w:val="en-US"/>
        </w:rPr>
        <w:t xml:space="preserve"> between ivacaftor and placebo was 5.3% (95% CI 1.3, 9.3). In patients with a confirmed </w:t>
      </w:r>
      <w:r w:rsidRPr="00D0562F">
        <w:rPr>
          <w:i/>
          <w:iCs/>
          <w:lang w:val="en-US"/>
        </w:rPr>
        <w:t>R117H</w:t>
      </w:r>
      <w:r w:rsidRPr="00D0562F">
        <w:rPr>
          <w:i/>
          <w:iCs/>
          <w:lang w:val="en-US"/>
        </w:rPr>
        <w:noBreakHyphen/>
        <w:t xml:space="preserve">7T </w:t>
      </w:r>
      <w:r w:rsidRPr="00D0562F">
        <w:rPr>
          <w:iCs/>
          <w:lang w:val="en-US"/>
        </w:rPr>
        <w:t xml:space="preserve">genetic variant, </w:t>
      </w:r>
      <w:r w:rsidRPr="00D0562F">
        <w:rPr>
          <w:lang w:val="en-US"/>
        </w:rPr>
        <w:t xml:space="preserve">the treatment difference between ivacaftor and placebo was </w:t>
      </w:r>
      <w:r w:rsidRPr="00D0562F">
        <w:rPr>
          <w:lang w:val="en-US"/>
        </w:rPr>
        <w:t xml:space="preserve">0.2% (95% CI </w:t>
      </w:r>
      <w:r w:rsidRPr="00D0562F">
        <w:rPr>
          <w:lang w:val="en-US"/>
        </w:rPr>
        <w:noBreakHyphen/>
        <w:t>8.1, 8.5).</w:t>
      </w:r>
    </w:p>
    <w:p w14:paraId="01679654" w14:textId="77777777" w:rsidR="00E74C79" w:rsidRPr="00D0562F" w:rsidRDefault="00E74C79" w:rsidP="000A093B"/>
    <w:p w14:paraId="7DFED04E" w14:textId="77777777" w:rsidR="00E74C79" w:rsidRDefault="005A3D7D" w:rsidP="000A093B">
      <w:pPr>
        <w:rPr>
          <w:bCs/>
        </w:rPr>
      </w:pPr>
      <w:r>
        <w:rPr>
          <w:bCs/>
        </w:rPr>
        <w:t xml:space="preserve">For secondary efficacy variables, no treatment differences were observed for ivacaftor versus placebo in </w:t>
      </w:r>
      <w:r w:rsidRPr="00D0562F">
        <w:rPr>
          <w:bCs/>
        </w:rPr>
        <w:t>absolute change from baseline in BMI at</w:t>
      </w:r>
      <w:r>
        <w:rPr>
          <w:bCs/>
        </w:rPr>
        <w:t xml:space="preserve"> week</w:t>
      </w:r>
      <w:r w:rsidRPr="00D0562F">
        <w:rPr>
          <w:bCs/>
        </w:rPr>
        <w:t xml:space="preserve"> 24</w:t>
      </w:r>
      <w:r>
        <w:rPr>
          <w:bCs/>
        </w:rPr>
        <w:t xml:space="preserve"> or</w:t>
      </w:r>
      <w:r w:rsidRPr="00D0562F">
        <w:rPr>
          <w:bCs/>
        </w:rPr>
        <w:t xml:space="preserve"> time to first pulmonary</w:t>
      </w:r>
      <w:r>
        <w:rPr>
          <w:bCs/>
        </w:rPr>
        <w:t xml:space="preserve"> exacerbation. Treatment differences </w:t>
      </w:r>
      <w:r w:rsidRPr="00D0562F">
        <w:rPr>
          <w:bCs/>
        </w:rPr>
        <w:t xml:space="preserve">were observed </w:t>
      </w:r>
      <w:r>
        <w:rPr>
          <w:bCs/>
        </w:rPr>
        <w:t xml:space="preserve">in absolute change in </w:t>
      </w:r>
      <w:r w:rsidRPr="00D0562F">
        <w:rPr>
          <w:bCs/>
        </w:rPr>
        <w:t>CFQ</w:t>
      </w:r>
      <w:r w:rsidRPr="00D0562F">
        <w:rPr>
          <w:bCs/>
        </w:rPr>
        <w:noBreakHyphen/>
        <w:t>R</w:t>
      </w:r>
      <w:r>
        <w:rPr>
          <w:bCs/>
        </w:rPr>
        <w:t xml:space="preserve"> respiratory domain score through week 24</w:t>
      </w:r>
      <w:r w:rsidRPr="00D0562F">
        <w:rPr>
          <w:bCs/>
        </w:rPr>
        <w:t xml:space="preserve"> (treatment difference of ivacaftor versus placebo was 8.4 [</w:t>
      </w:r>
      <w:r>
        <w:rPr>
          <w:bCs/>
        </w:rPr>
        <w:t xml:space="preserve">95% CI </w:t>
      </w:r>
      <w:r w:rsidRPr="00D0562F">
        <w:rPr>
          <w:bCs/>
        </w:rPr>
        <w:t>2.2, 14.6] points) and for the mean change from baseline in sweat chloride (see Pharmacodynamic effects).</w:t>
      </w:r>
    </w:p>
    <w:p w14:paraId="338A3E98" w14:textId="77777777" w:rsidR="00E74C79" w:rsidRPr="000A093B" w:rsidRDefault="00E74C79" w:rsidP="00096B0E">
      <w:pPr>
        <w:spacing w:line="240" w:lineRule="auto"/>
        <w:rPr>
          <w:i/>
        </w:rPr>
      </w:pPr>
    </w:p>
    <w:p w14:paraId="59900EC8" w14:textId="77777777" w:rsidR="00096B0E" w:rsidRDefault="005A3D7D" w:rsidP="000A093B">
      <w:pPr>
        <w:keepNext/>
        <w:spacing w:line="240" w:lineRule="auto"/>
        <w:rPr>
          <w:i/>
        </w:rPr>
      </w:pPr>
      <w:r w:rsidRPr="00A808AC">
        <w:rPr>
          <w:rFonts w:eastAsia="MS Mincho"/>
          <w:i/>
        </w:rPr>
        <w:t xml:space="preserve">Study 7: study in paediatric patients </w:t>
      </w:r>
      <w:r w:rsidRPr="00A808AC">
        <w:rPr>
          <w:i/>
        </w:rPr>
        <w:t xml:space="preserve">with CF </w:t>
      </w:r>
      <w:r w:rsidRPr="00A808AC">
        <w:rPr>
          <w:rFonts w:eastAsia="MS Mincho"/>
          <w:i/>
        </w:rPr>
        <w:t>aged 2 to less than 6</w:t>
      </w:r>
      <w:r w:rsidRPr="00A808AC">
        <w:rPr>
          <w:i/>
        </w:rPr>
        <w:t> years with G551D or another gating mutation</w:t>
      </w:r>
    </w:p>
    <w:p w14:paraId="0693E607" w14:textId="77777777" w:rsidR="00987822" w:rsidRPr="00A808AC" w:rsidRDefault="00987822" w:rsidP="000A093B">
      <w:pPr>
        <w:keepNext/>
        <w:spacing w:line="240" w:lineRule="auto"/>
        <w:rPr>
          <w:rFonts w:eastAsia="MS Mincho"/>
          <w:i/>
        </w:rPr>
      </w:pPr>
    </w:p>
    <w:p w14:paraId="72EC4613" w14:textId="77777777" w:rsidR="00096B0E" w:rsidRPr="00A808AC" w:rsidRDefault="005A3D7D" w:rsidP="000A093B">
      <w:pPr>
        <w:keepNext/>
        <w:spacing w:line="240" w:lineRule="auto"/>
        <w:rPr>
          <w:bCs/>
        </w:rPr>
      </w:pPr>
      <w:r w:rsidRPr="00A808AC">
        <w:t xml:space="preserve">The pharmacokinetic profile, safety and efficacy of ivacaftor in 34 patients aged 2 to less than 6 years with CF who had a </w:t>
      </w:r>
      <w:r w:rsidRPr="00A808AC">
        <w:rPr>
          <w:i/>
        </w:rPr>
        <w:t>G551D</w:t>
      </w:r>
      <w:r w:rsidRPr="00A808AC">
        <w:t xml:space="preserve">, </w:t>
      </w:r>
      <w:r w:rsidRPr="00A808AC">
        <w:rPr>
          <w:bCs/>
          <w:i/>
          <w:iCs/>
        </w:rPr>
        <w:t>G1244E</w:t>
      </w:r>
      <w:r w:rsidRPr="00A808AC">
        <w:rPr>
          <w:bCs/>
          <w:iCs/>
        </w:rPr>
        <w:t xml:space="preserve">, </w:t>
      </w:r>
      <w:r w:rsidRPr="00A808AC">
        <w:rPr>
          <w:bCs/>
          <w:i/>
          <w:iCs/>
        </w:rPr>
        <w:t>G1349</w:t>
      </w:r>
      <w:r w:rsidRPr="00A808AC">
        <w:rPr>
          <w:bCs/>
          <w:i/>
          <w:iCs/>
        </w:rPr>
        <w:t>D</w:t>
      </w:r>
      <w:r w:rsidRPr="00A808AC">
        <w:rPr>
          <w:bCs/>
          <w:iCs/>
        </w:rPr>
        <w:t>,</w:t>
      </w:r>
      <w:r w:rsidRPr="00A808AC">
        <w:rPr>
          <w:bCs/>
          <w:i/>
          <w:iCs/>
        </w:rPr>
        <w:t xml:space="preserve"> G178R</w:t>
      </w:r>
      <w:r w:rsidRPr="00A808AC">
        <w:rPr>
          <w:bCs/>
          <w:iCs/>
        </w:rPr>
        <w:t>,</w:t>
      </w:r>
      <w:r w:rsidRPr="00A808AC">
        <w:rPr>
          <w:bCs/>
          <w:i/>
          <w:iCs/>
        </w:rPr>
        <w:t xml:space="preserve"> G551S</w:t>
      </w:r>
      <w:r w:rsidRPr="00A808AC">
        <w:rPr>
          <w:bCs/>
          <w:iCs/>
        </w:rPr>
        <w:t>,</w:t>
      </w:r>
      <w:r w:rsidRPr="00A808AC">
        <w:rPr>
          <w:bCs/>
          <w:i/>
          <w:iCs/>
        </w:rPr>
        <w:t xml:space="preserve"> S1251N</w:t>
      </w:r>
      <w:r w:rsidRPr="00A808AC">
        <w:rPr>
          <w:bCs/>
          <w:iCs/>
        </w:rPr>
        <w:t>,</w:t>
      </w:r>
      <w:r w:rsidRPr="00A808AC">
        <w:rPr>
          <w:bCs/>
          <w:i/>
          <w:iCs/>
        </w:rPr>
        <w:t xml:space="preserve"> S1255P</w:t>
      </w:r>
      <w:r w:rsidRPr="00A808AC">
        <w:rPr>
          <w:bCs/>
          <w:iCs/>
        </w:rPr>
        <w:t>,</w:t>
      </w:r>
      <w:r w:rsidRPr="00A808AC">
        <w:rPr>
          <w:bCs/>
          <w:i/>
          <w:iCs/>
        </w:rPr>
        <w:t xml:space="preserve"> S549N</w:t>
      </w:r>
      <w:r w:rsidRPr="00A808AC">
        <w:rPr>
          <w:bCs/>
          <w:iCs/>
        </w:rPr>
        <w:t xml:space="preserve"> </w:t>
      </w:r>
      <w:r w:rsidRPr="00A808AC">
        <w:rPr>
          <w:bCs/>
        </w:rPr>
        <w:t>or</w:t>
      </w:r>
      <w:r w:rsidRPr="00A808AC">
        <w:rPr>
          <w:bCs/>
          <w:i/>
          <w:iCs/>
        </w:rPr>
        <w:t xml:space="preserve"> S549R</w:t>
      </w:r>
      <w:r w:rsidRPr="00A808AC">
        <w:rPr>
          <w:i/>
        </w:rPr>
        <w:t xml:space="preserve"> </w:t>
      </w:r>
      <w:r w:rsidRPr="00A808AC">
        <w:t xml:space="preserve">mutation in the </w:t>
      </w:r>
      <w:r w:rsidRPr="00A808AC">
        <w:rPr>
          <w:i/>
        </w:rPr>
        <w:t>CFTR</w:t>
      </w:r>
      <w:r w:rsidRPr="00A808AC">
        <w:t xml:space="preserve"> gene were assessed in a 24</w:t>
      </w:r>
      <w:r w:rsidR="00C35A66" w:rsidRPr="00A808AC">
        <w:noBreakHyphen/>
      </w:r>
      <w:r w:rsidRPr="00A808AC">
        <w:t>week uncontrolled study with ivacaftor (</w:t>
      </w:r>
      <w:r w:rsidRPr="00A808AC">
        <w:rPr>
          <w:bCs/>
        </w:rPr>
        <w:t>patients weighing less than 14 kg received ivacaftor 50 mg and patients weighing 14 kg or more received ivacaftor 75 mg)</w:t>
      </w:r>
      <w:r w:rsidRPr="00A808AC">
        <w:rPr>
          <w:bCs/>
        </w:rPr>
        <w:t>. Ivacaftor was administered orally every 12 hours with fat</w:t>
      </w:r>
      <w:r w:rsidRPr="00A808AC">
        <w:rPr>
          <w:bCs/>
        </w:rPr>
        <w:noBreakHyphen/>
        <w:t>containing food in addition to their prescribed CF therapies.</w:t>
      </w:r>
    </w:p>
    <w:p w14:paraId="6D493532" w14:textId="77777777" w:rsidR="00096B0E" w:rsidRPr="00A808AC" w:rsidRDefault="00096B0E" w:rsidP="00096B0E">
      <w:pPr>
        <w:spacing w:line="240" w:lineRule="auto"/>
      </w:pPr>
    </w:p>
    <w:p w14:paraId="2C8AA764" w14:textId="58D48F97" w:rsidR="00096B0E" w:rsidRPr="00A808AC" w:rsidRDefault="005A3D7D" w:rsidP="00096B0E">
      <w:pPr>
        <w:spacing w:line="240" w:lineRule="auto"/>
        <w:rPr>
          <w:bCs/>
        </w:rPr>
      </w:pPr>
      <w:r w:rsidRPr="00A808AC">
        <w:t>Patients in study 7 were aged 2 to less than 6 years (mean age 3 years). Twenty</w:t>
      </w:r>
      <w:r w:rsidR="00C35A66" w:rsidRPr="00A808AC">
        <w:noBreakHyphen/>
      </w:r>
      <w:r w:rsidRPr="00A808AC">
        <w:t xml:space="preserve">six patients out of the 34 enrolled (76.5%) had a </w:t>
      </w:r>
      <w:r w:rsidRPr="00A808AC">
        <w:rPr>
          <w:i/>
        </w:rPr>
        <w:t>CFT</w:t>
      </w:r>
      <w:r w:rsidRPr="00A808AC">
        <w:rPr>
          <w:i/>
        </w:rPr>
        <w:t>R</w:t>
      </w:r>
      <w:r w:rsidRPr="00A808AC">
        <w:t xml:space="preserve"> genotype </w:t>
      </w:r>
      <w:r w:rsidRPr="00A808AC">
        <w:rPr>
          <w:i/>
        </w:rPr>
        <w:t>G551D/F508del</w:t>
      </w:r>
      <w:r w:rsidRPr="00A808AC">
        <w:t xml:space="preserve"> with only 2</w:t>
      </w:r>
      <w:r w:rsidR="00C35A66" w:rsidRPr="00A808AC">
        <w:t> </w:t>
      </w:r>
      <w:r w:rsidRPr="00A808AC">
        <w:t>patients with a non</w:t>
      </w:r>
      <w:r w:rsidR="007178AD" w:rsidRPr="00A808AC">
        <w:noBreakHyphen/>
      </w:r>
      <w:r w:rsidRPr="00A808AC">
        <w:rPr>
          <w:i/>
        </w:rPr>
        <w:t>G551D</w:t>
      </w:r>
      <w:r w:rsidRPr="00A808AC">
        <w:t xml:space="preserve"> mutation (</w:t>
      </w:r>
      <w:r w:rsidRPr="00A808AC">
        <w:rPr>
          <w:i/>
        </w:rPr>
        <w:t>S549N</w:t>
      </w:r>
      <w:r w:rsidRPr="00A808AC">
        <w:t>). The mean (SD) sweat chloride at baseline (n</w:t>
      </w:r>
      <w:r w:rsidR="00B171E6">
        <w:t> = </w:t>
      </w:r>
      <w:r w:rsidRPr="00A808AC">
        <w:t>25) was 97.88 mmol/L (14.00).</w:t>
      </w:r>
      <w:r w:rsidRPr="00A808AC">
        <w:rPr>
          <w:bCs/>
        </w:rPr>
        <w:t xml:space="preserve"> The</w:t>
      </w:r>
      <w:r w:rsidRPr="00A808AC">
        <w:t xml:space="preserve"> mean (SD) </w:t>
      </w:r>
      <w:r w:rsidR="009F7297">
        <w:t>f</w:t>
      </w:r>
      <w:r w:rsidRPr="00A808AC">
        <w:t xml:space="preserve">aecal </w:t>
      </w:r>
      <w:r w:rsidR="009F7297">
        <w:t>e</w:t>
      </w:r>
      <w:r w:rsidRPr="00A808AC">
        <w:t>lastase</w:t>
      </w:r>
      <w:r w:rsidR="007178AD" w:rsidRPr="00A808AC">
        <w:noBreakHyphen/>
      </w:r>
      <w:r w:rsidRPr="00A808AC">
        <w:t xml:space="preserve">1 value at </w:t>
      </w:r>
      <w:r w:rsidRPr="00A808AC">
        <w:rPr>
          <w:bCs/>
        </w:rPr>
        <w:t>baseline (n</w:t>
      </w:r>
      <w:r w:rsidR="00B171E6">
        <w:rPr>
          <w:bCs/>
        </w:rPr>
        <w:t> = </w:t>
      </w:r>
      <w:r w:rsidRPr="00A808AC">
        <w:rPr>
          <w:bCs/>
        </w:rPr>
        <w:t>27) was 28</w:t>
      </w:r>
      <w:r w:rsidRPr="00A808AC">
        <w:t> </w:t>
      </w:r>
      <w:r w:rsidRPr="000A093B">
        <w:t>µ</w:t>
      </w:r>
      <w:r w:rsidRPr="00A808AC">
        <w:t>g/g (95).</w:t>
      </w:r>
    </w:p>
    <w:p w14:paraId="5E447447" w14:textId="77777777" w:rsidR="00096B0E" w:rsidRPr="00A808AC" w:rsidRDefault="00096B0E" w:rsidP="00096B0E">
      <w:pPr>
        <w:spacing w:line="240" w:lineRule="auto"/>
      </w:pPr>
    </w:p>
    <w:p w14:paraId="032DB68B" w14:textId="19A68B71" w:rsidR="00096B0E" w:rsidRPr="00A808AC" w:rsidRDefault="005A3D7D" w:rsidP="00096B0E">
      <w:pPr>
        <w:spacing w:line="240" w:lineRule="auto"/>
        <w:rPr>
          <w:bCs/>
        </w:rPr>
      </w:pPr>
      <w:r w:rsidRPr="00A808AC">
        <w:t xml:space="preserve">The primary endpoint of safety was evaluated through </w:t>
      </w:r>
      <w:r w:rsidR="00E97780">
        <w:t>w</w:t>
      </w:r>
      <w:r w:rsidR="00C53F51" w:rsidRPr="00A808AC">
        <w:t>eek</w:t>
      </w:r>
      <w:r w:rsidR="00AE37B4" w:rsidRPr="00A808AC">
        <w:t> </w:t>
      </w:r>
      <w:r w:rsidRPr="00A808AC">
        <w:t>24 (see section 4.8). Secondary and exploratory efficacy endpoints evaluated were absolute change from baseline in sweat chloride through 24 weeks of treatment, absolute change from baseline in weig</w:t>
      </w:r>
      <w:r w:rsidRPr="00A808AC">
        <w:t xml:space="preserve">ht, body mass index (BMI) and stature (supported by weight, BMI and stature z-scores) at 24 weeks of treatment, and measures of pancreatic function such as </w:t>
      </w:r>
      <w:r w:rsidR="00BA40DB">
        <w:t>f</w:t>
      </w:r>
      <w:r w:rsidRPr="00A808AC">
        <w:t xml:space="preserve">aecal </w:t>
      </w:r>
      <w:r w:rsidR="00BA40DB">
        <w:t>e</w:t>
      </w:r>
      <w:r w:rsidRPr="00A808AC">
        <w:t>lastase</w:t>
      </w:r>
      <w:r w:rsidR="00C35A66" w:rsidRPr="00A808AC">
        <w:noBreakHyphen/>
      </w:r>
      <w:r w:rsidRPr="00A808AC">
        <w:t xml:space="preserve">1. </w:t>
      </w:r>
      <w:r w:rsidRPr="00A808AC">
        <w:rPr>
          <w:bCs/>
        </w:rPr>
        <w:t>Data on percent predicted FEV</w:t>
      </w:r>
      <w:r w:rsidRPr="00A808AC">
        <w:rPr>
          <w:bCs/>
          <w:vertAlign w:val="subscript"/>
        </w:rPr>
        <w:t>1</w:t>
      </w:r>
      <w:r w:rsidRPr="00A808AC">
        <w:rPr>
          <w:bCs/>
        </w:rPr>
        <w:t xml:space="preserve"> (exploratory endpoint) were available for 3 patien</w:t>
      </w:r>
      <w:r w:rsidRPr="00A808AC">
        <w:rPr>
          <w:bCs/>
        </w:rPr>
        <w:t>ts in the ivacaftor 50 mg group and 17 patients in the 75 mg dosing group.</w:t>
      </w:r>
    </w:p>
    <w:p w14:paraId="0BC09172" w14:textId="77777777" w:rsidR="00096B0E" w:rsidRPr="00A808AC" w:rsidRDefault="00096B0E" w:rsidP="00096B0E">
      <w:pPr>
        <w:spacing w:line="240" w:lineRule="auto"/>
        <w:rPr>
          <w:strike/>
        </w:rPr>
      </w:pPr>
    </w:p>
    <w:p w14:paraId="75987690" w14:textId="28F40279" w:rsidR="00096B0E" w:rsidRPr="00A808AC" w:rsidRDefault="005A3D7D" w:rsidP="00096B0E">
      <w:pPr>
        <w:spacing w:line="240" w:lineRule="auto"/>
      </w:pPr>
      <w:r w:rsidRPr="00A808AC">
        <w:t xml:space="preserve">The mean (SD) overall (both ivacaftor dosing groups combined) absolute change from baseline in BMI at </w:t>
      </w:r>
      <w:r w:rsidR="00E97780">
        <w:t>w</w:t>
      </w:r>
      <w:r w:rsidR="00C53F51" w:rsidRPr="00A808AC">
        <w:t>eek</w:t>
      </w:r>
      <w:r w:rsidR="00C53F51" w:rsidRPr="00A808AC">
        <w:rPr>
          <w:bCs/>
        </w:rPr>
        <w:t> </w:t>
      </w:r>
      <w:r w:rsidRPr="00A808AC">
        <w:t>24 was 0.32</w:t>
      </w:r>
      <w:r w:rsidRPr="00A808AC">
        <w:rPr>
          <w:bCs/>
        </w:rPr>
        <w:t> </w:t>
      </w:r>
      <w:r w:rsidRPr="00A808AC">
        <w:t>kg/m</w:t>
      </w:r>
      <w:r w:rsidRPr="00A808AC">
        <w:rPr>
          <w:vertAlign w:val="superscript"/>
        </w:rPr>
        <w:t>2</w:t>
      </w:r>
      <w:r w:rsidRPr="00A808AC">
        <w:t xml:space="preserve"> (0.54) and the mean (SD) overall change in BMI</w:t>
      </w:r>
      <w:r w:rsidR="00C35A66" w:rsidRPr="00A808AC">
        <w:noBreakHyphen/>
      </w:r>
      <w:r w:rsidRPr="00A808AC">
        <w:t>for</w:t>
      </w:r>
      <w:r w:rsidR="00C35A66" w:rsidRPr="00A808AC">
        <w:noBreakHyphen/>
      </w:r>
      <w:r w:rsidRPr="00A808AC">
        <w:t xml:space="preserve">age </w:t>
      </w:r>
      <w:r w:rsidRPr="00A808AC">
        <w:t>z</w:t>
      </w:r>
      <w:r w:rsidR="00C35A66" w:rsidRPr="00A808AC">
        <w:noBreakHyphen/>
      </w:r>
      <w:r w:rsidRPr="00A808AC">
        <w:t xml:space="preserve">score was 0.37 (0.42). The mean (SD) overall change </w:t>
      </w:r>
      <w:r w:rsidR="007178AD" w:rsidRPr="00A808AC">
        <w:t xml:space="preserve">in stature-for-age z-score was </w:t>
      </w:r>
      <w:r w:rsidR="007178AD" w:rsidRPr="00A808AC">
        <w:noBreakHyphen/>
      </w:r>
      <w:r w:rsidRPr="00A808AC">
        <w:t>0.01 (0.33). The mean (SD) overall change f</w:t>
      </w:r>
      <w:r w:rsidR="007178AD" w:rsidRPr="00A808AC">
        <w:t xml:space="preserve">rom baseline in </w:t>
      </w:r>
      <w:r w:rsidR="00BA40DB">
        <w:t>f</w:t>
      </w:r>
      <w:r w:rsidR="007178AD" w:rsidRPr="00A808AC">
        <w:t xml:space="preserve">aecal </w:t>
      </w:r>
      <w:r w:rsidR="00BA40DB">
        <w:t>e</w:t>
      </w:r>
      <w:r w:rsidR="007178AD" w:rsidRPr="00A808AC">
        <w:t>lastase</w:t>
      </w:r>
      <w:r w:rsidR="007178AD" w:rsidRPr="00A808AC">
        <w:noBreakHyphen/>
      </w:r>
      <w:r w:rsidRPr="00A808AC">
        <w:t>1 (n</w:t>
      </w:r>
      <w:r w:rsidR="00B171E6">
        <w:t> = </w:t>
      </w:r>
      <w:r w:rsidRPr="00A808AC">
        <w:t>27) was 99.8</w:t>
      </w:r>
      <w:r w:rsidRPr="00A808AC">
        <w:rPr>
          <w:bCs/>
        </w:rPr>
        <w:t> </w:t>
      </w:r>
      <w:r w:rsidRPr="000A093B">
        <w:t>µ</w:t>
      </w:r>
      <w:r w:rsidRPr="00A808AC">
        <w:t>g/g (138.4). Six patients with initial levels below 200</w:t>
      </w:r>
      <w:r w:rsidR="007178AD" w:rsidRPr="00A808AC">
        <w:t> </w:t>
      </w:r>
      <w:r w:rsidRPr="00A808AC">
        <w:t xml:space="preserve">µg/g achieved, at </w:t>
      </w:r>
      <w:r w:rsidR="00E97780">
        <w:t>w</w:t>
      </w:r>
      <w:r w:rsidR="00C53F51" w:rsidRPr="00A808AC">
        <w:t>eek</w:t>
      </w:r>
      <w:r w:rsidR="00AE37B4" w:rsidRPr="00A808AC">
        <w:t> </w:t>
      </w:r>
      <w:r w:rsidR="007178AD" w:rsidRPr="00A808AC">
        <w:t>24, a level of ≥</w:t>
      </w:r>
      <w:r w:rsidR="006D6288">
        <w:t> </w:t>
      </w:r>
      <w:r w:rsidR="007178AD" w:rsidRPr="00A808AC">
        <w:t>200 </w:t>
      </w:r>
      <w:r w:rsidRPr="00A808AC">
        <w:t>µg/g. The mean (SD) overall change in percent predicted FEV</w:t>
      </w:r>
      <w:r w:rsidRPr="00A808AC">
        <w:rPr>
          <w:vertAlign w:val="subscript"/>
        </w:rPr>
        <w:t xml:space="preserve">1 </w:t>
      </w:r>
      <w:r w:rsidRPr="00A808AC">
        <w:t xml:space="preserve">from baseline at </w:t>
      </w:r>
      <w:r w:rsidR="00E97780">
        <w:t>w</w:t>
      </w:r>
      <w:r w:rsidR="00C53F51" w:rsidRPr="00A808AC">
        <w:t>eek</w:t>
      </w:r>
      <w:r w:rsidR="00C53F51" w:rsidRPr="00A808AC">
        <w:rPr>
          <w:bCs/>
        </w:rPr>
        <w:t> </w:t>
      </w:r>
      <w:r w:rsidRPr="00A808AC">
        <w:t>24 (exploratory endpoint) was 1.8 (17.81).</w:t>
      </w:r>
    </w:p>
    <w:p w14:paraId="75097354" w14:textId="77777777" w:rsidR="00096B0E" w:rsidRDefault="00096B0E" w:rsidP="00096B0E">
      <w:pPr>
        <w:spacing w:line="240" w:lineRule="auto"/>
      </w:pPr>
    </w:p>
    <w:p w14:paraId="069A4658" w14:textId="77777777" w:rsidR="001F42DB" w:rsidRDefault="005A3D7D" w:rsidP="000A093B">
      <w:pPr>
        <w:keepNext/>
        <w:spacing w:line="240" w:lineRule="auto"/>
        <w:rPr>
          <w:rFonts w:eastAsia="MS Mincho"/>
          <w:i/>
        </w:rPr>
      </w:pPr>
      <w:r>
        <w:rPr>
          <w:rFonts w:eastAsia="MS Mincho"/>
          <w:i/>
        </w:rPr>
        <w:t>Study 8</w:t>
      </w:r>
      <w:r w:rsidRPr="00A808AC">
        <w:rPr>
          <w:rFonts w:eastAsia="MS Mincho"/>
          <w:i/>
        </w:rPr>
        <w:t xml:space="preserve">: study in paediatric patients </w:t>
      </w:r>
      <w:r w:rsidRPr="00A808AC">
        <w:rPr>
          <w:i/>
        </w:rPr>
        <w:t xml:space="preserve">with CF </w:t>
      </w:r>
      <w:r>
        <w:rPr>
          <w:rFonts w:eastAsia="MS Mincho"/>
          <w:i/>
        </w:rPr>
        <w:t>aged less than 24 months</w:t>
      </w:r>
    </w:p>
    <w:p w14:paraId="678955F0" w14:textId="77777777" w:rsidR="00987822" w:rsidRPr="00A808AC" w:rsidRDefault="00987822" w:rsidP="000A093B">
      <w:pPr>
        <w:keepNext/>
        <w:spacing w:line="240" w:lineRule="auto"/>
        <w:rPr>
          <w:rFonts w:eastAsia="MS Mincho"/>
          <w:i/>
        </w:rPr>
      </w:pPr>
    </w:p>
    <w:p w14:paraId="1AB2CC54" w14:textId="340FB4C0" w:rsidR="001F42DB" w:rsidRPr="009F5980" w:rsidRDefault="005A3D7D" w:rsidP="000A093B">
      <w:pPr>
        <w:keepNext/>
        <w:spacing w:line="240" w:lineRule="auto"/>
      </w:pPr>
      <w:r w:rsidRPr="00ED1D45">
        <w:t xml:space="preserve">The </w:t>
      </w:r>
      <w:r w:rsidRPr="00ED1D45">
        <w:t>pharmacokinetic profile, safety, and efficacy of ivacaftor in patients with CF aged</w:t>
      </w:r>
      <w:r w:rsidR="000E5385" w:rsidRPr="00BA47B4">
        <w:t xml:space="preserve"> </w:t>
      </w:r>
      <w:r w:rsidR="00DB6FE6">
        <w:t>6</w:t>
      </w:r>
      <w:r w:rsidRPr="00ED1D45">
        <w:t> </w:t>
      </w:r>
      <w:r w:rsidRPr="00BA47B4">
        <w:t xml:space="preserve">months to less than 24 months were assessed in </w:t>
      </w:r>
      <w:r w:rsidRPr="006C4477">
        <w:t xml:space="preserve">a completed </w:t>
      </w:r>
      <w:r w:rsidRPr="009F5980">
        <w:t xml:space="preserve">cohort of patients in an </w:t>
      </w:r>
      <w:r>
        <w:t>on</w:t>
      </w:r>
      <w:r w:rsidR="00E522A8">
        <w:t>-</w:t>
      </w:r>
      <w:r>
        <w:t>going</w:t>
      </w:r>
      <w:r w:rsidRPr="00ED1D45">
        <w:t xml:space="preserve"> 24</w:t>
      </w:r>
      <w:r w:rsidRPr="00ED1D45">
        <w:noBreakHyphen/>
        <w:t xml:space="preserve">week, </w:t>
      </w:r>
      <w:r w:rsidRPr="00BA47B4">
        <w:t>open</w:t>
      </w:r>
      <w:r w:rsidRPr="00BA47B4">
        <w:noBreakHyphen/>
        <w:t xml:space="preserve">label, </w:t>
      </w:r>
      <w:r w:rsidR="00BA40DB">
        <w:t>p</w:t>
      </w:r>
      <w:r w:rsidRPr="00BA47B4">
        <w:t xml:space="preserve">hase 3 </w:t>
      </w:r>
      <w:r w:rsidRPr="006C4477">
        <w:t>clinical study in patients aged less than 24 mon</w:t>
      </w:r>
      <w:r w:rsidRPr="006C4477">
        <w:t>ths (</w:t>
      </w:r>
      <w:r w:rsidR="00922DE1">
        <w:t>s</w:t>
      </w:r>
      <w:r w:rsidRPr="006C4477">
        <w:t>tudy 8)</w:t>
      </w:r>
      <w:r w:rsidRPr="009F5980">
        <w:t>.</w:t>
      </w:r>
    </w:p>
    <w:p w14:paraId="58557AD2" w14:textId="77777777" w:rsidR="001F42DB" w:rsidRDefault="001F42DB" w:rsidP="009F5980">
      <w:pPr>
        <w:spacing w:line="240" w:lineRule="auto"/>
      </w:pPr>
    </w:p>
    <w:p w14:paraId="6255AEFE" w14:textId="66BC1B93" w:rsidR="001F42DB" w:rsidRDefault="005A3D7D" w:rsidP="009F5980">
      <w:pPr>
        <w:spacing w:line="240" w:lineRule="auto"/>
      </w:pPr>
      <w:r>
        <w:t xml:space="preserve">Part B of </w:t>
      </w:r>
      <w:r w:rsidR="00E03A0F">
        <w:t>s</w:t>
      </w:r>
      <w:r>
        <w:t>tudy 8</w:t>
      </w:r>
      <w:r w:rsidRPr="004160BC">
        <w:t xml:space="preserve"> </w:t>
      </w:r>
      <w:r>
        <w:t>enrolled</w:t>
      </w:r>
      <w:r w:rsidRPr="004160BC">
        <w:t xml:space="preserve"> 19 </w:t>
      </w:r>
      <w:r>
        <w:t>patients</w:t>
      </w:r>
      <w:r w:rsidRPr="004160BC">
        <w:t xml:space="preserve"> aged 12</w:t>
      </w:r>
      <w:r>
        <w:t> </w:t>
      </w:r>
      <w:r w:rsidRPr="004160BC">
        <w:t>months to less than 24 months (mean age 15.2 months</w:t>
      </w:r>
      <w:r>
        <w:t xml:space="preserve"> at baseline</w:t>
      </w:r>
      <w:r w:rsidRPr="004160BC">
        <w:t>)</w:t>
      </w:r>
      <w:r>
        <w:t>, with 18 patients completing the 24</w:t>
      </w:r>
      <w:r>
        <w:noBreakHyphen/>
        <w:t>week treatment period, 11 patients aged 6 months to less than 12 months (mean age 9.0 months</w:t>
      </w:r>
      <w:r>
        <w:t xml:space="preserve"> at baseline) with all 11 patients completing the 24</w:t>
      </w:r>
      <w:r>
        <w:noBreakHyphen/>
        <w:t>week treatment period</w:t>
      </w:r>
      <w:r w:rsidR="004F0618">
        <w:t>, and 6 patients aged 4 months to less than 6 months (mean age 4.5 months at baseline) with all 6 patients completing the 24</w:t>
      </w:r>
      <w:r w:rsidR="003520BC">
        <w:noBreakHyphen/>
        <w:t>week treatment period</w:t>
      </w:r>
      <w:r w:rsidRPr="004160BC">
        <w:t>.</w:t>
      </w:r>
      <w:r>
        <w:t xml:space="preserve"> </w:t>
      </w:r>
      <w:r w:rsidRPr="00CD710E">
        <w:t xml:space="preserve">Patients received ivacaftor </w:t>
      </w:r>
      <w:r>
        <w:t>25 mg,</w:t>
      </w:r>
      <w:r w:rsidRPr="00CD710E">
        <w:t xml:space="preserve"> </w:t>
      </w:r>
      <w:r>
        <w:t xml:space="preserve">50 mg or 75 mg according to their </w:t>
      </w:r>
      <w:r w:rsidR="003520BC">
        <w:t xml:space="preserve">age and </w:t>
      </w:r>
      <w:r>
        <w:t>weight at each study visit (see section 4.2). Ivacaftor was administered orally every 12 hours with fat</w:t>
      </w:r>
      <w:r>
        <w:rPr>
          <w:rFonts w:ascii="MS Mincho" w:eastAsia="MS Mincho" w:hAnsi="MS Mincho" w:cs="MS Mincho"/>
        </w:rPr>
        <w:noBreakHyphen/>
      </w:r>
      <w:r>
        <w:t>containing food</w:t>
      </w:r>
      <w:r w:rsidR="0096289A">
        <w:t xml:space="preserve">. </w:t>
      </w:r>
      <w:r w:rsidR="0096289A" w:rsidRPr="00697391">
        <w:t xml:space="preserve">Patients continued on their prescribed </w:t>
      </w:r>
      <w:r>
        <w:t>standard</w:t>
      </w:r>
      <w:r>
        <w:noBreakHyphen/>
        <w:t>of</w:t>
      </w:r>
      <w:r>
        <w:noBreakHyphen/>
        <w:t>care CF therapies.</w:t>
      </w:r>
    </w:p>
    <w:p w14:paraId="0C2724E9" w14:textId="77777777" w:rsidR="001F42DB" w:rsidRDefault="001F42DB" w:rsidP="009F5980">
      <w:pPr>
        <w:spacing w:line="240" w:lineRule="auto"/>
      </w:pPr>
    </w:p>
    <w:p w14:paraId="54BFC1EE" w14:textId="00796A2E" w:rsidR="001F42DB" w:rsidRDefault="005A3D7D" w:rsidP="009F5980">
      <w:pPr>
        <w:spacing w:line="240" w:lineRule="auto"/>
      </w:pPr>
      <w:r w:rsidRPr="00CD010A">
        <w:t xml:space="preserve">In part B of </w:t>
      </w:r>
      <w:r w:rsidR="00E03A0F">
        <w:t>s</w:t>
      </w:r>
      <w:r w:rsidRPr="00CD010A">
        <w:t xml:space="preserve">tudy 8 </w:t>
      </w:r>
      <w:r w:rsidRPr="00CD010A">
        <w:t>the primary endpoint of safety was evaluated through 24 weeks (see section 4.8). Secondary endpoints were evaluation of pharmacokinetics and the absolute change from baseline in sweat chloride through 24 weeks of treatment</w:t>
      </w:r>
      <w:r>
        <w:t xml:space="preserve"> </w:t>
      </w:r>
      <w:r w:rsidRPr="00CD010A">
        <w:t>(see Pharmacodynamic effects). Te</w:t>
      </w:r>
      <w:r w:rsidRPr="00CD010A">
        <w:t xml:space="preserve">rtiary endpoints included </w:t>
      </w:r>
      <w:r w:rsidRPr="003747BF">
        <w:t xml:space="preserve">efficacy measures </w:t>
      </w:r>
      <w:r w:rsidR="00261FCF">
        <w:t>such as</w:t>
      </w:r>
      <w:r w:rsidRPr="003747BF">
        <w:t xml:space="preserve"> </w:t>
      </w:r>
      <w:r w:rsidR="00BA40DB">
        <w:t>f</w:t>
      </w:r>
      <w:r w:rsidR="006474CF">
        <w:t>a</w:t>
      </w:r>
      <w:r w:rsidRPr="00640518">
        <w:t xml:space="preserve">ecal </w:t>
      </w:r>
      <w:r w:rsidR="00BA40DB">
        <w:t>e</w:t>
      </w:r>
      <w:r w:rsidRPr="00640518">
        <w:t>lastase</w:t>
      </w:r>
      <w:r>
        <w:noBreakHyphen/>
      </w:r>
      <w:r w:rsidRPr="00640518">
        <w:t>1</w:t>
      </w:r>
      <w:r w:rsidR="00EF389C">
        <w:t xml:space="preserve"> and</w:t>
      </w:r>
      <w:r>
        <w:t xml:space="preserve"> growth parameters</w:t>
      </w:r>
      <w:r w:rsidRPr="00330118">
        <w:t>.</w:t>
      </w:r>
    </w:p>
    <w:p w14:paraId="5B7FA5A5" w14:textId="77777777" w:rsidR="001F42DB" w:rsidRDefault="001F42DB" w:rsidP="001F42DB"/>
    <w:p w14:paraId="4B029125" w14:textId="6F789637" w:rsidR="00197815" w:rsidRPr="00197815" w:rsidRDefault="005A3D7D" w:rsidP="009F5980">
      <w:pPr>
        <w:keepNext/>
        <w:keepLines/>
        <w:spacing w:line="240" w:lineRule="auto"/>
      </w:pPr>
      <w:r w:rsidRPr="00E77307">
        <w:t xml:space="preserve">For patients </w:t>
      </w:r>
      <w:r w:rsidR="000F2130" w:rsidRPr="000F2130">
        <w:t xml:space="preserve">aged </w:t>
      </w:r>
      <w:r w:rsidR="003520BC">
        <w:t>4 </w:t>
      </w:r>
      <w:r w:rsidR="000F2130" w:rsidRPr="000F2130">
        <w:t>months to less than 24</w:t>
      </w:r>
      <w:r w:rsidR="000F2130">
        <w:t> </w:t>
      </w:r>
      <w:r w:rsidR="000F2130" w:rsidRPr="000F2130">
        <w:t>months</w:t>
      </w:r>
      <w:r w:rsidR="000F2130">
        <w:t>,</w:t>
      </w:r>
      <w:r w:rsidR="000F2130" w:rsidRPr="000F2130">
        <w:t xml:space="preserve"> </w:t>
      </w:r>
      <w:r w:rsidRPr="00E77307">
        <w:t xml:space="preserve">with both baseline and </w:t>
      </w:r>
      <w:r w:rsidR="00E97780">
        <w:t>w</w:t>
      </w:r>
      <w:r w:rsidRPr="00E77307">
        <w:t>eek 24 values available, m</w:t>
      </w:r>
      <w:r w:rsidRPr="00E77307">
        <w:rPr>
          <w:bCs/>
        </w:rPr>
        <w:t>ean (SD) weight</w:t>
      </w:r>
      <w:r w:rsidRPr="00E77307">
        <w:rPr>
          <w:bCs/>
        </w:rPr>
        <w:noBreakHyphen/>
        <w:t>for</w:t>
      </w:r>
      <w:r w:rsidRPr="00E77307">
        <w:rPr>
          <w:bCs/>
        </w:rPr>
        <w:noBreakHyphen/>
        <w:t>age, length</w:t>
      </w:r>
      <w:r w:rsidRPr="00E77307">
        <w:rPr>
          <w:bCs/>
        </w:rPr>
        <w:noBreakHyphen/>
        <w:t>for</w:t>
      </w:r>
      <w:r w:rsidRPr="00E77307">
        <w:rPr>
          <w:bCs/>
        </w:rPr>
        <w:noBreakHyphen/>
        <w:t>age, and weight</w:t>
      </w:r>
      <w:r w:rsidRPr="00E77307">
        <w:rPr>
          <w:bCs/>
        </w:rPr>
        <w:noBreakHyphen/>
        <w:t>for</w:t>
      </w:r>
      <w:r w:rsidRPr="00E77307">
        <w:rPr>
          <w:bCs/>
        </w:rPr>
        <w:noBreakHyphen/>
      </w:r>
      <w:r w:rsidRPr="00E77307">
        <w:rPr>
          <w:bCs/>
        </w:rPr>
        <w:t>length z</w:t>
      </w:r>
      <w:r w:rsidRPr="00E77307">
        <w:rPr>
          <w:bCs/>
        </w:rPr>
        <w:noBreakHyphen/>
        <w:t>scores are provided in Table </w:t>
      </w:r>
      <w:r w:rsidR="00212EEB">
        <w:rPr>
          <w:bCs/>
        </w:rPr>
        <w:t>7</w:t>
      </w:r>
      <w:r w:rsidRPr="00E77307">
        <w:rPr>
          <w:bCs/>
        </w:rPr>
        <w:t>.</w:t>
      </w:r>
    </w:p>
    <w:p w14:paraId="3C8708FD" w14:textId="77777777" w:rsidR="00197815" w:rsidRPr="00197815" w:rsidRDefault="00197815" w:rsidP="00197815">
      <w:pPr>
        <w:spacing w:line="240" w:lineRule="auto"/>
      </w:pPr>
    </w:p>
    <w:p w14:paraId="2370B5DE" w14:textId="0027B405" w:rsidR="00197815" w:rsidRPr="00197815" w:rsidRDefault="005A3D7D" w:rsidP="00FC0C4C">
      <w:pPr>
        <w:keepNext/>
        <w:tabs>
          <w:tab w:val="clear" w:pos="567"/>
        </w:tabs>
        <w:spacing w:after="120" w:line="240" w:lineRule="auto"/>
        <w:ind w:left="810" w:hanging="810"/>
        <w:rPr>
          <w:b/>
          <w:color w:val="000000" w:themeColor="text1"/>
        </w:rPr>
      </w:pPr>
      <w:r w:rsidRPr="00E77307">
        <w:rPr>
          <w:b/>
        </w:rPr>
        <w:t>Table</w:t>
      </w:r>
      <w:r w:rsidR="006E075E">
        <w:rPr>
          <w:b/>
        </w:rPr>
        <w:t> </w:t>
      </w:r>
      <w:r w:rsidR="00212EEB">
        <w:rPr>
          <w:b/>
        </w:rPr>
        <w:t>7</w:t>
      </w:r>
      <w:r w:rsidRPr="00E77307">
        <w:rPr>
          <w:b/>
        </w:rPr>
        <w:t xml:space="preserve">: </w:t>
      </w:r>
      <w:r w:rsidR="005214C8" w:rsidRPr="00E77307">
        <w:rPr>
          <w:b/>
        </w:rPr>
        <w:t xml:space="preserve">Effect of ivacaftor on growth parameters in patients </w:t>
      </w:r>
      <w:r w:rsidR="000F2130">
        <w:rPr>
          <w:b/>
        </w:rPr>
        <w:t xml:space="preserve">aged </w:t>
      </w:r>
      <w:r w:rsidR="003520BC">
        <w:rPr>
          <w:b/>
        </w:rPr>
        <w:t>4</w:t>
      </w:r>
      <w:r w:rsidR="000F2130">
        <w:rPr>
          <w:b/>
        </w:rPr>
        <w:t xml:space="preserve"> months to less than 24 months </w:t>
      </w:r>
      <w:r w:rsidR="005214C8" w:rsidRPr="00E77307">
        <w:rPr>
          <w:b/>
        </w:rPr>
        <w:t xml:space="preserve">with baseline and </w:t>
      </w:r>
      <w:r w:rsidR="00E97780">
        <w:rPr>
          <w:b/>
        </w:rPr>
        <w:t>w</w:t>
      </w:r>
      <w:r w:rsidR="00BB2874">
        <w:rPr>
          <w:b/>
        </w:rPr>
        <w:t>eek 24 values</w:t>
      </w:r>
    </w:p>
    <w:tbl>
      <w:tblPr>
        <w:tblStyle w:val="TableGrid1"/>
        <w:tblW w:w="9018" w:type="dxa"/>
        <w:tblLayout w:type="fixed"/>
        <w:tblLook w:val="04A0" w:firstRow="1" w:lastRow="0" w:firstColumn="1" w:lastColumn="0" w:noHBand="0" w:noVBand="1"/>
      </w:tblPr>
      <w:tblGrid>
        <w:gridCol w:w="2538"/>
        <w:gridCol w:w="1080"/>
        <w:gridCol w:w="1170"/>
        <w:gridCol w:w="1350"/>
        <w:gridCol w:w="1440"/>
        <w:gridCol w:w="1440"/>
      </w:tblGrid>
      <w:tr w:rsidR="00476058" w14:paraId="3C72B4C6" w14:textId="77777777" w:rsidTr="0076719D">
        <w:tc>
          <w:tcPr>
            <w:tcW w:w="2538" w:type="dxa"/>
            <w:vMerge w:val="restart"/>
            <w:vAlign w:val="center"/>
          </w:tcPr>
          <w:p w14:paraId="35FDC4F7" w14:textId="77777777" w:rsidR="0049757E" w:rsidRPr="0076719D" w:rsidRDefault="005A3D7D" w:rsidP="00DD0F52">
            <w:pPr>
              <w:keepNext/>
              <w:spacing w:line="240" w:lineRule="auto"/>
              <w:rPr>
                <w:rFonts w:ascii="Times New Roman" w:hAnsi="Times New Roman" w:cs="Times New Roman"/>
                <w:b/>
              </w:rPr>
            </w:pPr>
            <w:r w:rsidRPr="0076719D">
              <w:rPr>
                <w:rFonts w:ascii="Times New Roman" w:hAnsi="Times New Roman" w:cs="Times New Roman"/>
                <w:b/>
              </w:rPr>
              <w:t>Parameter</w:t>
            </w:r>
          </w:p>
        </w:tc>
        <w:tc>
          <w:tcPr>
            <w:tcW w:w="1080" w:type="dxa"/>
            <w:vMerge w:val="restart"/>
          </w:tcPr>
          <w:p w14:paraId="6379FDDD" w14:textId="77777777" w:rsidR="0049757E" w:rsidRPr="0076719D" w:rsidRDefault="005A3D7D" w:rsidP="00DD0F52">
            <w:pPr>
              <w:keepNext/>
              <w:spacing w:line="240" w:lineRule="auto"/>
              <w:jc w:val="center"/>
              <w:rPr>
                <w:rFonts w:ascii="Times New Roman" w:hAnsi="Times New Roman" w:cs="Times New Roman"/>
                <w:b/>
              </w:rPr>
            </w:pPr>
            <w:r w:rsidRPr="0076719D">
              <w:rPr>
                <w:rFonts w:ascii="Times New Roman" w:hAnsi="Times New Roman" w:cs="Times New Roman"/>
                <w:b/>
              </w:rPr>
              <w:t>Number of patients</w:t>
            </w:r>
          </w:p>
        </w:tc>
        <w:tc>
          <w:tcPr>
            <w:tcW w:w="2520" w:type="dxa"/>
            <w:gridSpan w:val="2"/>
            <w:vAlign w:val="center"/>
          </w:tcPr>
          <w:p w14:paraId="5A0CE1B9" w14:textId="77777777" w:rsidR="0049757E" w:rsidRPr="0076719D" w:rsidRDefault="005A3D7D" w:rsidP="00DD0F52">
            <w:pPr>
              <w:keepNext/>
              <w:spacing w:line="240" w:lineRule="auto"/>
              <w:jc w:val="center"/>
              <w:rPr>
                <w:rFonts w:ascii="Times New Roman" w:hAnsi="Times New Roman" w:cs="Times New Roman"/>
                <w:b/>
              </w:rPr>
            </w:pPr>
            <w:r w:rsidRPr="0076719D">
              <w:rPr>
                <w:rFonts w:ascii="Times New Roman" w:hAnsi="Times New Roman" w:cs="Times New Roman"/>
                <w:b/>
              </w:rPr>
              <w:t>Baseline</w:t>
            </w:r>
          </w:p>
          <w:p w14:paraId="3B3C5943" w14:textId="77777777" w:rsidR="0049757E" w:rsidRPr="0076719D" w:rsidRDefault="0049757E" w:rsidP="00DD0F52">
            <w:pPr>
              <w:keepNext/>
              <w:spacing w:line="240" w:lineRule="auto"/>
              <w:jc w:val="center"/>
              <w:rPr>
                <w:rFonts w:ascii="Times New Roman" w:hAnsi="Times New Roman" w:cs="Times New Roman"/>
                <w:b/>
              </w:rPr>
            </w:pPr>
          </w:p>
        </w:tc>
        <w:tc>
          <w:tcPr>
            <w:tcW w:w="2880" w:type="dxa"/>
            <w:gridSpan w:val="2"/>
            <w:vAlign w:val="center"/>
          </w:tcPr>
          <w:p w14:paraId="15393E21" w14:textId="77777777" w:rsidR="0049757E" w:rsidRPr="0076719D" w:rsidRDefault="005A3D7D" w:rsidP="00DD0F52">
            <w:pPr>
              <w:keepNext/>
              <w:spacing w:line="240" w:lineRule="auto"/>
              <w:jc w:val="center"/>
              <w:rPr>
                <w:rFonts w:ascii="Times New Roman" w:hAnsi="Times New Roman" w:cs="Times New Roman"/>
                <w:b/>
              </w:rPr>
            </w:pPr>
            <w:r w:rsidRPr="0076719D">
              <w:rPr>
                <w:rFonts w:ascii="Times New Roman" w:hAnsi="Times New Roman" w:cs="Times New Roman"/>
                <w:b/>
              </w:rPr>
              <w:t>Absolute change at week 24</w:t>
            </w:r>
          </w:p>
          <w:p w14:paraId="501122D9" w14:textId="77777777" w:rsidR="0049757E" w:rsidRPr="0076719D" w:rsidRDefault="0049757E" w:rsidP="00DD0F52">
            <w:pPr>
              <w:keepNext/>
              <w:spacing w:line="240" w:lineRule="auto"/>
              <w:jc w:val="center"/>
              <w:rPr>
                <w:rFonts w:ascii="Times New Roman" w:hAnsi="Times New Roman" w:cs="Times New Roman"/>
                <w:b/>
              </w:rPr>
            </w:pPr>
          </w:p>
        </w:tc>
      </w:tr>
      <w:tr w:rsidR="00476058" w14:paraId="26D003B7" w14:textId="77777777" w:rsidTr="0076719D">
        <w:tc>
          <w:tcPr>
            <w:tcW w:w="2538" w:type="dxa"/>
            <w:vMerge/>
          </w:tcPr>
          <w:p w14:paraId="178DF6E2" w14:textId="77777777" w:rsidR="0049757E" w:rsidRPr="0076719D" w:rsidRDefault="0049757E" w:rsidP="00DD0F52">
            <w:pPr>
              <w:spacing w:line="240" w:lineRule="auto"/>
              <w:rPr>
                <w:rFonts w:ascii="Times New Roman" w:hAnsi="Times New Roman" w:cs="Times New Roman"/>
              </w:rPr>
            </w:pPr>
          </w:p>
        </w:tc>
        <w:tc>
          <w:tcPr>
            <w:tcW w:w="1080" w:type="dxa"/>
            <w:vMerge/>
          </w:tcPr>
          <w:p w14:paraId="3C45059B" w14:textId="77777777" w:rsidR="0049757E" w:rsidRPr="0076719D" w:rsidRDefault="0049757E" w:rsidP="00DD0F52">
            <w:pPr>
              <w:spacing w:line="240" w:lineRule="auto"/>
              <w:jc w:val="center"/>
              <w:rPr>
                <w:rFonts w:ascii="Times New Roman" w:hAnsi="Times New Roman" w:cs="Times New Roman"/>
              </w:rPr>
            </w:pPr>
          </w:p>
        </w:tc>
        <w:tc>
          <w:tcPr>
            <w:tcW w:w="1170" w:type="dxa"/>
          </w:tcPr>
          <w:p w14:paraId="3EF4EC6B" w14:textId="77777777" w:rsidR="0049757E" w:rsidRPr="0076719D" w:rsidRDefault="005A3D7D" w:rsidP="00DD0F52">
            <w:pPr>
              <w:spacing w:line="240" w:lineRule="auto"/>
              <w:jc w:val="center"/>
              <w:rPr>
                <w:rFonts w:ascii="Times New Roman" w:hAnsi="Times New Roman" w:cs="Times New Roman"/>
                <w:b/>
              </w:rPr>
            </w:pPr>
            <w:r w:rsidRPr="0076719D">
              <w:rPr>
                <w:rFonts w:ascii="Times New Roman" w:hAnsi="Times New Roman" w:cs="Times New Roman"/>
                <w:b/>
              </w:rPr>
              <w:t>Mean</w:t>
            </w:r>
          </w:p>
          <w:p w14:paraId="551E87EE" w14:textId="77777777" w:rsidR="0049757E" w:rsidRPr="0076719D" w:rsidRDefault="005A3D7D" w:rsidP="00DD0F52">
            <w:pPr>
              <w:spacing w:line="240" w:lineRule="auto"/>
              <w:jc w:val="center"/>
              <w:rPr>
                <w:rFonts w:ascii="Times New Roman" w:hAnsi="Times New Roman" w:cs="Times New Roman"/>
              </w:rPr>
            </w:pPr>
            <w:r w:rsidRPr="0076719D">
              <w:rPr>
                <w:rFonts w:ascii="Times New Roman" w:hAnsi="Times New Roman" w:cs="Times New Roman"/>
                <w:b/>
              </w:rPr>
              <w:t>(SD)</w:t>
            </w:r>
          </w:p>
        </w:tc>
        <w:tc>
          <w:tcPr>
            <w:tcW w:w="1350" w:type="dxa"/>
          </w:tcPr>
          <w:p w14:paraId="0F51A51B" w14:textId="77777777" w:rsidR="0049757E" w:rsidRPr="0076719D" w:rsidRDefault="005A3D7D" w:rsidP="00DD0F52">
            <w:pPr>
              <w:spacing w:line="240" w:lineRule="auto"/>
              <w:jc w:val="center"/>
              <w:rPr>
                <w:rFonts w:ascii="Times New Roman" w:hAnsi="Times New Roman" w:cs="Times New Roman"/>
                <w:b/>
              </w:rPr>
            </w:pPr>
            <w:r w:rsidRPr="0076719D">
              <w:rPr>
                <w:rFonts w:ascii="Times New Roman" w:hAnsi="Times New Roman" w:cs="Times New Roman"/>
                <w:b/>
              </w:rPr>
              <w:t>Median</w:t>
            </w:r>
          </w:p>
          <w:p w14:paraId="4A37C903" w14:textId="77777777" w:rsidR="0049757E" w:rsidRPr="0076719D" w:rsidRDefault="005A3D7D" w:rsidP="00DD0F52">
            <w:pPr>
              <w:spacing w:line="240" w:lineRule="auto"/>
              <w:jc w:val="center"/>
              <w:rPr>
                <w:rFonts w:ascii="Times New Roman" w:hAnsi="Times New Roman" w:cs="Times New Roman"/>
              </w:rPr>
            </w:pPr>
            <w:r w:rsidRPr="0076719D">
              <w:rPr>
                <w:rFonts w:ascii="Times New Roman" w:hAnsi="Times New Roman" w:cs="Times New Roman"/>
                <w:b/>
              </w:rPr>
              <w:t>(min, max)</w:t>
            </w:r>
          </w:p>
        </w:tc>
        <w:tc>
          <w:tcPr>
            <w:tcW w:w="1440" w:type="dxa"/>
          </w:tcPr>
          <w:p w14:paraId="59274783" w14:textId="77777777" w:rsidR="0049757E" w:rsidRPr="0076719D" w:rsidRDefault="005A3D7D" w:rsidP="00DD0F52">
            <w:pPr>
              <w:spacing w:line="240" w:lineRule="auto"/>
              <w:jc w:val="center"/>
              <w:rPr>
                <w:rFonts w:ascii="Times New Roman" w:hAnsi="Times New Roman" w:cs="Times New Roman"/>
                <w:b/>
              </w:rPr>
            </w:pPr>
            <w:r w:rsidRPr="0076719D">
              <w:rPr>
                <w:rFonts w:ascii="Times New Roman" w:hAnsi="Times New Roman" w:cs="Times New Roman"/>
                <w:b/>
              </w:rPr>
              <w:t>Mean</w:t>
            </w:r>
          </w:p>
          <w:p w14:paraId="52EF5B1C" w14:textId="77777777" w:rsidR="0049757E" w:rsidRPr="0076719D" w:rsidRDefault="005A3D7D" w:rsidP="00DD0F52">
            <w:pPr>
              <w:spacing w:line="240" w:lineRule="auto"/>
              <w:jc w:val="center"/>
              <w:rPr>
                <w:rFonts w:ascii="Times New Roman" w:hAnsi="Times New Roman" w:cs="Times New Roman"/>
              </w:rPr>
            </w:pPr>
            <w:r w:rsidRPr="0076719D">
              <w:rPr>
                <w:rFonts w:ascii="Times New Roman" w:hAnsi="Times New Roman" w:cs="Times New Roman"/>
                <w:b/>
              </w:rPr>
              <w:t>(SD)</w:t>
            </w:r>
          </w:p>
        </w:tc>
        <w:tc>
          <w:tcPr>
            <w:tcW w:w="1440" w:type="dxa"/>
          </w:tcPr>
          <w:p w14:paraId="438717F0" w14:textId="77777777" w:rsidR="0049757E" w:rsidRPr="0076719D" w:rsidRDefault="005A3D7D" w:rsidP="00DD0F52">
            <w:pPr>
              <w:spacing w:line="240" w:lineRule="auto"/>
              <w:jc w:val="center"/>
              <w:rPr>
                <w:rFonts w:ascii="Times New Roman" w:hAnsi="Times New Roman" w:cs="Times New Roman"/>
                <w:b/>
              </w:rPr>
            </w:pPr>
            <w:r w:rsidRPr="0076719D">
              <w:rPr>
                <w:rFonts w:ascii="Times New Roman" w:hAnsi="Times New Roman" w:cs="Times New Roman"/>
                <w:b/>
              </w:rPr>
              <w:t>Median</w:t>
            </w:r>
          </w:p>
          <w:p w14:paraId="30AE3911" w14:textId="77777777" w:rsidR="0049757E" w:rsidRPr="0076719D" w:rsidRDefault="005A3D7D" w:rsidP="00DD0F52">
            <w:pPr>
              <w:spacing w:line="240" w:lineRule="auto"/>
              <w:jc w:val="center"/>
              <w:rPr>
                <w:rFonts w:ascii="Times New Roman" w:hAnsi="Times New Roman" w:cs="Times New Roman"/>
              </w:rPr>
            </w:pPr>
            <w:r w:rsidRPr="0076719D">
              <w:rPr>
                <w:rFonts w:ascii="Times New Roman" w:hAnsi="Times New Roman" w:cs="Times New Roman"/>
                <w:b/>
              </w:rPr>
              <w:t>(min, max)</w:t>
            </w:r>
          </w:p>
        </w:tc>
      </w:tr>
      <w:tr w:rsidR="00476058" w14:paraId="18A20A92" w14:textId="77777777" w:rsidTr="0076719D">
        <w:tc>
          <w:tcPr>
            <w:tcW w:w="2538" w:type="dxa"/>
          </w:tcPr>
          <w:p w14:paraId="152B4259" w14:textId="77777777" w:rsidR="0049757E" w:rsidRPr="0076719D" w:rsidRDefault="005A3D7D" w:rsidP="00DD0F52">
            <w:pPr>
              <w:spacing w:line="240" w:lineRule="auto"/>
              <w:rPr>
                <w:rFonts w:ascii="Times New Roman" w:hAnsi="Times New Roman" w:cs="Times New Roman"/>
              </w:rPr>
            </w:pPr>
            <w:r w:rsidRPr="0076719D">
              <w:rPr>
                <w:rFonts w:ascii="Times New Roman" w:hAnsi="Times New Roman" w:cs="Times New Roman"/>
              </w:rPr>
              <w:t>Weight–for</w:t>
            </w:r>
            <w:r w:rsidRPr="0076719D">
              <w:rPr>
                <w:rFonts w:ascii="Times New Roman" w:hAnsi="Times New Roman" w:cs="Times New Roman"/>
              </w:rPr>
              <w:noBreakHyphen/>
              <w:t>age z</w:t>
            </w:r>
            <w:r w:rsidRPr="0076719D">
              <w:rPr>
                <w:rFonts w:ascii="Times New Roman" w:hAnsi="Times New Roman" w:cs="Times New Roman"/>
              </w:rPr>
              <w:noBreakHyphen/>
              <w:t>score</w:t>
            </w:r>
          </w:p>
        </w:tc>
        <w:tc>
          <w:tcPr>
            <w:tcW w:w="1080" w:type="dxa"/>
          </w:tcPr>
          <w:p w14:paraId="379D1305" w14:textId="0E31D6FF" w:rsidR="0049757E" w:rsidRPr="0076719D" w:rsidRDefault="005A3D7D" w:rsidP="00DD0F52">
            <w:pPr>
              <w:spacing w:line="240" w:lineRule="auto"/>
              <w:jc w:val="center"/>
              <w:rPr>
                <w:rFonts w:ascii="Times New Roman" w:hAnsi="Times New Roman" w:cs="Times New Roman"/>
              </w:rPr>
            </w:pPr>
            <w:r>
              <w:rPr>
                <w:rFonts w:ascii="Times New Roman" w:hAnsi="Times New Roman" w:cs="Times New Roman"/>
              </w:rPr>
              <w:t>35</w:t>
            </w:r>
          </w:p>
        </w:tc>
        <w:tc>
          <w:tcPr>
            <w:tcW w:w="1170" w:type="dxa"/>
          </w:tcPr>
          <w:p w14:paraId="1FEF739F" w14:textId="25C45C91" w:rsidR="0049757E" w:rsidRPr="0076719D" w:rsidRDefault="005A3D7D" w:rsidP="000C5105">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17</w:t>
            </w:r>
            <w:r w:rsidR="003520BC" w:rsidRPr="0076719D">
              <w:rPr>
                <w:rFonts w:ascii="Times New Roman" w:hAnsi="Times New Roman" w:cs="Times New Roman"/>
              </w:rPr>
              <w:t xml:space="preserve"> </w:t>
            </w:r>
            <w:r w:rsidRPr="0076719D">
              <w:rPr>
                <w:rFonts w:ascii="Times New Roman" w:hAnsi="Times New Roman" w:cs="Times New Roman"/>
              </w:rPr>
              <w:t>(0.</w:t>
            </w:r>
            <w:r w:rsidR="003520BC">
              <w:rPr>
                <w:rFonts w:ascii="Times New Roman" w:hAnsi="Times New Roman" w:cs="Times New Roman"/>
              </w:rPr>
              <w:t>85</w:t>
            </w:r>
            <w:r w:rsidRPr="0076719D">
              <w:rPr>
                <w:rFonts w:ascii="Times New Roman" w:hAnsi="Times New Roman" w:cs="Times New Roman"/>
              </w:rPr>
              <w:t>)</w:t>
            </w:r>
          </w:p>
        </w:tc>
        <w:tc>
          <w:tcPr>
            <w:tcW w:w="1350" w:type="dxa"/>
          </w:tcPr>
          <w:p w14:paraId="40335535" w14:textId="791FF679" w:rsidR="008234B6" w:rsidRPr="0076719D" w:rsidRDefault="005A3D7D" w:rsidP="00DD0F52">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20</w:t>
            </w:r>
          </w:p>
          <w:p w14:paraId="0C589FCF" w14:textId="5A3F6AF4" w:rsidR="0049757E" w:rsidRPr="0076719D" w:rsidRDefault="005A3D7D" w:rsidP="00DD0F52">
            <w:pPr>
              <w:spacing w:line="240" w:lineRule="auto"/>
              <w:jc w:val="center"/>
              <w:rPr>
                <w:rFonts w:ascii="Times New Roman" w:hAnsi="Times New Roman" w:cs="Times New Roman"/>
              </w:rPr>
            </w:pPr>
            <w:r w:rsidRPr="0076719D">
              <w:rPr>
                <w:rFonts w:ascii="Times New Roman" w:hAnsi="Times New Roman" w:cs="Times New Roman"/>
              </w:rPr>
              <w:t>[-1.</w:t>
            </w:r>
            <w:r w:rsidR="003520BC">
              <w:rPr>
                <w:rFonts w:ascii="Times New Roman" w:hAnsi="Times New Roman" w:cs="Times New Roman"/>
              </w:rPr>
              <w:t>92</w:t>
            </w:r>
            <w:r w:rsidRPr="0076719D">
              <w:rPr>
                <w:rFonts w:ascii="Times New Roman" w:hAnsi="Times New Roman" w:cs="Times New Roman"/>
              </w:rPr>
              <w:t>, 1.79]</w:t>
            </w:r>
          </w:p>
        </w:tc>
        <w:tc>
          <w:tcPr>
            <w:tcW w:w="1440" w:type="dxa"/>
          </w:tcPr>
          <w:p w14:paraId="3EF77B9A" w14:textId="4DF6FB2A" w:rsidR="0049757E" w:rsidRPr="0076719D" w:rsidRDefault="005A3D7D" w:rsidP="0049757E">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33</w:t>
            </w:r>
          </w:p>
          <w:p w14:paraId="374D8DA6" w14:textId="170E6303" w:rsidR="0049757E" w:rsidRPr="0076719D" w:rsidRDefault="005A3D7D" w:rsidP="0049757E">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53</w:t>
            </w:r>
            <w:r w:rsidRPr="0076719D">
              <w:rPr>
                <w:rFonts w:ascii="Times New Roman" w:hAnsi="Times New Roman" w:cs="Times New Roman"/>
              </w:rPr>
              <w:t>)</w:t>
            </w:r>
          </w:p>
        </w:tc>
        <w:tc>
          <w:tcPr>
            <w:tcW w:w="1440" w:type="dxa"/>
          </w:tcPr>
          <w:p w14:paraId="353FF6D1" w14:textId="1DF91B05" w:rsidR="008234B6" w:rsidRPr="0076719D" w:rsidRDefault="005A3D7D" w:rsidP="00DD0F52">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26</w:t>
            </w:r>
          </w:p>
          <w:p w14:paraId="71EC7DC6" w14:textId="77777777" w:rsidR="0049757E" w:rsidRPr="0076719D" w:rsidRDefault="005A3D7D" w:rsidP="00DD0F52">
            <w:pPr>
              <w:spacing w:line="240" w:lineRule="auto"/>
              <w:jc w:val="center"/>
              <w:rPr>
                <w:rFonts w:ascii="Times New Roman" w:hAnsi="Times New Roman" w:cs="Times New Roman"/>
              </w:rPr>
            </w:pPr>
            <w:r w:rsidRPr="0076719D">
              <w:rPr>
                <w:rFonts w:ascii="Times New Roman" w:hAnsi="Times New Roman" w:cs="Times New Roman"/>
              </w:rPr>
              <w:t>[-0.54, 1.63]</w:t>
            </w:r>
          </w:p>
        </w:tc>
      </w:tr>
      <w:tr w:rsidR="00476058" w14:paraId="546E55B7" w14:textId="77777777" w:rsidTr="0076719D">
        <w:tc>
          <w:tcPr>
            <w:tcW w:w="2538" w:type="dxa"/>
          </w:tcPr>
          <w:p w14:paraId="1B7C3D69" w14:textId="77777777" w:rsidR="0049757E" w:rsidRPr="0076719D" w:rsidRDefault="005A3D7D" w:rsidP="00DD0F52">
            <w:pPr>
              <w:spacing w:line="240" w:lineRule="auto"/>
              <w:rPr>
                <w:rFonts w:ascii="Times New Roman" w:hAnsi="Times New Roman" w:cs="Times New Roman"/>
              </w:rPr>
            </w:pPr>
            <w:r w:rsidRPr="0076719D">
              <w:rPr>
                <w:rFonts w:ascii="Times New Roman" w:hAnsi="Times New Roman" w:cs="Times New Roman"/>
              </w:rPr>
              <w:t>Length</w:t>
            </w:r>
            <w:r w:rsidRPr="0076719D">
              <w:rPr>
                <w:rFonts w:ascii="Times New Roman" w:hAnsi="Times New Roman" w:cs="Times New Roman"/>
              </w:rPr>
              <w:noBreakHyphen/>
              <w:t>for</w:t>
            </w:r>
            <w:r w:rsidRPr="0076719D">
              <w:rPr>
                <w:rFonts w:ascii="Times New Roman" w:hAnsi="Times New Roman" w:cs="Times New Roman"/>
              </w:rPr>
              <w:noBreakHyphen/>
              <w:t>age z</w:t>
            </w:r>
            <w:r w:rsidRPr="0076719D">
              <w:rPr>
                <w:rFonts w:ascii="Times New Roman" w:hAnsi="Times New Roman" w:cs="Times New Roman"/>
              </w:rPr>
              <w:noBreakHyphen/>
              <w:t>score</w:t>
            </w:r>
          </w:p>
        </w:tc>
        <w:tc>
          <w:tcPr>
            <w:tcW w:w="1080" w:type="dxa"/>
          </w:tcPr>
          <w:p w14:paraId="084CABBB" w14:textId="788E59BE" w:rsidR="0049757E" w:rsidRPr="0076719D" w:rsidRDefault="005A3D7D" w:rsidP="00DD0F52">
            <w:pPr>
              <w:spacing w:line="240" w:lineRule="auto"/>
              <w:jc w:val="center"/>
              <w:rPr>
                <w:rFonts w:ascii="Times New Roman" w:hAnsi="Times New Roman" w:cs="Times New Roman"/>
              </w:rPr>
            </w:pPr>
            <w:r>
              <w:rPr>
                <w:rFonts w:ascii="Times New Roman" w:hAnsi="Times New Roman" w:cs="Times New Roman"/>
              </w:rPr>
              <w:t>34</w:t>
            </w:r>
          </w:p>
        </w:tc>
        <w:tc>
          <w:tcPr>
            <w:tcW w:w="1170" w:type="dxa"/>
          </w:tcPr>
          <w:p w14:paraId="0064DC76" w14:textId="4584709D" w:rsidR="0049757E" w:rsidRPr="0076719D" w:rsidRDefault="005A3D7D" w:rsidP="000C5105">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06</w:t>
            </w:r>
            <w:r w:rsidR="003520BC" w:rsidRPr="0076719D">
              <w:rPr>
                <w:rFonts w:ascii="Times New Roman" w:hAnsi="Times New Roman" w:cs="Times New Roman"/>
              </w:rPr>
              <w:t xml:space="preserve"> </w:t>
            </w:r>
            <w:r w:rsidRPr="0076719D">
              <w:rPr>
                <w:rFonts w:ascii="Times New Roman" w:hAnsi="Times New Roman" w:cs="Times New Roman"/>
              </w:rPr>
              <w:t>(</w:t>
            </w:r>
            <w:r w:rsidR="003520BC">
              <w:rPr>
                <w:rFonts w:ascii="Times New Roman" w:hAnsi="Times New Roman" w:cs="Times New Roman"/>
              </w:rPr>
              <w:t>1.03</w:t>
            </w:r>
            <w:r w:rsidRPr="0076719D">
              <w:rPr>
                <w:rFonts w:ascii="Times New Roman" w:hAnsi="Times New Roman" w:cs="Times New Roman"/>
              </w:rPr>
              <w:t xml:space="preserve">) </w:t>
            </w:r>
          </w:p>
        </w:tc>
        <w:tc>
          <w:tcPr>
            <w:tcW w:w="1350" w:type="dxa"/>
          </w:tcPr>
          <w:p w14:paraId="386A3ED5" w14:textId="48F25750" w:rsidR="008234B6" w:rsidRPr="0076719D" w:rsidRDefault="005A3D7D" w:rsidP="00DD0F52">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12</w:t>
            </w:r>
          </w:p>
          <w:p w14:paraId="5EF95269" w14:textId="3F8B3949" w:rsidR="0049757E" w:rsidRPr="0076719D" w:rsidRDefault="005A3D7D" w:rsidP="00DD0F52">
            <w:pPr>
              <w:spacing w:line="240" w:lineRule="auto"/>
              <w:jc w:val="center"/>
              <w:rPr>
                <w:rFonts w:ascii="Times New Roman" w:hAnsi="Times New Roman" w:cs="Times New Roman"/>
              </w:rPr>
            </w:pPr>
            <w:r w:rsidRPr="0076719D">
              <w:rPr>
                <w:rFonts w:ascii="Times New Roman" w:hAnsi="Times New Roman" w:cs="Times New Roman"/>
              </w:rPr>
              <w:t>[-1.</w:t>
            </w:r>
            <w:r w:rsidR="003520BC">
              <w:rPr>
                <w:rFonts w:ascii="Times New Roman" w:hAnsi="Times New Roman" w:cs="Times New Roman"/>
              </w:rPr>
              <w:t>99</w:t>
            </w:r>
            <w:r w:rsidRPr="0076719D">
              <w:rPr>
                <w:rFonts w:ascii="Times New Roman" w:hAnsi="Times New Roman" w:cs="Times New Roman"/>
              </w:rPr>
              <w:t xml:space="preserve">, </w:t>
            </w:r>
            <w:r w:rsidR="003520BC">
              <w:rPr>
                <w:rFonts w:ascii="Times New Roman" w:hAnsi="Times New Roman" w:cs="Times New Roman"/>
              </w:rPr>
              <w:t>2.79</w:t>
            </w:r>
            <w:r w:rsidRPr="0076719D">
              <w:rPr>
                <w:rFonts w:ascii="Times New Roman" w:hAnsi="Times New Roman" w:cs="Times New Roman"/>
              </w:rPr>
              <w:t>]</w:t>
            </w:r>
          </w:p>
        </w:tc>
        <w:tc>
          <w:tcPr>
            <w:tcW w:w="1440" w:type="dxa"/>
          </w:tcPr>
          <w:p w14:paraId="1DDB76FD" w14:textId="5B217265" w:rsidR="0049757E" w:rsidRPr="0076719D" w:rsidRDefault="005A3D7D" w:rsidP="0049757E">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32</w:t>
            </w:r>
          </w:p>
          <w:p w14:paraId="07709085" w14:textId="2D2E7478" w:rsidR="0049757E" w:rsidRPr="0076719D" w:rsidRDefault="005A3D7D" w:rsidP="0049757E">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92</w:t>
            </w:r>
            <w:r w:rsidRPr="0076719D">
              <w:rPr>
                <w:rFonts w:ascii="Times New Roman" w:hAnsi="Times New Roman" w:cs="Times New Roman"/>
              </w:rPr>
              <w:t>)</w:t>
            </w:r>
          </w:p>
        </w:tc>
        <w:tc>
          <w:tcPr>
            <w:tcW w:w="1440" w:type="dxa"/>
          </w:tcPr>
          <w:p w14:paraId="0464F22C" w14:textId="6A36E905" w:rsidR="008234B6" w:rsidRPr="0076719D" w:rsidRDefault="005A3D7D" w:rsidP="00DD0F52">
            <w:pPr>
              <w:spacing w:line="240" w:lineRule="auto"/>
              <w:jc w:val="center"/>
              <w:rPr>
                <w:rFonts w:ascii="Times New Roman" w:hAnsi="Times New Roman" w:cs="Times New Roman"/>
              </w:rPr>
            </w:pPr>
            <w:r w:rsidRPr="0076719D">
              <w:rPr>
                <w:rFonts w:ascii="Times New Roman" w:hAnsi="Times New Roman" w:cs="Times New Roman"/>
              </w:rPr>
              <w:t>0.</w:t>
            </w:r>
            <w:r w:rsidR="003520BC">
              <w:rPr>
                <w:rFonts w:ascii="Times New Roman" w:hAnsi="Times New Roman" w:cs="Times New Roman"/>
              </w:rPr>
              <w:t>47</w:t>
            </w:r>
          </w:p>
          <w:p w14:paraId="2FAB29C6" w14:textId="77777777" w:rsidR="0049757E" w:rsidRPr="0076719D" w:rsidRDefault="005A3D7D" w:rsidP="00DD0F52">
            <w:pPr>
              <w:spacing w:line="240" w:lineRule="auto"/>
              <w:jc w:val="center"/>
              <w:rPr>
                <w:rFonts w:ascii="Times New Roman" w:hAnsi="Times New Roman" w:cs="Times New Roman"/>
              </w:rPr>
            </w:pPr>
            <w:r w:rsidRPr="0076719D">
              <w:rPr>
                <w:rFonts w:ascii="Times New Roman" w:hAnsi="Times New Roman" w:cs="Times New Roman"/>
              </w:rPr>
              <w:t>[-1.81, 3.38]</w:t>
            </w:r>
          </w:p>
        </w:tc>
      </w:tr>
      <w:tr w:rsidR="00476058" w14:paraId="6C27CBF3" w14:textId="77777777" w:rsidTr="0076719D">
        <w:tc>
          <w:tcPr>
            <w:tcW w:w="2538" w:type="dxa"/>
          </w:tcPr>
          <w:p w14:paraId="27DB1D95" w14:textId="77777777" w:rsidR="0049757E" w:rsidRPr="0076719D" w:rsidRDefault="005A3D7D" w:rsidP="00DD0F52">
            <w:pPr>
              <w:spacing w:line="240" w:lineRule="auto"/>
              <w:rPr>
                <w:rFonts w:ascii="Times New Roman" w:hAnsi="Times New Roman" w:cs="Times New Roman"/>
              </w:rPr>
            </w:pPr>
            <w:r w:rsidRPr="0076719D">
              <w:rPr>
                <w:rFonts w:ascii="Times New Roman" w:hAnsi="Times New Roman" w:cs="Times New Roman"/>
              </w:rPr>
              <w:t>Weight</w:t>
            </w:r>
            <w:r w:rsidRPr="0076719D">
              <w:rPr>
                <w:rFonts w:ascii="Times New Roman" w:hAnsi="Times New Roman" w:cs="Times New Roman"/>
              </w:rPr>
              <w:noBreakHyphen/>
              <w:t>for</w:t>
            </w:r>
            <w:r w:rsidRPr="0076719D">
              <w:rPr>
                <w:rFonts w:ascii="Times New Roman" w:hAnsi="Times New Roman" w:cs="Times New Roman"/>
              </w:rPr>
              <w:noBreakHyphen/>
              <w:t>length z</w:t>
            </w:r>
            <w:r w:rsidRPr="0076719D">
              <w:rPr>
                <w:rFonts w:ascii="Times New Roman" w:hAnsi="Times New Roman" w:cs="Times New Roman"/>
              </w:rPr>
              <w:noBreakHyphen/>
            </w:r>
            <w:r w:rsidRPr="0076719D">
              <w:rPr>
                <w:rFonts w:ascii="Times New Roman" w:hAnsi="Times New Roman" w:cs="Times New Roman"/>
              </w:rPr>
              <w:t>score</w:t>
            </w:r>
          </w:p>
        </w:tc>
        <w:tc>
          <w:tcPr>
            <w:tcW w:w="1080" w:type="dxa"/>
          </w:tcPr>
          <w:p w14:paraId="1C0A9747" w14:textId="57966551" w:rsidR="0049757E" w:rsidRPr="0076719D" w:rsidRDefault="005A3D7D" w:rsidP="00DD0F52">
            <w:pPr>
              <w:spacing w:line="240" w:lineRule="auto"/>
              <w:jc w:val="center"/>
              <w:rPr>
                <w:rFonts w:ascii="Times New Roman" w:hAnsi="Times New Roman" w:cs="Times New Roman"/>
              </w:rPr>
            </w:pPr>
            <w:r>
              <w:rPr>
                <w:rFonts w:ascii="Times New Roman" w:hAnsi="Times New Roman" w:cs="Times New Roman"/>
              </w:rPr>
              <w:t>34</w:t>
            </w:r>
          </w:p>
        </w:tc>
        <w:tc>
          <w:tcPr>
            <w:tcW w:w="1170" w:type="dxa"/>
          </w:tcPr>
          <w:p w14:paraId="5D5A3078" w14:textId="5453365D" w:rsidR="0049757E" w:rsidRPr="0076719D" w:rsidRDefault="005A3D7D" w:rsidP="000C5105">
            <w:pPr>
              <w:spacing w:line="240" w:lineRule="auto"/>
              <w:jc w:val="center"/>
              <w:rPr>
                <w:rFonts w:ascii="Times New Roman" w:hAnsi="Times New Roman" w:cs="Times New Roman"/>
              </w:rPr>
            </w:pPr>
            <w:r w:rsidRPr="0076719D">
              <w:rPr>
                <w:rFonts w:ascii="Times New Roman" w:hAnsi="Times New Roman" w:cs="Times New Roman"/>
                <w:color w:val="000000" w:themeColor="text1"/>
              </w:rPr>
              <w:t>0.</w:t>
            </w:r>
            <w:r w:rsidR="003520BC">
              <w:rPr>
                <w:rFonts w:ascii="Times New Roman" w:hAnsi="Times New Roman" w:cs="Times New Roman"/>
                <w:color w:val="000000" w:themeColor="text1"/>
              </w:rPr>
              <w:t>24</w:t>
            </w:r>
            <w:r w:rsidR="003520BC" w:rsidRPr="0076719D">
              <w:rPr>
                <w:rFonts w:ascii="Times New Roman" w:hAnsi="Times New Roman" w:cs="Times New Roman"/>
                <w:color w:val="000000" w:themeColor="text1"/>
              </w:rPr>
              <w:t xml:space="preserve"> </w:t>
            </w:r>
            <w:r w:rsidRPr="0076719D">
              <w:rPr>
                <w:rFonts w:ascii="Times New Roman" w:hAnsi="Times New Roman" w:cs="Times New Roman"/>
                <w:color w:val="000000" w:themeColor="text1"/>
              </w:rPr>
              <w:t>(</w:t>
            </w:r>
            <w:r w:rsidR="003520BC">
              <w:rPr>
                <w:rFonts w:ascii="Times New Roman" w:hAnsi="Times New Roman" w:cs="Times New Roman"/>
                <w:color w:val="000000" w:themeColor="text1"/>
              </w:rPr>
              <w:t>1.01</w:t>
            </w:r>
            <w:r w:rsidRPr="0076719D">
              <w:rPr>
                <w:rFonts w:ascii="Times New Roman" w:hAnsi="Times New Roman" w:cs="Times New Roman"/>
                <w:color w:val="000000" w:themeColor="text1"/>
              </w:rPr>
              <w:t>)</w:t>
            </w:r>
          </w:p>
        </w:tc>
        <w:tc>
          <w:tcPr>
            <w:tcW w:w="1350" w:type="dxa"/>
          </w:tcPr>
          <w:p w14:paraId="680255D7" w14:textId="17595D83" w:rsidR="008234B6" w:rsidRPr="0076719D" w:rsidRDefault="005A3D7D" w:rsidP="00DD0F52">
            <w:pPr>
              <w:spacing w:line="240" w:lineRule="auto"/>
              <w:jc w:val="center"/>
              <w:rPr>
                <w:rFonts w:ascii="Times New Roman" w:hAnsi="Times New Roman" w:cs="Times New Roman"/>
                <w:color w:val="000000" w:themeColor="text1"/>
              </w:rPr>
            </w:pPr>
            <w:r w:rsidRPr="0076719D">
              <w:rPr>
                <w:rFonts w:ascii="Times New Roman" w:hAnsi="Times New Roman" w:cs="Times New Roman"/>
                <w:color w:val="000000" w:themeColor="text1"/>
              </w:rPr>
              <w:t>0.</w:t>
            </w:r>
            <w:r w:rsidR="003520BC">
              <w:rPr>
                <w:rFonts w:ascii="Times New Roman" w:hAnsi="Times New Roman" w:cs="Times New Roman"/>
                <w:color w:val="000000" w:themeColor="text1"/>
              </w:rPr>
              <w:t>26</w:t>
            </w:r>
          </w:p>
          <w:p w14:paraId="3CA408AD" w14:textId="5A652841" w:rsidR="0049757E" w:rsidRPr="0076719D" w:rsidRDefault="005A3D7D" w:rsidP="00DD0F52">
            <w:pPr>
              <w:spacing w:line="240" w:lineRule="auto"/>
              <w:jc w:val="center"/>
              <w:rPr>
                <w:rFonts w:ascii="Times New Roman" w:hAnsi="Times New Roman" w:cs="Times New Roman"/>
                <w:color w:val="000000" w:themeColor="text1"/>
              </w:rPr>
            </w:pPr>
            <w:r w:rsidRPr="0076719D">
              <w:rPr>
                <w:rFonts w:ascii="Times New Roman" w:hAnsi="Times New Roman" w:cs="Times New Roman"/>
                <w:color w:val="000000" w:themeColor="text1"/>
              </w:rPr>
              <w:t>[-1.</w:t>
            </w:r>
            <w:r w:rsidR="003520BC">
              <w:rPr>
                <w:rFonts w:ascii="Times New Roman" w:hAnsi="Times New Roman" w:cs="Times New Roman"/>
                <w:color w:val="000000" w:themeColor="text1"/>
              </w:rPr>
              <w:t>72</w:t>
            </w:r>
            <w:r w:rsidRPr="0076719D">
              <w:rPr>
                <w:rFonts w:ascii="Times New Roman" w:hAnsi="Times New Roman" w:cs="Times New Roman"/>
                <w:color w:val="000000" w:themeColor="text1"/>
              </w:rPr>
              <w:t>, 2.16]</w:t>
            </w:r>
          </w:p>
        </w:tc>
        <w:tc>
          <w:tcPr>
            <w:tcW w:w="1440" w:type="dxa"/>
          </w:tcPr>
          <w:p w14:paraId="7BED9A14" w14:textId="75C63242" w:rsidR="0049757E" w:rsidRPr="0076719D" w:rsidRDefault="005A3D7D" w:rsidP="0049757E">
            <w:pPr>
              <w:spacing w:line="240" w:lineRule="auto"/>
              <w:jc w:val="center"/>
              <w:rPr>
                <w:rFonts w:ascii="Times New Roman" w:hAnsi="Times New Roman" w:cs="Times New Roman"/>
                <w:color w:val="000000" w:themeColor="text1"/>
              </w:rPr>
            </w:pPr>
            <w:r w:rsidRPr="0076719D">
              <w:rPr>
                <w:rFonts w:ascii="Times New Roman" w:hAnsi="Times New Roman" w:cs="Times New Roman"/>
                <w:color w:val="000000" w:themeColor="text1"/>
              </w:rPr>
              <w:t>0.</w:t>
            </w:r>
            <w:r w:rsidR="003520BC">
              <w:rPr>
                <w:rFonts w:ascii="Times New Roman" w:hAnsi="Times New Roman" w:cs="Times New Roman"/>
                <w:color w:val="000000" w:themeColor="text1"/>
              </w:rPr>
              <w:t>24</w:t>
            </w:r>
          </w:p>
          <w:p w14:paraId="653CEB2C" w14:textId="4F82F65A" w:rsidR="0049757E" w:rsidRPr="0076719D" w:rsidRDefault="005A3D7D" w:rsidP="0049757E">
            <w:pPr>
              <w:spacing w:line="240" w:lineRule="auto"/>
              <w:jc w:val="center"/>
              <w:rPr>
                <w:rFonts w:ascii="Times New Roman" w:hAnsi="Times New Roman" w:cs="Times New Roman"/>
              </w:rPr>
            </w:pPr>
            <w:r w:rsidRPr="0076719D">
              <w:rPr>
                <w:rFonts w:ascii="Times New Roman" w:hAnsi="Times New Roman" w:cs="Times New Roman"/>
                <w:color w:val="000000" w:themeColor="text1"/>
              </w:rPr>
              <w:t>(0.</w:t>
            </w:r>
            <w:r w:rsidR="003520BC">
              <w:rPr>
                <w:rFonts w:ascii="Times New Roman" w:hAnsi="Times New Roman" w:cs="Times New Roman"/>
                <w:color w:val="000000" w:themeColor="text1"/>
              </w:rPr>
              <w:t>98</w:t>
            </w:r>
            <w:r w:rsidRPr="0076719D">
              <w:rPr>
                <w:rFonts w:ascii="Times New Roman" w:hAnsi="Times New Roman" w:cs="Times New Roman"/>
                <w:color w:val="000000" w:themeColor="text1"/>
              </w:rPr>
              <w:t>)</w:t>
            </w:r>
          </w:p>
        </w:tc>
        <w:tc>
          <w:tcPr>
            <w:tcW w:w="1440" w:type="dxa"/>
          </w:tcPr>
          <w:p w14:paraId="6D16E534" w14:textId="6E31B595" w:rsidR="008234B6" w:rsidRPr="0076719D" w:rsidRDefault="005A3D7D" w:rsidP="00DD0F52">
            <w:pPr>
              <w:spacing w:line="240" w:lineRule="auto"/>
              <w:jc w:val="center"/>
              <w:rPr>
                <w:rFonts w:ascii="Times New Roman" w:hAnsi="Times New Roman" w:cs="Times New Roman"/>
                <w:color w:val="000000" w:themeColor="text1"/>
              </w:rPr>
            </w:pPr>
            <w:r w:rsidRPr="0076719D">
              <w:rPr>
                <w:rFonts w:ascii="Times New Roman" w:hAnsi="Times New Roman" w:cs="Times New Roman"/>
                <w:color w:val="000000" w:themeColor="text1"/>
              </w:rPr>
              <w:t>0.</w:t>
            </w:r>
            <w:r w:rsidR="003520BC">
              <w:rPr>
                <w:rFonts w:ascii="Times New Roman" w:hAnsi="Times New Roman" w:cs="Times New Roman"/>
                <w:color w:val="000000" w:themeColor="text1"/>
              </w:rPr>
              <w:t>29</w:t>
            </w:r>
          </w:p>
          <w:p w14:paraId="2263DD26" w14:textId="77777777" w:rsidR="0049757E" w:rsidRPr="0076719D" w:rsidRDefault="005A3D7D" w:rsidP="00DD0F52">
            <w:pPr>
              <w:spacing w:line="240" w:lineRule="auto"/>
              <w:jc w:val="center"/>
              <w:rPr>
                <w:rFonts w:ascii="Times New Roman" w:hAnsi="Times New Roman" w:cs="Times New Roman"/>
                <w:color w:val="000000" w:themeColor="text1"/>
              </w:rPr>
            </w:pPr>
            <w:r w:rsidRPr="0076719D">
              <w:rPr>
                <w:rFonts w:ascii="Times New Roman" w:hAnsi="Times New Roman" w:cs="Times New Roman"/>
                <w:color w:val="000000" w:themeColor="text1"/>
              </w:rPr>
              <w:t>[-2.04, 2.22]</w:t>
            </w:r>
          </w:p>
        </w:tc>
      </w:tr>
    </w:tbl>
    <w:p w14:paraId="4DC81E9D" w14:textId="77777777" w:rsidR="000C5105" w:rsidRDefault="000C5105" w:rsidP="0096289A"/>
    <w:p w14:paraId="114B5843" w14:textId="1E6E4556" w:rsidR="001F42DB" w:rsidRDefault="005A3D7D" w:rsidP="00ED1D45">
      <w:pPr>
        <w:spacing w:line="240" w:lineRule="auto"/>
      </w:pPr>
      <w:r w:rsidRPr="00672DF4">
        <w:t xml:space="preserve">In patients </w:t>
      </w:r>
      <w:r w:rsidR="00F052CF">
        <w:t xml:space="preserve">aged </w:t>
      </w:r>
      <w:r w:rsidR="003520BC">
        <w:t>4 </w:t>
      </w:r>
      <w:r w:rsidR="00F052CF">
        <w:t xml:space="preserve">months to less than 24 months, </w:t>
      </w:r>
      <w:r w:rsidRPr="00672DF4">
        <w:t xml:space="preserve">with both baseline and </w:t>
      </w:r>
      <w:r w:rsidR="004A77BC">
        <w:t>w</w:t>
      </w:r>
      <w:r w:rsidRPr="00672DF4">
        <w:t xml:space="preserve">eek 24 values available, </w:t>
      </w:r>
      <w:r w:rsidR="003520BC">
        <w:t xml:space="preserve">18 </w:t>
      </w:r>
      <w:r w:rsidRPr="00672DF4">
        <w:t xml:space="preserve">patients were pancreatic insufficient at baseline (defined as </w:t>
      </w:r>
      <w:r w:rsidR="00BA40DB">
        <w:t>f</w:t>
      </w:r>
      <w:r w:rsidR="006474CF">
        <w:t>a</w:t>
      </w:r>
      <w:r w:rsidRPr="00672DF4">
        <w:t xml:space="preserve">ecal </w:t>
      </w:r>
      <w:r w:rsidR="00BA40DB">
        <w:t>e</w:t>
      </w:r>
      <w:r w:rsidRPr="00672DF4">
        <w:t>lastase-1 &lt;</w:t>
      </w:r>
      <w:r w:rsidR="00BB2874">
        <w:t> </w:t>
      </w:r>
      <w:r w:rsidRPr="00672DF4">
        <w:t xml:space="preserve">200 µg/g) with mean (SD) </w:t>
      </w:r>
      <w:r w:rsidR="00BA40DB">
        <w:t>f</w:t>
      </w:r>
      <w:r w:rsidR="006474CF">
        <w:t>a</w:t>
      </w:r>
      <w:r w:rsidRPr="00672DF4">
        <w:t xml:space="preserve">ecal </w:t>
      </w:r>
      <w:r w:rsidR="00BA40DB">
        <w:t>e</w:t>
      </w:r>
      <w:r w:rsidRPr="00672DF4">
        <w:t>lastase</w:t>
      </w:r>
      <w:r w:rsidRPr="00672DF4">
        <w:noBreakHyphen/>
        <w:t xml:space="preserve">1 values at baseline and </w:t>
      </w:r>
      <w:r w:rsidR="004A77BC">
        <w:t>w</w:t>
      </w:r>
      <w:r w:rsidRPr="00672DF4">
        <w:t xml:space="preserve">eek 24 of </w:t>
      </w:r>
      <w:r w:rsidR="003520BC">
        <w:t>25.5</w:t>
      </w:r>
      <w:r w:rsidR="006474CF" w:rsidRPr="00672DF4">
        <w:t> µg/g</w:t>
      </w:r>
      <w:r w:rsidRPr="00672DF4">
        <w:t xml:space="preserve"> (</w:t>
      </w:r>
      <w:r w:rsidR="003520BC">
        <w:t>27.6</w:t>
      </w:r>
      <w:r w:rsidRPr="00672DF4">
        <w:t xml:space="preserve">) and </w:t>
      </w:r>
      <w:r w:rsidR="003520BC">
        <w:t>253.6</w:t>
      </w:r>
      <w:r w:rsidR="006474CF" w:rsidRPr="00672DF4">
        <w:t> µg/g</w:t>
      </w:r>
      <w:r w:rsidRPr="00672DF4">
        <w:t xml:space="preserve"> (</w:t>
      </w:r>
      <w:r w:rsidR="003520BC">
        <w:t>128.3</w:t>
      </w:r>
      <w:r w:rsidRPr="00672DF4">
        <w:t xml:space="preserve">), respectively (mean [SD] absolute change </w:t>
      </w:r>
      <w:r w:rsidR="00F052CF">
        <w:t>228.4</w:t>
      </w:r>
      <w:r w:rsidR="003520BC">
        <w:t>1</w:t>
      </w:r>
      <w:r w:rsidR="006474CF" w:rsidRPr="00672DF4">
        <w:t> µg/g</w:t>
      </w:r>
      <w:r w:rsidRPr="00672DF4">
        <w:t xml:space="preserve"> [</w:t>
      </w:r>
      <w:r w:rsidR="003520BC">
        <w:t>128.3</w:t>
      </w:r>
      <w:r w:rsidR="00F052CF">
        <w:t>]).</w:t>
      </w:r>
      <w:r w:rsidR="008936DB">
        <w:t xml:space="preserve"> Results were consistent in the </w:t>
      </w:r>
      <w:r w:rsidR="008936DB" w:rsidRPr="004160BC">
        <w:t>12</w:t>
      </w:r>
      <w:r w:rsidR="008936DB">
        <w:t> </w:t>
      </w:r>
      <w:r w:rsidR="008936DB" w:rsidRPr="004160BC">
        <w:t>months to less than 24 months</w:t>
      </w:r>
      <w:r w:rsidR="003520BC">
        <w:t>,</w:t>
      </w:r>
      <w:r w:rsidR="008936DB">
        <w:t xml:space="preserve"> 6 months to less than 12 months</w:t>
      </w:r>
      <w:r w:rsidR="003520BC">
        <w:t>, and 4 months to less than 6 months</w:t>
      </w:r>
      <w:r w:rsidR="008936DB">
        <w:t xml:space="preserve"> age cohorts.</w:t>
      </w:r>
    </w:p>
    <w:p w14:paraId="1285B30C" w14:textId="77777777" w:rsidR="00F052CF" w:rsidRPr="00A808AC" w:rsidRDefault="00F052CF" w:rsidP="00096B0E">
      <w:pPr>
        <w:spacing w:line="240" w:lineRule="auto"/>
      </w:pPr>
    </w:p>
    <w:p w14:paraId="2E328962" w14:textId="77777777" w:rsidR="00096B0E" w:rsidRDefault="005A3D7D" w:rsidP="00096B0E">
      <w:pPr>
        <w:spacing w:line="240" w:lineRule="auto"/>
        <w:rPr>
          <w:u w:val="single"/>
        </w:rPr>
      </w:pPr>
      <w:r w:rsidRPr="00A808AC">
        <w:rPr>
          <w:u w:val="single"/>
        </w:rPr>
        <w:t>Paediatric population</w:t>
      </w:r>
    </w:p>
    <w:p w14:paraId="63CD4D04" w14:textId="77777777" w:rsidR="00487EC4" w:rsidRPr="00A808AC" w:rsidRDefault="00487EC4" w:rsidP="00096B0E">
      <w:pPr>
        <w:spacing w:line="240" w:lineRule="auto"/>
        <w:rPr>
          <w:u w:val="single"/>
        </w:rPr>
      </w:pPr>
    </w:p>
    <w:p w14:paraId="5610792E" w14:textId="77777777" w:rsidR="00096B0E" w:rsidRDefault="005A3D7D" w:rsidP="00096B0E">
      <w:pPr>
        <w:spacing w:line="240" w:lineRule="auto"/>
      </w:pPr>
      <w:r w:rsidRPr="00A808AC">
        <w:t>The European Medicine</w:t>
      </w:r>
      <w:r w:rsidRPr="00A808AC">
        <w:t xml:space="preserve">s Agency has deferred the obligation to submit the results of studies with </w:t>
      </w:r>
      <w:r w:rsidR="007C74DF">
        <w:t>Kalydeco</w:t>
      </w:r>
      <w:r w:rsidRPr="00A808AC">
        <w:t xml:space="preserve"> in one or more subsets of the paediatric population in cystic fibrosis</w:t>
      </w:r>
      <w:r w:rsidR="003C48BA" w:rsidRPr="00A808AC">
        <w:t xml:space="preserve"> (s</w:t>
      </w:r>
      <w:r w:rsidRPr="00A808AC">
        <w:t>ee section 4.2 for information on paediatric use</w:t>
      </w:r>
      <w:r w:rsidR="003C48BA" w:rsidRPr="00A808AC">
        <w:t>)</w:t>
      </w:r>
      <w:r w:rsidRPr="00A808AC">
        <w:t>.</w:t>
      </w:r>
    </w:p>
    <w:p w14:paraId="5105B4AC" w14:textId="77777777" w:rsidR="00096B0E" w:rsidRPr="00A808AC" w:rsidRDefault="00096B0E" w:rsidP="001F42DB"/>
    <w:p w14:paraId="62F117F4" w14:textId="77777777" w:rsidR="00096B0E" w:rsidRPr="009F5980" w:rsidRDefault="005A3D7D" w:rsidP="00A0798C">
      <w:pPr>
        <w:pStyle w:val="Heading2"/>
        <w:spacing w:before="0" w:after="0"/>
        <w:rPr>
          <w:b w:val="0"/>
        </w:rPr>
      </w:pPr>
      <w:r w:rsidRPr="009F5980">
        <w:rPr>
          <w:sz w:val="22"/>
        </w:rPr>
        <w:t>5.2</w:t>
      </w:r>
      <w:r w:rsidRPr="009F5980">
        <w:rPr>
          <w:sz w:val="22"/>
        </w:rPr>
        <w:tab/>
        <w:t>Pharmacokinetic properties</w:t>
      </w:r>
    </w:p>
    <w:p w14:paraId="5630D3F1" w14:textId="77777777" w:rsidR="00096B0E" w:rsidRPr="009F5980" w:rsidRDefault="00096B0E" w:rsidP="000A093B">
      <w:pPr>
        <w:keepNext/>
        <w:spacing w:line="240" w:lineRule="auto"/>
      </w:pPr>
    </w:p>
    <w:p w14:paraId="2A3F9866" w14:textId="77777777" w:rsidR="00096B0E" w:rsidRPr="00A808AC" w:rsidRDefault="005A3D7D" w:rsidP="000A093B">
      <w:pPr>
        <w:keepNext/>
        <w:spacing w:line="240" w:lineRule="auto"/>
        <w:rPr>
          <w:rFonts w:eastAsia="MS Mincho"/>
          <w:lang w:val="en-US" w:eastAsia="ja-JP"/>
        </w:rPr>
      </w:pPr>
      <w:r w:rsidRPr="00A808AC">
        <w:rPr>
          <w:rFonts w:eastAsia="MS Mincho"/>
          <w:lang w:val="en-US" w:eastAsia="ja-JP"/>
        </w:rPr>
        <w:t>Th</w:t>
      </w:r>
      <w:r w:rsidR="006B4C81" w:rsidRPr="00A808AC">
        <w:rPr>
          <w:rFonts w:eastAsia="MS Mincho"/>
          <w:lang w:val="en-US" w:eastAsia="ja-JP"/>
        </w:rPr>
        <w:t xml:space="preserve">e pharmacokinetics of ivacaftor </w:t>
      </w:r>
      <w:r w:rsidRPr="00A808AC">
        <w:rPr>
          <w:rFonts w:eastAsia="MS Mincho"/>
          <w:lang w:val="en-US" w:eastAsia="ja-JP"/>
        </w:rPr>
        <w:t>are similar between healthy adult volunteers and patients with CF.</w:t>
      </w:r>
    </w:p>
    <w:p w14:paraId="64C63E58" w14:textId="77777777" w:rsidR="00096B0E" w:rsidRPr="00A808AC" w:rsidRDefault="00096B0E" w:rsidP="00BA47B4">
      <w:pPr>
        <w:spacing w:line="240" w:lineRule="auto"/>
        <w:rPr>
          <w:rFonts w:eastAsia="MS Mincho"/>
          <w:lang w:val="en-US" w:eastAsia="ja-JP"/>
        </w:rPr>
      </w:pPr>
    </w:p>
    <w:p w14:paraId="2452A623" w14:textId="77777777" w:rsidR="00096B0E" w:rsidRPr="00A808AC" w:rsidRDefault="005A3D7D" w:rsidP="009F5980">
      <w:pPr>
        <w:spacing w:line="240" w:lineRule="auto"/>
        <w:rPr>
          <w:rFonts w:eastAsia="MS Mincho"/>
          <w:lang w:val="en-US" w:eastAsia="ja-JP"/>
        </w:rPr>
      </w:pPr>
      <w:r w:rsidRPr="00A808AC">
        <w:rPr>
          <w:rFonts w:eastAsia="MS Mincho"/>
          <w:lang w:val="en-US" w:eastAsia="ja-JP"/>
        </w:rPr>
        <w:t>After oral administration of a single 150 mg dose to healthy volunteers in a fed state, the mean (±</w:t>
      </w:r>
      <w:r w:rsidR="00CE76B9">
        <w:rPr>
          <w:rFonts w:eastAsia="MS Mincho"/>
          <w:lang w:val="en-US" w:eastAsia="ja-JP"/>
        </w:rPr>
        <w:t> </w:t>
      </w:r>
      <w:r w:rsidRPr="00A808AC">
        <w:rPr>
          <w:rFonts w:eastAsia="MS Mincho"/>
          <w:lang w:val="en-US" w:eastAsia="ja-JP"/>
        </w:rPr>
        <w:t>SD) for AUC and C</w:t>
      </w:r>
      <w:r w:rsidRPr="00A808AC">
        <w:rPr>
          <w:rFonts w:eastAsia="MS Mincho"/>
          <w:vertAlign w:val="subscript"/>
          <w:lang w:val="en-US" w:eastAsia="ja-JP"/>
        </w:rPr>
        <w:t>max</w:t>
      </w:r>
      <w:r w:rsidRPr="00A808AC">
        <w:rPr>
          <w:rFonts w:eastAsia="MS Mincho"/>
          <w:lang w:val="en-US" w:eastAsia="ja-JP"/>
        </w:rPr>
        <w:t xml:space="preserve"> were 10600 (5260) ng*hr</w:t>
      </w:r>
      <w:r w:rsidRPr="00A808AC">
        <w:rPr>
          <w:rFonts w:eastAsia="MS Mincho"/>
          <w:lang w:val="en-US" w:eastAsia="ja-JP"/>
        </w:rPr>
        <w:t>/mL and 768 (233) ng/mL, respectively. After every 12</w:t>
      </w:r>
      <w:r w:rsidR="007178AD" w:rsidRPr="00A808AC">
        <w:rPr>
          <w:rFonts w:eastAsia="MS Mincho"/>
          <w:lang w:val="en-US" w:eastAsia="ja-JP"/>
        </w:rPr>
        <w:noBreakHyphen/>
      </w:r>
      <w:r w:rsidRPr="00A808AC">
        <w:rPr>
          <w:rFonts w:eastAsia="MS Mincho"/>
          <w:lang w:val="en-US" w:eastAsia="ja-JP"/>
        </w:rPr>
        <w:t xml:space="preserve">hour dosing, steady-state plasma concentrations of ivacaftor were reached by </w:t>
      </w:r>
      <w:r w:rsidR="00E347A4">
        <w:rPr>
          <w:rFonts w:eastAsia="MS Mincho"/>
          <w:lang w:val="en-US" w:eastAsia="ja-JP"/>
        </w:rPr>
        <w:t>d</w:t>
      </w:r>
      <w:r w:rsidR="00C53F51" w:rsidRPr="00A808AC">
        <w:rPr>
          <w:rFonts w:eastAsia="MS Mincho"/>
          <w:lang w:val="en-US" w:eastAsia="ja-JP"/>
        </w:rPr>
        <w:t>ays </w:t>
      </w:r>
      <w:r w:rsidRPr="00A808AC">
        <w:rPr>
          <w:rFonts w:eastAsia="MS Mincho"/>
          <w:lang w:val="en-US" w:eastAsia="ja-JP"/>
        </w:rPr>
        <w:t>3 to 5, with an accumulation ratio ranging from 2.2 to 2.9.</w:t>
      </w:r>
    </w:p>
    <w:p w14:paraId="11BC6356" w14:textId="77777777" w:rsidR="00096B0E" w:rsidRPr="00A808AC" w:rsidRDefault="00096B0E" w:rsidP="00ED1D45">
      <w:pPr>
        <w:spacing w:line="240" w:lineRule="auto"/>
      </w:pPr>
    </w:p>
    <w:p w14:paraId="033B8CD3" w14:textId="77777777" w:rsidR="00096B0E" w:rsidRDefault="005A3D7D" w:rsidP="000A093B">
      <w:pPr>
        <w:keepNext/>
        <w:spacing w:line="240" w:lineRule="auto"/>
        <w:rPr>
          <w:u w:val="single"/>
        </w:rPr>
      </w:pPr>
      <w:r w:rsidRPr="00ED1D45">
        <w:rPr>
          <w:u w:val="single"/>
        </w:rPr>
        <w:t>Absorption</w:t>
      </w:r>
    </w:p>
    <w:p w14:paraId="1E961F12" w14:textId="77777777" w:rsidR="00487EC4" w:rsidRPr="00ED1D45" w:rsidRDefault="00487EC4" w:rsidP="000A093B">
      <w:pPr>
        <w:keepNext/>
        <w:spacing w:line="240" w:lineRule="auto"/>
        <w:rPr>
          <w:u w:val="single"/>
        </w:rPr>
      </w:pPr>
    </w:p>
    <w:p w14:paraId="0032B3A9" w14:textId="2D07B521" w:rsidR="00096B0E" w:rsidRPr="00BA47B4" w:rsidRDefault="005A3D7D" w:rsidP="000A093B">
      <w:pPr>
        <w:keepNext/>
        <w:spacing w:line="240" w:lineRule="auto"/>
      </w:pPr>
      <w:r w:rsidRPr="00BA47B4">
        <w:t>Following multiple oral dose administrations of</w:t>
      </w:r>
      <w:r w:rsidRPr="00BA47B4">
        <w:t xml:space="preserve"> ivacaftor, the exposure of ivacaftor generally increased with dose from 25 mg every 12 hours to 450 mg every 12 hours. </w:t>
      </w:r>
      <w:r w:rsidR="004F506C">
        <w:t>When given with fat-containing food t</w:t>
      </w:r>
      <w:r w:rsidRPr="00BA47B4">
        <w:t>he exposure of ivacaftor increased approximately 2.5- to 4</w:t>
      </w:r>
      <w:r w:rsidR="007178AD" w:rsidRPr="006C4477">
        <w:noBreakHyphen/>
      </w:r>
      <w:r w:rsidRPr="009F5980">
        <w:t xml:space="preserve">fold. </w:t>
      </w:r>
      <w:r w:rsidR="00B40608">
        <w:t>Therefore, i</w:t>
      </w:r>
      <w:r w:rsidRPr="009F5980">
        <w:t>vacaftor should be adm</w:t>
      </w:r>
      <w:r w:rsidRPr="009F5980">
        <w:t>inistered with fat</w:t>
      </w:r>
      <w:r w:rsidR="007178AD" w:rsidRPr="009F5980">
        <w:noBreakHyphen/>
      </w:r>
      <w:r w:rsidRPr="009F5980">
        <w:t xml:space="preserve">containing food. The median (range) </w:t>
      </w:r>
      <w:r w:rsidR="001A7EA3" w:rsidRPr="009F5980">
        <w:t>t</w:t>
      </w:r>
      <w:r w:rsidRPr="009F5980">
        <w:rPr>
          <w:vertAlign w:val="subscript"/>
        </w:rPr>
        <w:t>max</w:t>
      </w:r>
      <w:r w:rsidR="00FB0040" w:rsidRPr="007B0741">
        <w:rPr>
          <w:vertAlign w:val="subscript"/>
        </w:rPr>
        <w:t xml:space="preserve"> </w:t>
      </w:r>
      <w:r w:rsidRPr="00ED1D45">
        <w:t>is approximately 4.0 (3.0; 6.0) hours in the fed state.</w:t>
      </w:r>
    </w:p>
    <w:p w14:paraId="342314C4" w14:textId="77777777" w:rsidR="00096B0E" w:rsidRPr="00BA47B4" w:rsidRDefault="00096B0E" w:rsidP="009F5980">
      <w:pPr>
        <w:spacing w:line="240" w:lineRule="auto"/>
        <w:rPr>
          <w:u w:val="single"/>
        </w:rPr>
      </w:pPr>
    </w:p>
    <w:p w14:paraId="40E069CA" w14:textId="77777777" w:rsidR="00096B0E" w:rsidRPr="00A808AC" w:rsidRDefault="005A3D7D" w:rsidP="009F5980">
      <w:pPr>
        <w:spacing w:line="240" w:lineRule="auto"/>
        <w:rPr>
          <w:bCs/>
        </w:rPr>
      </w:pPr>
      <w:r w:rsidRPr="00A808AC">
        <w:rPr>
          <w:bCs/>
        </w:rPr>
        <w:t>Ivacaftor granules (2 x 75</w:t>
      </w:r>
      <w:r w:rsidRPr="00A808AC">
        <w:t> </w:t>
      </w:r>
      <w:r w:rsidRPr="00A808AC">
        <w:rPr>
          <w:bCs/>
        </w:rPr>
        <w:t>mg sachets) had similar bioavailability as the 150</w:t>
      </w:r>
      <w:r w:rsidRPr="00A808AC">
        <w:t> </w:t>
      </w:r>
      <w:r w:rsidRPr="00A808AC">
        <w:rPr>
          <w:bCs/>
        </w:rPr>
        <w:t xml:space="preserve">mg tablet when given with fat-containing food to </w:t>
      </w:r>
      <w:r w:rsidRPr="00A808AC">
        <w:rPr>
          <w:bCs/>
        </w:rPr>
        <w:t>healthy adult subjects. The geometric least squares mean ratio (90% CI) for the granules relative to tablets was 0.951 (0.839, 1.08) for AUC</w:t>
      </w:r>
      <w:r w:rsidRPr="00A808AC">
        <w:rPr>
          <w:bCs/>
          <w:vertAlign w:val="subscript"/>
        </w:rPr>
        <w:t>0-∞</w:t>
      </w:r>
      <w:r w:rsidRPr="00A808AC">
        <w:rPr>
          <w:bCs/>
        </w:rPr>
        <w:t xml:space="preserve"> and 0.918 (0.750, 1.12) for C</w:t>
      </w:r>
      <w:r w:rsidRPr="00A808AC">
        <w:rPr>
          <w:bCs/>
          <w:vertAlign w:val="subscript"/>
        </w:rPr>
        <w:t>max</w:t>
      </w:r>
      <w:r w:rsidRPr="00A808AC">
        <w:rPr>
          <w:bCs/>
        </w:rPr>
        <w:t>. The effect of food on ivacaftor absorption is similar for both formulations, i</w:t>
      </w:r>
      <w:r w:rsidRPr="00A808AC">
        <w:rPr>
          <w:bCs/>
        </w:rPr>
        <w:t>.e., tablets and granules.</w:t>
      </w:r>
    </w:p>
    <w:p w14:paraId="7C47304A" w14:textId="77777777" w:rsidR="00096B0E" w:rsidRPr="00A808AC" w:rsidRDefault="00096B0E" w:rsidP="009F5980">
      <w:pPr>
        <w:spacing w:line="240" w:lineRule="auto"/>
        <w:rPr>
          <w:bCs/>
        </w:rPr>
      </w:pPr>
    </w:p>
    <w:p w14:paraId="521472C7" w14:textId="77777777" w:rsidR="00096B0E" w:rsidRDefault="005A3D7D" w:rsidP="000A093B">
      <w:pPr>
        <w:keepNext/>
        <w:numPr>
          <w:ilvl w:val="12"/>
          <w:numId w:val="0"/>
        </w:numPr>
        <w:suppressLineNumbers/>
        <w:spacing w:line="240" w:lineRule="auto"/>
        <w:ind w:right="-2"/>
        <w:rPr>
          <w:u w:val="single"/>
        </w:rPr>
      </w:pPr>
      <w:r w:rsidRPr="00A808AC">
        <w:rPr>
          <w:u w:val="single"/>
        </w:rPr>
        <w:t>Distribution</w:t>
      </w:r>
    </w:p>
    <w:p w14:paraId="75842BB5" w14:textId="77777777" w:rsidR="00487EC4" w:rsidRPr="00A808AC" w:rsidRDefault="00487EC4" w:rsidP="000A093B">
      <w:pPr>
        <w:keepNext/>
        <w:numPr>
          <w:ilvl w:val="12"/>
          <w:numId w:val="0"/>
        </w:numPr>
        <w:suppressLineNumbers/>
        <w:spacing w:line="240" w:lineRule="auto"/>
        <w:ind w:right="-2"/>
        <w:rPr>
          <w:u w:val="single"/>
        </w:rPr>
      </w:pPr>
    </w:p>
    <w:p w14:paraId="6A8DC2C6" w14:textId="4C7F8C21" w:rsidR="00096B0E" w:rsidRPr="00BA47B4" w:rsidRDefault="005A3D7D" w:rsidP="000A093B">
      <w:pPr>
        <w:keepNext/>
        <w:spacing w:line="240" w:lineRule="auto"/>
      </w:pPr>
      <w:r w:rsidRPr="00ED1D45">
        <w:t>I</w:t>
      </w:r>
      <w:r w:rsidRPr="00BA47B4">
        <w:t>vacaftor is approximately 99% bound to plasma proteins, primarily to alpha 1</w:t>
      </w:r>
      <w:r w:rsidR="007178AD" w:rsidRPr="006C4477">
        <w:noBreakHyphen/>
      </w:r>
      <w:r w:rsidRPr="009F5980">
        <w:t>acid glycoprotein and albumin. Ivacaftor does not bind to human red blood cells.</w:t>
      </w:r>
      <w:r w:rsidR="00B40608">
        <w:t xml:space="preserve"> </w:t>
      </w:r>
      <w:r w:rsidRPr="009F5980">
        <w:t xml:space="preserve">After oral administration of </w:t>
      </w:r>
      <w:r w:rsidR="008E6849" w:rsidRPr="009F5980">
        <w:t xml:space="preserve">ivacaftor </w:t>
      </w:r>
      <w:r w:rsidRPr="009F5980">
        <w:t>150 mg every 12 hours for 7 days in healthy volunteers in a fed state, the mean (±</w:t>
      </w:r>
      <w:r w:rsidR="00CE76B9">
        <w:t> </w:t>
      </w:r>
      <w:r w:rsidRPr="00ED1D45">
        <w:t xml:space="preserve">SD) apparent volume of distribution was 353 </w:t>
      </w:r>
      <w:r w:rsidR="00B40608" w:rsidRPr="00ED1D45">
        <w:t xml:space="preserve">L </w:t>
      </w:r>
      <w:r w:rsidRPr="00ED1D45">
        <w:t>(122) .</w:t>
      </w:r>
    </w:p>
    <w:p w14:paraId="5B76283B" w14:textId="77777777" w:rsidR="00096B0E" w:rsidRPr="00BA47B4" w:rsidRDefault="00096B0E" w:rsidP="009F5980">
      <w:pPr>
        <w:spacing w:line="240" w:lineRule="auto"/>
      </w:pPr>
    </w:p>
    <w:p w14:paraId="5EF23467" w14:textId="77777777" w:rsidR="00096B0E" w:rsidRDefault="005A3D7D" w:rsidP="000A093B">
      <w:pPr>
        <w:keepNext/>
        <w:spacing w:line="240" w:lineRule="auto"/>
        <w:rPr>
          <w:u w:val="single"/>
        </w:rPr>
      </w:pPr>
      <w:r w:rsidRPr="00695508">
        <w:rPr>
          <w:u w:val="single"/>
        </w:rPr>
        <w:t>Biotransformation</w:t>
      </w:r>
    </w:p>
    <w:p w14:paraId="0CD12C83" w14:textId="77777777" w:rsidR="00487EC4" w:rsidRPr="00ED1D45" w:rsidRDefault="00487EC4" w:rsidP="000A093B">
      <w:pPr>
        <w:keepNext/>
        <w:spacing w:line="240" w:lineRule="auto"/>
        <w:rPr>
          <w:i/>
          <w:u w:val="single"/>
        </w:rPr>
      </w:pPr>
    </w:p>
    <w:p w14:paraId="4FA54FF1" w14:textId="77777777" w:rsidR="00096B0E" w:rsidRPr="009F5980" w:rsidRDefault="005A3D7D" w:rsidP="000A093B">
      <w:pPr>
        <w:keepNext/>
        <w:spacing w:line="240" w:lineRule="auto"/>
        <w:rPr>
          <w:i/>
        </w:rPr>
      </w:pPr>
      <w:r w:rsidRPr="00BA47B4">
        <w:t xml:space="preserve">Ivacaftor is extensively metabolised in humans. </w:t>
      </w:r>
      <w:r w:rsidRPr="00BA47B4">
        <w:rPr>
          <w:i/>
        </w:rPr>
        <w:t>In</w:t>
      </w:r>
      <w:r w:rsidR="00C35A66" w:rsidRPr="006C4477">
        <w:rPr>
          <w:i/>
        </w:rPr>
        <w:t> </w:t>
      </w:r>
      <w:r w:rsidRPr="009F5980">
        <w:rPr>
          <w:i/>
        </w:rPr>
        <w:t>vitro</w:t>
      </w:r>
      <w:r w:rsidRPr="009F5980">
        <w:t xml:space="preserve"> and</w:t>
      </w:r>
      <w:r w:rsidRPr="009F5980">
        <w:t xml:space="preserve"> </w:t>
      </w:r>
      <w:r w:rsidRPr="009F5980">
        <w:rPr>
          <w:i/>
        </w:rPr>
        <w:t>in</w:t>
      </w:r>
      <w:r w:rsidR="00C35A66" w:rsidRPr="009F5980">
        <w:rPr>
          <w:i/>
        </w:rPr>
        <w:t> </w:t>
      </w:r>
      <w:r w:rsidRPr="009F5980">
        <w:rPr>
          <w:i/>
        </w:rPr>
        <w:t>vivo</w:t>
      </w:r>
      <w:r w:rsidRPr="009F5980">
        <w:t xml:space="preserve"> data indicate that ivacaftor is </w:t>
      </w:r>
      <w:r w:rsidR="00C35A66" w:rsidRPr="009F5980">
        <w:t xml:space="preserve">primarily metabolised by CYP3A. </w:t>
      </w:r>
      <w:r w:rsidRPr="009F5980">
        <w:t>M1 and M6 are the two major metabolites of ivacaftor in humans. M1 has approximately one</w:t>
      </w:r>
      <w:r w:rsidR="007178AD" w:rsidRPr="009F5980">
        <w:noBreakHyphen/>
      </w:r>
      <w:r w:rsidRPr="009F5980">
        <w:t xml:space="preserve">sixth the potency of ivacaftor and is considered pharmacologically active. M6 has less </w:t>
      </w:r>
      <w:r w:rsidRPr="009F5980">
        <w:t>than one</w:t>
      </w:r>
      <w:r w:rsidR="007178AD" w:rsidRPr="009F5980">
        <w:noBreakHyphen/>
      </w:r>
      <w:r w:rsidRPr="009F5980">
        <w:t>fiftieth the potency of ivacaftor and is not considered pharmacologically active.</w:t>
      </w:r>
    </w:p>
    <w:p w14:paraId="13F8ACCA" w14:textId="77777777" w:rsidR="00096B0E" w:rsidRDefault="00096B0E" w:rsidP="005F590B">
      <w:pPr>
        <w:numPr>
          <w:ilvl w:val="12"/>
          <w:numId w:val="0"/>
        </w:numPr>
        <w:suppressLineNumbers/>
        <w:spacing w:line="240" w:lineRule="auto"/>
        <w:ind w:right="-2"/>
        <w:rPr>
          <w:u w:val="single"/>
          <w:lang w:val="en-US"/>
        </w:rPr>
      </w:pPr>
    </w:p>
    <w:p w14:paraId="46098BDD" w14:textId="36979D57" w:rsidR="00224D9A" w:rsidRPr="006C4477" w:rsidRDefault="005A3D7D" w:rsidP="009F5980">
      <w:pPr>
        <w:spacing w:line="240" w:lineRule="auto"/>
      </w:pPr>
      <w:r>
        <w:t xml:space="preserve">The effect of the CYP3A4*22 </w:t>
      </w:r>
      <w:r w:rsidR="006F0464">
        <w:t>het</w:t>
      </w:r>
      <w:r w:rsidR="0052640C">
        <w:t>erozygous</w:t>
      </w:r>
      <w:r>
        <w:t xml:space="preserve"> genotype on ivacaftor exposure is consistent with the effect of co-administration of a weak CYP3A4 inhibitor, which is not </w:t>
      </w:r>
      <w:r>
        <w:t>clinically relevant. No dose adjustment of ivacaftor is considered necessary. The effect of CYP3A4*22 homozygous genotype patients is expected to be stronger. However, no data are available for such patients.</w:t>
      </w:r>
    </w:p>
    <w:p w14:paraId="774765E3" w14:textId="77777777" w:rsidR="00224D9A" w:rsidRPr="00A808AC" w:rsidRDefault="00224D9A" w:rsidP="005F590B">
      <w:pPr>
        <w:numPr>
          <w:ilvl w:val="12"/>
          <w:numId w:val="0"/>
        </w:numPr>
        <w:suppressLineNumbers/>
        <w:spacing w:line="240" w:lineRule="auto"/>
        <w:ind w:right="-2"/>
        <w:rPr>
          <w:u w:val="single"/>
          <w:lang w:val="en-US"/>
        </w:rPr>
      </w:pPr>
    </w:p>
    <w:p w14:paraId="091CB60C" w14:textId="77777777" w:rsidR="00096B0E" w:rsidRDefault="005A3D7D" w:rsidP="000A093B">
      <w:pPr>
        <w:keepNext/>
        <w:numPr>
          <w:ilvl w:val="12"/>
          <w:numId w:val="0"/>
        </w:numPr>
        <w:suppressLineNumbers/>
        <w:spacing w:line="240" w:lineRule="auto"/>
        <w:rPr>
          <w:u w:val="single"/>
        </w:rPr>
      </w:pPr>
      <w:r w:rsidRPr="00A808AC">
        <w:rPr>
          <w:u w:val="single"/>
        </w:rPr>
        <w:t>Elimination</w:t>
      </w:r>
    </w:p>
    <w:p w14:paraId="2D809226" w14:textId="77777777" w:rsidR="00487EC4" w:rsidRPr="00A808AC" w:rsidRDefault="00487EC4" w:rsidP="000A093B">
      <w:pPr>
        <w:keepNext/>
        <w:numPr>
          <w:ilvl w:val="12"/>
          <w:numId w:val="0"/>
        </w:numPr>
        <w:suppressLineNumbers/>
        <w:spacing w:line="240" w:lineRule="auto"/>
        <w:rPr>
          <w:u w:val="single"/>
        </w:rPr>
      </w:pPr>
    </w:p>
    <w:p w14:paraId="38738097" w14:textId="77777777" w:rsidR="00096B0E" w:rsidRPr="009F5980" w:rsidRDefault="005A3D7D" w:rsidP="000A093B">
      <w:pPr>
        <w:keepNext/>
        <w:spacing w:line="240" w:lineRule="auto"/>
      </w:pPr>
      <w:r w:rsidRPr="00ED1D45">
        <w:t>Following oral administration</w:t>
      </w:r>
      <w:r w:rsidR="008E6849" w:rsidRPr="00BA47B4">
        <w:t xml:space="preserve"> in healthy volunteers</w:t>
      </w:r>
      <w:r w:rsidRPr="00BA47B4">
        <w:t>, the majority of ivacaftor (87.8%) was eliminated in the faeces after metabolic conversion. The</w:t>
      </w:r>
      <w:r w:rsidRPr="006C4477">
        <w:t xml:space="preserve"> major metabolites M1 and M6 accounted for approximately 65% of the total dose eliminated with 22% as M1 and 43% as M6. There was negligible u</w:t>
      </w:r>
      <w:r w:rsidRPr="006C4477">
        <w:t xml:space="preserve">rinary excretion of ivacaftor as unchanged parent. The apparent terminal </w:t>
      </w:r>
      <w:r w:rsidRPr="009F5980">
        <w:t>half</w:t>
      </w:r>
      <w:r w:rsidR="007178AD" w:rsidRPr="009F5980">
        <w:noBreakHyphen/>
      </w:r>
      <w:r w:rsidRPr="009F5980">
        <w:t>life was approximately 12 hours following a single dose in the fed state. The apparent clearance (CL/F) of ivacaftor was similar for healthy subjects and patients with CF. The me</w:t>
      </w:r>
      <w:r w:rsidRPr="009F5980">
        <w:t>an (±SD) CL/F for a single 150 mg dose was 17.3 (8.4) L/hr in healthy subjects.</w:t>
      </w:r>
    </w:p>
    <w:p w14:paraId="4218F0F4" w14:textId="77777777" w:rsidR="00096B0E" w:rsidRPr="009F5980" w:rsidRDefault="00096B0E" w:rsidP="009F5980">
      <w:pPr>
        <w:spacing w:line="240" w:lineRule="auto"/>
        <w:rPr>
          <w:u w:val="single"/>
        </w:rPr>
      </w:pPr>
    </w:p>
    <w:p w14:paraId="51E0A126" w14:textId="77777777" w:rsidR="00096B0E" w:rsidRPr="009F5980" w:rsidRDefault="005A3D7D" w:rsidP="000A093B">
      <w:pPr>
        <w:keepNext/>
        <w:spacing w:line="240" w:lineRule="auto"/>
        <w:rPr>
          <w:u w:val="single"/>
        </w:rPr>
      </w:pPr>
      <w:r w:rsidRPr="009F5980">
        <w:rPr>
          <w:u w:val="single"/>
        </w:rPr>
        <w:t>Linearity/non</w:t>
      </w:r>
      <w:r w:rsidR="005937F8" w:rsidRPr="009F5980">
        <w:rPr>
          <w:u w:val="single"/>
        </w:rPr>
        <w:noBreakHyphen/>
      </w:r>
      <w:r w:rsidRPr="009F5980">
        <w:rPr>
          <w:u w:val="single"/>
        </w:rPr>
        <w:t>linearity</w:t>
      </w:r>
    </w:p>
    <w:p w14:paraId="319306D9" w14:textId="77777777" w:rsidR="00487EC4" w:rsidRPr="00A808AC" w:rsidRDefault="00487EC4" w:rsidP="000A093B">
      <w:pPr>
        <w:keepNext/>
        <w:spacing w:line="240" w:lineRule="auto"/>
        <w:rPr>
          <w:u w:val="single"/>
        </w:rPr>
      </w:pPr>
    </w:p>
    <w:p w14:paraId="707A76B7" w14:textId="77777777" w:rsidR="00096B0E" w:rsidRPr="006C4477" w:rsidRDefault="005A3D7D" w:rsidP="000A093B">
      <w:pPr>
        <w:keepNext/>
        <w:spacing w:line="240" w:lineRule="auto"/>
      </w:pPr>
      <w:r w:rsidRPr="00ED1D45">
        <w:t xml:space="preserve">The </w:t>
      </w:r>
      <w:r w:rsidRPr="00BA47B4">
        <w:t>pharmacokinetics of ivacaftor are generally linear with respect to time or dose ranging from 25 mg to 250 mg.</w:t>
      </w:r>
    </w:p>
    <w:p w14:paraId="25293A0D" w14:textId="77777777" w:rsidR="00096B0E" w:rsidRPr="009F5980" w:rsidRDefault="00096B0E" w:rsidP="009F5980">
      <w:pPr>
        <w:spacing w:line="240" w:lineRule="auto"/>
      </w:pPr>
    </w:p>
    <w:p w14:paraId="39A4CA08" w14:textId="77777777" w:rsidR="00DD39DD" w:rsidRDefault="005A3D7D" w:rsidP="00DD1609">
      <w:pPr>
        <w:keepNext/>
        <w:keepLines/>
        <w:spacing w:line="240" w:lineRule="auto"/>
        <w:rPr>
          <w:u w:val="single"/>
        </w:rPr>
      </w:pPr>
      <w:r w:rsidRPr="00CC35F5">
        <w:rPr>
          <w:u w:val="single"/>
        </w:rPr>
        <w:t>Special populations</w:t>
      </w:r>
    </w:p>
    <w:p w14:paraId="01E76F6C" w14:textId="77777777" w:rsidR="00487EC4" w:rsidRPr="00DD39DD" w:rsidRDefault="00487EC4" w:rsidP="00DD1609">
      <w:pPr>
        <w:keepNext/>
        <w:keepLines/>
        <w:spacing w:line="240" w:lineRule="auto"/>
        <w:rPr>
          <w:u w:val="single"/>
        </w:rPr>
      </w:pPr>
    </w:p>
    <w:p w14:paraId="26AA45E6" w14:textId="77777777" w:rsidR="00096B0E" w:rsidRDefault="005A3D7D" w:rsidP="00A0798C">
      <w:pPr>
        <w:keepNext/>
        <w:keepLines/>
        <w:spacing w:line="240" w:lineRule="auto"/>
        <w:rPr>
          <w:i/>
        </w:rPr>
      </w:pPr>
      <w:r w:rsidRPr="009F5980">
        <w:rPr>
          <w:i/>
        </w:rPr>
        <w:t xml:space="preserve">Hepatic </w:t>
      </w:r>
      <w:r w:rsidRPr="009F5980">
        <w:rPr>
          <w:i/>
        </w:rPr>
        <w:t>impairment</w:t>
      </w:r>
    </w:p>
    <w:p w14:paraId="6D483CDB" w14:textId="77777777" w:rsidR="00C0285A" w:rsidRPr="009F5980" w:rsidRDefault="00C0285A" w:rsidP="0069106A">
      <w:pPr>
        <w:keepNext/>
        <w:keepLines/>
        <w:spacing w:line="240" w:lineRule="auto"/>
        <w:rPr>
          <w:i/>
        </w:rPr>
      </w:pPr>
    </w:p>
    <w:p w14:paraId="0753862A" w14:textId="77777777" w:rsidR="007A0D8A" w:rsidRPr="006C4477" w:rsidRDefault="005A3D7D" w:rsidP="000A093B">
      <w:pPr>
        <w:keepNext/>
        <w:spacing w:line="240" w:lineRule="auto"/>
      </w:pPr>
      <w:r w:rsidRPr="00ED1D45">
        <w:t xml:space="preserve">Following a single </w:t>
      </w:r>
      <w:r w:rsidRPr="00BA47B4">
        <w:t>dose of 150 mg of ivacaftor, adult subjects with moderately impaired hepatic function (Child-Pugh Class B, score 7 to 9) had similar ivacaftor C</w:t>
      </w:r>
      <w:r w:rsidRPr="006C4477">
        <w:rPr>
          <w:vertAlign w:val="subscript"/>
        </w:rPr>
        <w:t>max</w:t>
      </w:r>
      <w:r w:rsidRPr="009F5980">
        <w:t xml:space="preserve"> (mean [±</w:t>
      </w:r>
      <w:r w:rsidR="00CE76B9">
        <w:t> </w:t>
      </w:r>
      <w:r w:rsidRPr="00ED1D45">
        <w:t xml:space="preserve">SD] of 735 [331] ng/mL) but an approximately two-fold </w:t>
      </w:r>
      <w:r w:rsidRPr="00ED1D45">
        <w:t>increase in ivacaftor AUC</w:t>
      </w:r>
      <w:r w:rsidRPr="00BA47B4">
        <w:rPr>
          <w:rFonts w:hint="eastAsia"/>
          <w:vertAlign w:val="subscript"/>
        </w:rPr>
        <w:t>0-</w:t>
      </w:r>
      <w:r w:rsidRPr="00BA47B4">
        <w:rPr>
          <w:rFonts w:hint="eastAsia"/>
          <w:vertAlign w:val="subscript"/>
        </w:rPr>
        <w:t>∞</w:t>
      </w:r>
      <w:r w:rsidRPr="006C4477">
        <w:t xml:space="preserve"> (mean [±</w:t>
      </w:r>
      <w:r w:rsidR="00CE76B9">
        <w:t> </w:t>
      </w:r>
      <w:r w:rsidRPr="00ED1D45">
        <w:t xml:space="preserve">SD] of </w:t>
      </w:r>
      <w:r w:rsidRPr="00BA47B4">
        <w:t>16800 [6140] ng*hr/mL) compared with healthy subjects matched for demographics. Simulations for predicting the steady-state exposure of ivacaftor showed that by reducing the dosage from 150 mg</w:t>
      </w:r>
      <w:r w:rsidR="00B171E6">
        <w:t> </w:t>
      </w:r>
      <w:r w:rsidRPr="00ED1D45">
        <w:t>q12h to 150 mg onc</w:t>
      </w:r>
      <w:r w:rsidRPr="00ED1D45">
        <w:t xml:space="preserve">e daily, adults with moderate hepatic </w:t>
      </w:r>
      <w:r w:rsidRPr="00BA47B4">
        <w:t>impairment would have comparable steady-state C</w:t>
      </w:r>
      <w:r w:rsidRPr="00BA47B4">
        <w:rPr>
          <w:vertAlign w:val="subscript"/>
        </w:rPr>
        <w:t>min</w:t>
      </w:r>
      <w:r w:rsidRPr="006C4477">
        <w:t xml:space="preserve"> valu</w:t>
      </w:r>
      <w:r w:rsidRPr="009F5980">
        <w:t>es as those obtained with a dose of 150 mg</w:t>
      </w:r>
      <w:r w:rsidR="00B171E6">
        <w:t> </w:t>
      </w:r>
      <w:r w:rsidRPr="00ED1D45">
        <w:t>q</w:t>
      </w:r>
      <w:r w:rsidRPr="00BA47B4">
        <w:t>12h in adults without hepatic impairment. Based on these results, a modified regimen of Kalydeco monotherapy is recomme</w:t>
      </w:r>
      <w:r w:rsidRPr="00BA47B4">
        <w:t>nded for patients with moderate hepatic impairment (see section 4.2)</w:t>
      </w:r>
    </w:p>
    <w:p w14:paraId="2A4E9C40" w14:textId="77777777" w:rsidR="00096B0E" w:rsidRPr="009F5980" w:rsidRDefault="00096B0E" w:rsidP="009F5980">
      <w:pPr>
        <w:spacing w:line="240" w:lineRule="auto"/>
      </w:pPr>
    </w:p>
    <w:p w14:paraId="24CD166C" w14:textId="77777777" w:rsidR="00096B0E" w:rsidRPr="002752C8" w:rsidRDefault="005A3D7D" w:rsidP="009F5980">
      <w:pPr>
        <w:spacing w:line="240" w:lineRule="auto"/>
      </w:pPr>
      <w:r w:rsidRPr="008D3673">
        <w:t>The impact of severe hepatic impairment (Child Pugh Class C, score 10 to15) on the pharmacokinetics of ivacaftor have not been studied. The magnitude of increase in exposure in these pat</w:t>
      </w:r>
      <w:r w:rsidRPr="008D3673">
        <w:t>ients is unknown but is</w:t>
      </w:r>
      <w:r w:rsidRPr="00864757">
        <w:t xml:space="preserve"> expected to be higher than that observed in patients with moderate hepatic impairment. </w:t>
      </w:r>
      <w:r w:rsidRPr="004D506B">
        <w:t>The use of Kalydeco</w:t>
      </w:r>
      <w:r w:rsidRPr="007B09C6">
        <w:t xml:space="preserve"> in patients with severe hepatic impairment is therefore not recommended unless the benefits outweigh the risks (see section 4</w:t>
      </w:r>
      <w:r w:rsidRPr="007B09C6">
        <w:t>.2 and section 4.4).</w:t>
      </w:r>
    </w:p>
    <w:p w14:paraId="6AE1F889" w14:textId="77777777" w:rsidR="007A0D8A" w:rsidRPr="007D34B1" w:rsidRDefault="007A0D8A" w:rsidP="009F5980">
      <w:pPr>
        <w:spacing w:line="240" w:lineRule="auto"/>
      </w:pPr>
    </w:p>
    <w:p w14:paraId="7A088EA9" w14:textId="77777777" w:rsidR="007A0D8A" w:rsidRPr="007D34B1" w:rsidRDefault="005A3D7D" w:rsidP="009F5980">
      <w:pPr>
        <w:spacing w:line="240" w:lineRule="auto"/>
      </w:pPr>
      <w:r w:rsidRPr="007D34B1">
        <w:t>No dose adjustment is considered necessary for patients with mild hepatic impairment.</w:t>
      </w:r>
    </w:p>
    <w:p w14:paraId="3555E301" w14:textId="77777777" w:rsidR="007A0D8A" w:rsidRDefault="007A0D8A" w:rsidP="009F5980">
      <w:pPr>
        <w:spacing w:line="240" w:lineRule="auto"/>
      </w:pPr>
    </w:p>
    <w:p w14:paraId="3AF26FB6" w14:textId="77777777" w:rsidR="00096B0E" w:rsidRDefault="005A3D7D" w:rsidP="000A093B">
      <w:pPr>
        <w:keepNext/>
        <w:spacing w:line="240" w:lineRule="auto"/>
        <w:rPr>
          <w:i/>
        </w:rPr>
      </w:pPr>
      <w:r w:rsidRPr="009F5980">
        <w:rPr>
          <w:i/>
        </w:rPr>
        <w:t>Renal impairment</w:t>
      </w:r>
    </w:p>
    <w:p w14:paraId="01B46480" w14:textId="77777777" w:rsidR="00DC4AB4" w:rsidRPr="009F5980" w:rsidRDefault="00DC4AB4" w:rsidP="000A093B">
      <w:pPr>
        <w:keepNext/>
        <w:spacing w:line="240" w:lineRule="auto"/>
        <w:rPr>
          <w:i/>
        </w:rPr>
      </w:pPr>
    </w:p>
    <w:p w14:paraId="00802BA4" w14:textId="77777777" w:rsidR="00940593" w:rsidRDefault="005A3D7D" w:rsidP="000A093B">
      <w:pPr>
        <w:keepNext/>
        <w:spacing w:line="240" w:lineRule="auto"/>
      </w:pPr>
      <w:r w:rsidRPr="00ED1D45">
        <w:t>Pharmacokinetic studies have not been performed with ivacaftor in patients with renal impairment. In a human pharmacokinetic stud</w:t>
      </w:r>
      <w:r w:rsidRPr="00ED1D45">
        <w:t>y, there was minimal elimination of iva</w:t>
      </w:r>
      <w:r w:rsidRPr="00695508">
        <w:t xml:space="preserve">caftor and its metabolites in urine (only 6.6% of total radioactivity was recovered in the urine). There was negligible urinary excretion of ivacaftor as unchanged parent (less than 0.01% following a single oral dose </w:t>
      </w:r>
      <w:r w:rsidRPr="00695508">
        <w:t>of 500</w:t>
      </w:r>
      <w:r w:rsidRPr="00A808AC">
        <w:t xml:space="preserve"> mg). </w:t>
      </w:r>
    </w:p>
    <w:p w14:paraId="5016DB57" w14:textId="77777777" w:rsidR="00940593" w:rsidRDefault="00940593" w:rsidP="00FB0040">
      <w:pPr>
        <w:spacing w:line="240" w:lineRule="auto"/>
      </w:pPr>
    </w:p>
    <w:p w14:paraId="17E98240" w14:textId="77777777" w:rsidR="00096B0E" w:rsidRPr="006C4477" w:rsidRDefault="005A3D7D" w:rsidP="009F5980">
      <w:pPr>
        <w:spacing w:line="240" w:lineRule="auto"/>
      </w:pPr>
      <w:r w:rsidRPr="00ED1D45">
        <w:t>N</w:t>
      </w:r>
      <w:r w:rsidRPr="00BA47B4">
        <w:t>o dose adjustments are recommended for mild and moderate renal impairment. However, caution is recommended when administering ivacaftor to patients with severe renal impairment (creatinine clearance less than or equal to 30 mL/min) or end-st</w:t>
      </w:r>
      <w:r w:rsidRPr="00BA47B4">
        <w:t>age renal disease (see sections 4.2 and 4.4).</w:t>
      </w:r>
    </w:p>
    <w:p w14:paraId="74369C53" w14:textId="77777777" w:rsidR="00860D8C" w:rsidRPr="009F5980" w:rsidRDefault="00860D8C" w:rsidP="009F5980">
      <w:pPr>
        <w:spacing w:line="240" w:lineRule="auto"/>
      </w:pPr>
    </w:p>
    <w:p w14:paraId="6E181C81" w14:textId="77777777" w:rsidR="00EF4E1D" w:rsidRDefault="005A3D7D" w:rsidP="000A093B">
      <w:pPr>
        <w:keepNext/>
        <w:spacing w:line="240" w:lineRule="auto"/>
        <w:rPr>
          <w:i/>
        </w:rPr>
      </w:pPr>
      <w:r w:rsidRPr="009F5980">
        <w:rPr>
          <w:i/>
        </w:rPr>
        <w:t>Race</w:t>
      </w:r>
    </w:p>
    <w:p w14:paraId="2E0A608C" w14:textId="77777777" w:rsidR="00DC4AB4" w:rsidRPr="009F5980" w:rsidRDefault="00DC4AB4" w:rsidP="000A093B">
      <w:pPr>
        <w:keepNext/>
        <w:spacing w:line="240" w:lineRule="auto"/>
        <w:rPr>
          <w:i/>
        </w:rPr>
      </w:pPr>
    </w:p>
    <w:p w14:paraId="5F26B30C" w14:textId="77777777" w:rsidR="00EF4E1D" w:rsidRPr="00BA47B4" w:rsidRDefault="005A3D7D" w:rsidP="000A093B">
      <w:pPr>
        <w:keepNext/>
        <w:spacing w:line="240" w:lineRule="auto"/>
      </w:pPr>
      <w:r w:rsidRPr="00ED1D45">
        <w:t>Race had no clinically meaningful effect on the PK of ivacaftor in white (n</w:t>
      </w:r>
      <w:r w:rsidR="00B171E6">
        <w:rPr>
          <w:iCs/>
        </w:rPr>
        <w:t> = </w:t>
      </w:r>
      <w:r w:rsidRPr="00ED1D45">
        <w:t>379) and non-white (n</w:t>
      </w:r>
      <w:r w:rsidR="00B171E6">
        <w:rPr>
          <w:iCs/>
        </w:rPr>
        <w:t> = </w:t>
      </w:r>
      <w:r w:rsidRPr="00ED1D45">
        <w:t xml:space="preserve">29) </w:t>
      </w:r>
      <w:r w:rsidRPr="00BA47B4">
        <w:t>patients based on a population PK analysis.</w:t>
      </w:r>
    </w:p>
    <w:p w14:paraId="6AAFCB8B" w14:textId="77777777" w:rsidR="00EF4E1D" w:rsidRPr="006C4477" w:rsidRDefault="00EF4E1D" w:rsidP="009F5980">
      <w:pPr>
        <w:spacing w:line="240" w:lineRule="auto"/>
      </w:pPr>
    </w:p>
    <w:p w14:paraId="75207AD2" w14:textId="77777777" w:rsidR="00EF4E1D" w:rsidRDefault="005A3D7D" w:rsidP="000A093B">
      <w:pPr>
        <w:keepNext/>
        <w:spacing w:line="240" w:lineRule="auto"/>
        <w:rPr>
          <w:i/>
        </w:rPr>
      </w:pPr>
      <w:r w:rsidRPr="009F5980">
        <w:rPr>
          <w:i/>
        </w:rPr>
        <w:t>Gender</w:t>
      </w:r>
    </w:p>
    <w:p w14:paraId="7A14B6A2" w14:textId="77777777" w:rsidR="00DC4AB4" w:rsidRPr="009F5980" w:rsidRDefault="00DC4AB4" w:rsidP="000A093B">
      <w:pPr>
        <w:keepNext/>
        <w:spacing w:line="240" w:lineRule="auto"/>
        <w:rPr>
          <w:i/>
        </w:rPr>
      </w:pPr>
    </w:p>
    <w:p w14:paraId="07AF57DF" w14:textId="77777777" w:rsidR="00EF4E1D" w:rsidRPr="00BA47B4" w:rsidRDefault="005A3D7D" w:rsidP="000A093B">
      <w:pPr>
        <w:keepNext/>
        <w:spacing w:line="240" w:lineRule="auto"/>
      </w:pPr>
      <w:r w:rsidRPr="00ED1D45">
        <w:t xml:space="preserve">The pharmacokinetic parameters of </w:t>
      </w:r>
      <w:r w:rsidRPr="00ED1D45">
        <w:t>ivacaftor are similar in males and females.</w:t>
      </w:r>
    </w:p>
    <w:p w14:paraId="6CCAB297" w14:textId="77777777" w:rsidR="00EF4E1D" w:rsidRPr="00BA47B4" w:rsidRDefault="00EF4E1D" w:rsidP="009F5980">
      <w:pPr>
        <w:spacing w:line="240" w:lineRule="auto"/>
      </w:pPr>
    </w:p>
    <w:p w14:paraId="37324DFB" w14:textId="77777777" w:rsidR="00EF4E1D" w:rsidRDefault="005A3D7D" w:rsidP="000A093B">
      <w:pPr>
        <w:keepNext/>
        <w:spacing w:line="240" w:lineRule="auto"/>
        <w:rPr>
          <w:i/>
        </w:rPr>
      </w:pPr>
      <w:r w:rsidRPr="009F5980">
        <w:rPr>
          <w:i/>
        </w:rPr>
        <w:t>Elderly</w:t>
      </w:r>
    </w:p>
    <w:p w14:paraId="1FE66B3B" w14:textId="77777777" w:rsidR="00DC4AB4" w:rsidRPr="009F5980" w:rsidRDefault="00DC4AB4" w:rsidP="000A093B">
      <w:pPr>
        <w:keepNext/>
        <w:spacing w:line="240" w:lineRule="auto"/>
        <w:rPr>
          <w:i/>
        </w:rPr>
      </w:pPr>
    </w:p>
    <w:p w14:paraId="65AC7020" w14:textId="717BDA9C" w:rsidR="00EF4E1D" w:rsidRPr="009F5980" w:rsidRDefault="005A3D7D" w:rsidP="000A093B">
      <w:pPr>
        <w:keepNext/>
        <w:spacing w:line="240" w:lineRule="auto"/>
      </w:pPr>
      <w:r w:rsidRPr="00ED1D45">
        <w:t xml:space="preserve">Clinical studies of </w:t>
      </w:r>
      <w:r w:rsidR="00860D8C" w:rsidRPr="00BA47B4">
        <w:t xml:space="preserve">ivacaftor </w:t>
      </w:r>
      <w:r w:rsidR="00DC4AB4">
        <w:t xml:space="preserve">as </w:t>
      </w:r>
      <w:r w:rsidR="00860D8C" w:rsidRPr="00BA47B4">
        <w:t>monotherapy</w:t>
      </w:r>
      <w:r w:rsidRPr="00BA47B4">
        <w:t xml:space="preserve"> did not include sufficient numbers of patients age</w:t>
      </w:r>
      <w:r w:rsidR="00DC4AB4">
        <w:t>d</w:t>
      </w:r>
      <w:r w:rsidRPr="00BA47B4">
        <w:t xml:space="preserve"> 65</w:t>
      </w:r>
      <w:r w:rsidRPr="006C4477">
        <w:t> </w:t>
      </w:r>
      <w:r w:rsidRPr="009F5980">
        <w:t xml:space="preserve">years and older to determine whether </w:t>
      </w:r>
      <w:r w:rsidR="007A0D8A" w:rsidRPr="009F5980">
        <w:t>pharmacokinetic parameters are similar or not to those in younger adults</w:t>
      </w:r>
      <w:r w:rsidR="004877FC" w:rsidRPr="009F5980">
        <w:t>.</w:t>
      </w:r>
    </w:p>
    <w:p w14:paraId="23567696" w14:textId="77777777" w:rsidR="00096B0E" w:rsidRPr="00A808AC" w:rsidRDefault="00096B0E" w:rsidP="009F5980">
      <w:pPr>
        <w:spacing w:line="240" w:lineRule="auto"/>
      </w:pPr>
    </w:p>
    <w:p w14:paraId="47100EBD" w14:textId="77777777" w:rsidR="00096B0E" w:rsidRDefault="005A3D7D" w:rsidP="000A093B">
      <w:pPr>
        <w:keepNext/>
        <w:spacing w:line="240" w:lineRule="auto"/>
        <w:rPr>
          <w:i/>
        </w:rPr>
      </w:pPr>
      <w:r w:rsidRPr="009F5980">
        <w:rPr>
          <w:i/>
        </w:rPr>
        <w:t>Paediatric population</w:t>
      </w:r>
    </w:p>
    <w:p w14:paraId="4E1255FB" w14:textId="77777777" w:rsidR="00987822" w:rsidRPr="009F5980" w:rsidRDefault="00987822" w:rsidP="000A093B">
      <w:pPr>
        <w:keepNext/>
        <w:spacing w:line="240" w:lineRule="auto"/>
        <w:rPr>
          <w:i/>
        </w:rPr>
      </w:pPr>
    </w:p>
    <w:p w14:paraId="3079588C" w14:textId="0766BAE7" w:rsidR="00096B0E" w:rsidRPr="00BA47B4" w:rsidRDefault="005A3D7D" w:rsidP="000A093B">
      <w:pPr>
        <w:keepNext/>
        <w:spacing w:line="240" w:lineRule="auto"/>
      </w:pPr>
      <w:r w:rsidRPr="00ED1D45">
        <w:t>Predicted iva</w:t>
      </w:r>
      <w:r w:rsidRPr="00BA47B4">
        <w:t xml:space="preserve">caftor exposure based on observed ivacaftor concentrations in </w:t>
      </w:r>
      <w:r w:rsidR="00BA40DB">
        <w:t>p</w:t>
      </w:r>
      <w:r w:rsidRPr="00BA47B4">
        <w:t>hase 2 and 3 studies as determined using population PK analysis is presented by age group in Table</w:t>
      </w:r>
      <w:r w:rsidR="0076719D">
        <w:rPr>
          <w:bCs/>
        </w:rPr>
        <w:t> </w:t>
      </w:r>
      <w:r w:rsidR="00212EEB">
        <w:rPr>
          <w:bCs/>
        </w:rPr>
        <w:t>8</w:t>
      </w:r>
      <w:r w:rsidRPr="00ED1D45">
        <w:t xml:space="preserve">. </w:t>
      </w:r>
    </w:p>
    <w:p w14:paraId="3A46CEF2" w14:textId="77777777" w:rsidR="00096B0E" w:rsidRPr="00695508" w:rsidRDefault="00096B0E" w:rsidP="00A419F8"/>
    <w:p w14:paraId="497DFCD2" w14:textId="0B48EA68" w:rsidR="00096B0E" w:rsidRDefault="005A3D7D" w:rsidP="00FB0040">
      <w:pPr>
        <w:spacing w:after="120" w:line="240" w:lineRule="auto"/>
        <w:rPr>
          <w:b/>
          <w:bCs/>
        </w:rPr>
      </w:pPr>
      <w:r w:rsidRPr="006A1E32">
        <w:rPr>
          <w:b/>
          <w:bCs/>
        </w:rPr>
        <w:t>Table</w:t>
      </w:r>
      <w:r w:rsidR="006E075E">
        <w:rPr>
          <w:b/>
          <w:bCs/>
        </w:rPr>
        <w:t> </w:t>
      </w:r>
      <w:r w:rsidR="00212EEB">
        <w:rPr>
          <w:b/>
          <w:bCs/>
        </w:rPr>
        <w:t>8</w:t>
      </w:r>
      <w:r>
        <w:rPr>
          <w:b/>
          <w:bCs/>
        </w:rPr>
        <w:t>:</w:t>
      </w:r>
      <w:r w:rsidRPr="006A1E32">
        <w:rPr>
          <w:b/>
          <w:bCs/>
        </w:rPr>
        <w:t xml:space="preserve"> Mean (SD) ivacaftor exposure by age group</w:t>
      </w:r>
    </w:p>
    <w:tbl>
      <w:tblPr>
        <w:tblW w:w="4983" w:type="pct"/>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5132"/>
        <w:gridCol w:w="1378"/>
        <w:gridCol w:w="1116"/>
        <w:gridCol w:w="1418"/>
      </w:tblGrid>
      <w:tr w:rsidR="00476058" w14:paraId="4E33C693" w14:textId="77777777" w:rsidTr="0012118D">
        <w:trPr>
          <w:trHeight w:val="274"/>
          <w:tblHeader/>
        </w:trPr>
        <w:tc>
          <w:tcPr>
            <w:tcW w:w="2837" w:type="pct"/>
            <w:tcMar>
              <w:top w:w="0" w:type="dxa"/>
              <w:left w:w="108" w:type="dxa"/>
              <w:bottom w:w="0" w:type="dxa"/>
              <w:right w:w="108" w:type="dxa"/>
            </w:tcMar>
            <w:vAlign w:val="center"/>
          </w:tcPr>
          <w:p w14:paraId="0158D524" w14:textId="77777777" w:rsidR="00A57494" w:rsidRPr="00A808AC" w:rsidRDefault="005A3D7D" w:rsidP="006878A4">
            <w:pPr>
              <w:jc w:val="center"/>
              <w:rPr>
                <w:b/>
              </w:rPr>
            </w:pPr>
            <w:r w:rsidRPr="00695508">
              <w:rPr>
                <w:b/>
              </w:rPr>
              <w:t>Age group</w:t>
            </w:r>
          </w:p>
        </w:tc>
        <w:tc>
          <w:tcPr>
            <w:tcW w:w="762" w:type="pct"/>
            <w:tcMar>
              <w:top w:w="0" w:type="dxa"/>
              <w:left w:w="108" w:type="dxa"/>
              <w:bottom w:w="0" w:type="dxa"/>
              <w:right w:w="108" w:type="dxa"/>
            </w:tcMar>
            <w:vAlign w:val="center"/>
          </w:tcPr>
          <w:p w14:paraId="47F5792E" w14:textId="77777777" w:rsidR="00A57494" w:rsidRPr="00A419F8" w:rsidRDefault="005A3D7D" w:rsidP="006878A4">
            <w:pPr>
              <w:jc w:val="center"/>
              <w:rPr>
                <w:b/>
              </w:rPr>
            </w:pPr>
            <w:r w:rsidRPr="00322851">
              <w:rPr>
                <w:b/>
              </w:rPr>
              <w:t>Dose</w:t>
            </w:r>
          </w:p>
        </w:tc>
        <w:tc>
          <w:tcPr>
            <w:tcW w:w="617" w:type="pct"/>
            <w:tcMar>
              <w:top w:w="0" w:type="dxa"/>
              <w:left w:w="108" w:type="dxa"/>
              <w:bottom w:w="0" w:type="dxa"/>
              <w:right w:w="108" w:type="dxa"/>
            </w:tcMar>
            <w:vAlign w:val="center"/>
          </w:tcPr>
          <w:p w14:paraId="2F36AEE8" w14:textId="77777777" w:rsidR="00A57494" w:rsidRPr="00A419F8" w:rsidRDefault="005A3D7D" w:rsidP="006878A4">
            <w:pPr>
              <w:jc w:val="center"/>
              <w:rPr>
                <w:b/>
              </w:rPr>
            </w:pPr>
            <w:r w:rsidRPr="00A419F8">
              <w:rPr>
                <w:b/>
              </w:rPr>
              <w:t>C</w:t>
            </w:r>
            <w:r w:rsidRPr="00A419F8">
              <w:rPr>
                <w:b/>
                <w:vertAlign w:val="subscript"/>
              </w:rPr>
              <w:t>min, ss</w:t>
            </w:r>
            <w:r w:rsidRPr="00A419F8">
              <w:rPr>
                <w:b/>
              </w:rPr>
              <w:t xml:space="preserve"> (ng/mL)</w:t>
            </w:r>
          </w:p>
        </w:tc>
        <w:tc>
          <w:tcPr>
            <w:tcW w:w="784" w:type="pct"/>
            <w:tcMar>
              <w:top w:w="0" w:type="dxa"/>
              <w:left w:w="108" w:type="dxa"/>
              <w:bottom w:w="0" w:type="dxa"/>
              <w:right w:w="108" w:type="dxa"/>
            </w:tcMar>
            <w:vAlign w:val="center"/>
          </w:tcPr>
          <w:p w14:paraId="5FE0CD60" w14:textId="77777777" w:rsidR="00A57494" w:rsidRPr="000A093B" w:rsidRDefault="005A3D7D" w:rsidP="00A57494">
            <w:pPr>
              <w:jc w:val="center"/>
              <w:rPr>
                <w:b/>
                <w:vertAlign w:val="subscript"/>
                <w:lang w:val="pt-PT"/>
              </w:rPr>
            </w:pPr>
            <w:r w:rsidRPr="000A093B">
              <w:rPr>
                <w:b/>
                <w:lang w:val="pt-PT"/>
              </w:rPr>
              <w:t>AUC</w:t>
            </w:r>
            <w:r w:rsidRPr="00A419F8">
              <w:rPr>
                <w:b/>
                <w:vertAlign w:val="subscript"/>
              </w:rPr>
              <w:t>τ</w:t>
            </w:r>
            <w:r w:rsidRPr="000A093B">
              <w:rPr>
                <w:b/>
                <w:vertAlign w:val="subscript"/>
                <w:lang w:val="pt-PT"/>
              </w:rPr>
              <w:t>,ss</w:t>
            </w:r>
            <w:r w:rsidRPr="000A093B">
              <w:rPr>
                <w:b/>
                <w:lang w:val="pt-PT"/>
              </w:rPr>
              <w:t xml:space="preserve"> (ng*h/mL)</w:t>
            </w:r>
          </w:p>
        </w:tc>
      </w:tr>
      <w:tr w:rsidR="00476058" w14:paraId="1E63FF1F" w14:textId="77777777" w:rsidTr="0012118D">
        <w:trPr>
          <w:trHeight w:val="303"/>
        </w:trPr>
        <w:tc>
          <w:tcPr>
            <w:tcW w:w="283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B445F9" w14:textId="77777777" w:rsidR="003520BC" w:rsidRPr="0063509A" w:rsidRDefault="005A3D7D" w:rsidP="00956889">
            <w:r w:rsidRPr="0063509A">
              <w:t xml:space="preserve">4 months to less than 6 months </w:t>
            </w:r>
            <w:r w:rsidRPr="0063509A">
              <w:rPr>
                <w:rFonts w:hint="eastAsia"/>
              </w:rPr>
              <w:t>(</w:t>
            </w:r>
            <w:r w:rsidRPr="0063509A">
              <w:rPr>
                <w:rFonts w:hint="eastAsia"/>
              </w:rPr>
              <w:t>≥</w:t>
            </w:r>
            <w:r w:rsidRPr="0063509A">
              <w:rPr>
                <w:rFonts w:hint="eastAsia"/>
              </w:rPr>
              <w:t>5</w:t>
            </w:r>
            <w:r w:rsidRPr="0063509A">
              <w:t xml:space="preserve"> kg)</w:t>
            </w:r>
          </w:p>
        </w:tc>
        <w:tc>
          <w:tcPr>
            <w:tcW w:w="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ED651C" w14:textId="77777777" w:rsidR="003520BC" w:rsidRPr="0063509A" w:rsidRDefault="005A3D7D" w:rsidP="00956889">
            <w:r w:rsidRPr="0063509A">
              <w:t>25 mg q12h</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4C9C32" w14:textId="77777777" w:rsidR="003520BC" w:rsidRPr="0063509A" w:rsidRDefault="005A3D7D" w:rsidP="00956889">
            <w:r w:rsidRPr="0063509A">
              <w:t>371 (183)</w:t>
            </w:r>
          </w:p>
        </w:tc>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10E668" w14:textId="77777777" w:rsidR="003520BC" w:rsidRPr="0063509A" w:rsidRDefault="005A3D7D" w:rsidP="00956889">
            <w:r w:rsidRPr="0063509A">
              <w:t>6480 (2520)</w:t>
            </w:r>
          </w:p>
        </w:tc>
      </w:tr>
      <w:tr w:rsidR="00476058" w14:paraId="57F3413E" w14:textId="77777777" w:rsidTr="0012118D">
        <w:trPr>
          <w:trHeight w:val="303"/>
        </w:trPr>
        <w:tc>
          <w:tcPr>
            <w:tcW w:w="283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55C20E" w14:textId="77777777" w:rsidR="00227EB3" w:rsidRPr="000872AE" w:rsidRDefault="005A3D7D" w:rsidP="00A57494">
            <w:r w:rsidRPr="000872AE">
              <w:t>6 months to less than 12</w:t>
            </w:r>
            <w:r>
              <w:t> </w:t>
            </w:r>
            <w:r w:rsidRPr="000872AE">
              <w:t>months (5 kg to &lt;</w:t>
            </w:r>
            <w:r>
              <w:t> </w:t>
            </w:r>
            <w:r w:rsidRPr="000872AE">
              <w:t>7 kg)</w:t>
            </w:r>
            <w:r>
              <w:t> </w:t>
            </w:r>
            <w:r w:rsidRPr="00322851">
              <w:rPr>
                <w:vertAlign w:val="superscript"/>
              </w:rPr>
              <w:t>*</w:t>
            </w:r>
          </w:p>
        </w:tc>
        <w:tc>
          <w:tcPr>
            <w:tcW w:w="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C0265F4" w14:textId="77777777" w:rsidR="00227EB3" w:rsidRPr="000872AE" w:rsidRDefault="005A3D7D" w:rsidP="006878A4">
            <w:r w:rsidRPr="000872AE">
              <w:t>25 mg q12h</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0E3DCD" w14:textId="77777777" w:rsidR="00227EB3" w:rsidRPr="0076719D" w:rsidRDefault="005A3D7D" w:rsidP="006878A4">
            <w:r w:rsidRPr="0076719D">
              <w:t>336</w:t>
            </w:r>
          </w:p>
        </w:tc>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659433" w14:textId="77777777" w:rsidR="00227EB3" w:rsidRPr="0076719D" w:rsidRDefault="005A3D7D" w:rsidP="006878A4">
            <w:r w:rsidRPr="0076719D">
              <w:t>5410</w:t>
            </w:r>
          </w:p>
        </w:tc>
      </w:tr>
      <w:tr w:rsidR="00476058" w14:paraId="1D15C8B7" w14:textId="77777777" w:rsidTr="0012118D">
        <w:trPr>
          <w:trHeight w:val="303"/>
        </w:trPr>
        <w:tc>
          <w:tcPr>
            <w:tcW w:w="283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1ADAC4" w14:textId="77777777" w:rsidR="00227EB3" w:rsidRPr="000872AE" w:rsidRDefault="005A3D7D" w:rsidP="00A57494">
            <w:r w:rsidRPr="000872AE">
              <w:t xml:space="preserve">6 months to </w:t>
            </w:r>
            <w:r w:rsidRPr="000872AE">
              <w:t>less than 12</w:t>
            </w:r>
            <w:r>
              <w:t> </w:t>
            </w:r>
            <w:r w:rsidRPr="000872AE">
              <w:t>months (7 kg to &lt;</w:t>
            </w:r>
            <w:r>
              <w:t> </w:t>
            </w:r>
            <w:r w:rsidRPr="000872AE">
              <w:t>14 kg)</w:t>
            </w:r>
          </w:p>
        </w:tc>
        <w:tc>
          <w:tcPr>
            <w:tcW w:w="76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47529D" w14:textId="77777777" w:rsidR="00227EB3" w:rsidRPr="000872AE" w:rsidRDefault="005A3D7D" w:rsidP="006878A4">
            <w:r w:rsidRPr="000872AE">
              <w:t>50 mg q12h</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3940D4" w14:textId="77777777" w:rsidR="00227EB3" w:rsidRPr="0076719D" w:rsidRDefault="005A3D7D" w:rsidP="006878A4">
            <w:r w:rsidRPr="0076719D">
              <w:t>508 (252)</w:t>
            </w:r>
          </w:p>
        </w:tc>
        <w:tc>
          <w:tcPr>
            <w:tcW w:w="78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78DF28" w14:textId="77777777" w:rsidR="00227EB3" w:rsidRPr="0076719D" w:rsidRDefault="005A3D7D" w:rsidP="006878A4">
            <w:r w:rsidRPr="0076719D">
              <w:t>9140 (4200)</w:t>
            </w:r>
          </w:p>
        </w:tc>
      </w:tr>
      <w:tr w:rsidR="00476058" w14:paraId="3A5EBE10" w14:textId="77777777" w:rsidTr="0012118D">
        <w:trPr>
          <w:trHeight w:val="303"/>
        </w:trPr>
        <w:tc>
          <w:tcPr>
            <w:tcW w:w="2837" w:type="pct"/>
            <w:tcMar>
              <w:top w:w="0" w:type="dxa"/>
              <w:left w:w="108" w:type="dxa"/>
              <w:bottom w:w="0" w:type="dxa"/>
              <w:right w:w="108" w:type="dxa"/>
            </w:tcMar>
          </w:tcPr>
          <w:p w14:paraId="1356EEB1" w14:textId="0B1CEE69" w:rsidR="00A57494" w:rsidRPr="00695508" w:rsidRDefault="005A3D7D" w:rsidP="00CA7E1F">
            <w:r w:rsidRPr="00695508">
              <w:t>12 months to less than 24 months</w:t>
            </w:r>
            <w:r w:rsidR="003520BC">
              <w:t xml:space="preserve"> </w:t>
            </w:r>
            <w:r w:rsidRPr="00695508">
              <w:t>(7 kg to &lt;</w:t>
            </w:r>
            <w:r>
              <w:t> </w:t>
            </w:r>
            <w:r w:rsidRPr="00695508">
              <w:t>14 kg)</w:t>
            </w:r>
          </w:p>
        </w:tc>
        <w:tc>
          <w:tcPr>
            <w:tcW w:w="762" w:type="pct"/>
            <w:tcMar>
              <w:top w:w="0" w:type="dxa"/>
              <w:left w:w="108" w:type="dxa"/>
              <w:bottom w:w="0" w:type="dxa"/>
              <w:right w:w="108" w:type="dxa"/>
            </w:tcMar>
          </w:tcPr>
          <w:p w14:paraId="090FB9F8" w14:textId="77777777" w:rsidR="00A57494" w:rsidRPr="009F7633" w:rsidRDefault="005A3D7D" w:rsidP="006878A4">
            <w:r w:rsidRPr="009F7633">
              <w:t>50 mg</w:t>
            </w:r>
            <w:r>
              <w:t> </w:t>
            </w:r>
            <w:r w:rsidRPr="009F7633">
              <w:t>q12h</w:t>
            </w:r>
          </w:p>
        </w:tc>
        <w:tc>
          <w:tcPr>
            <w:tcW w:w="617" w:type="pct"/>
            <w:tcMar>
              <w:top w:w="0" w:type="dxa"/>
              <w:left w:w="108" w:type="dxa"/>
              <w:bottom w:w="0" w:type="dxa"/>
              <w:right w:w="108" w:type="dxa"/>
            </w:tcMar>
          </w:tcPr>
          <w:p w14:paraId="3B5E2561" w14:textId="77777777" w:rsidR="00A57494" w:rsidRPr="009F7633" w:rsidRDefault="005A3D7D" w:rsidP="006878A4">
            <w:r w:rsidRPr="009F7633">
              <w:t>440 (212)</w:t>
            </w:r>
          </w:p>
        </w:tc>
        <w:tc>
          <w:tcPr>
            <w:tcW w:w="784" w:type="pct"/>
            <w:tcMar>
              <w:top w:w="0" w:type="dxa"/>
              <w:left w:w="108" w:type="dxa"/>
              <w:bottom w:w="0" w:type="dxa"/>
              <w:right w:w="108" w:type="dxa"/>
            </w:tcMar>
          </w:tcPr>
          <w:p w14:paraId="25CCBC41" w14:textId="77777777" w:rsidR="00A57494" w:rsidRPr="009F7633" w:rsidRDefault="005A3D7D" w:rsidP="006878A4">
            <w:r w:rsidRPr="009F7633">
              <w:t>9050 (3050)</w:t>
            </w:r>
          </w:p>
        </w:tc>
      </w:tr>
      <w:tr w:rsidR="00476058" w14:paraId="29B6F180" w14:textId="77777777" w:rsidTr="0012118D">
        <w:trPr>
          <w:trHeight w:val="303"/>
        </w:trPr>
        <w:tc>
          <w:tcPr>
            <w:tcW w:w="2837" w:type="pct"/>
            <w:tcMar>
              <w:top w:w="0" w:type="dxa"/>
              <w:left w:w="108" w:type="dxa"/>
              <w:bottom w:w="0" w:type="dxa"/>
              <w:right w:w="108" w:type="dxa"/>
            </w:tcMar>
          </w:tcPr>
          <w:p w14:paraId="3C8D5F83" w14:textId="6FF2F85A" w:rsidR="00A57494" w:rsidRPr="00695508" w:rsidRDefault="005A3D7D" w:rsidP="00CA7E1F">
            <w:r w:rsidRPr="00695508">
              <w:t>12 months to less than 24 months</w:t>
            </w:r>
            <w:r w:rsidR="003520BC">
              <w:t xml:space="preserve"> </w:t>
            </w:r>
            <w:r w:rsidRPr="00695508">
              <w:rPr>
                <w:rFonts w:hint="eastAsia"/>
              </w:rPr>
              <w:t>(</w:t>
            </w:r>
            <w:r w:rsidRPr="00695508">
              <w:rPr>
                <w:rFonts w:hint="eastAsia"/>
              </w:rPr>
              <w:t>≥</w:t>
            </w:r>
            <w:r>
              <w:t> </w:t>
            </w:r>
            <w:r w:rsidR="00A03888" w:rsidRPr="00695508">
              <w:rPr>
                <w:rFonts w:hint="eastAsia"/>
              </w:rPr>
              <w:t>14</w:t>
            </w:r>
            <w:r w:rsidR="00A03888">
              <w:t> </w:t>
            </w:r>
            <w:r w:rsidRPr="00695508">
              <w:rPr>
                <w:rFonts w:hint="eastAsia"/>
              </w:rPr>
              <w:t>kg to &lt;</w:t>
            </w:r>
            <w:r>
              <w:t> </w:t>
            </w:r>
            <w:r w:rsidR="00A03888" w:rsidRPr="00695508">
              <w:rPr>
                <w:rFonts w:hint="eastAsia"/>
              </w:rPr>
              <w:t>25</w:t>
            </w:r>
            <w:r w:rsidR="00A03888">
              <w:t> </w:t>
            </w:r>
            <w:r w:rsidRPr="00695508">
              <w:rPr>
                <w:rFonts w:hint="eastAsia"/>
              </w:rPr>
              <w:t>kg</w:t>
            </w:r>
            <w:r w:rsidRPr="00695508">
              <w:t>)</w:t>
            </w:r>
          </w:p>
        </w:tc>
        <w:tc>
          <w:tcPr>
            <w:tcW w:w="762" w:type="pct"/>
            <w:tcMar>
              <w:top w:w="0" w:type="dxa"/>
              <w:left w:w="108" w:type="dxa"/>
              <w:bottom w:w="0" w:type="dxa"/>
              <w:right w:w="108" w:type="dxa"/>
            </w:tcMar>
          </w:tcPr>
          <w:p w14:paraId="1695F7B0" w14:textId="77777777" w:rsidR="00A57494" w:rsidRPr="009F7633" w:rsidRDefault="005A3D7D" w:rsidP="006878A4">
            <w:r w:rsidRPr="009F7633">
              <w:t>75 mg</w:t>
            </w:r>
            <w:r>
              <w:t> </w:t>
            </w:r>
            <w:r w:rsidRPr="009F7633">
              <w:t>q12h</w:t>
            </w:r>
          </w:p>
        </w:tc>
        <w:tc>
          <w:tcPr>
            <w:tcW w:w="617" w:type="pct"/>
            <w:tcMar>
              <w:top w:w="0" w:type="dxa"/>
              <w:left w:w="108" w:type="dxa"/>
              <w:bottom w:w="0" w:type="dxa"/>
              <w:right w:w="108" w:type="dxa"/>
            </w:tcMar>
          </w:tcPr>
          <w:p w14:paraId="124BDF46" w14:textId="77777777" w:rsidR="00A57494" w:rsidRPr="009F7633" w:rsidRDefault="005A3D7D" w:rsidP="006878A4">
            <w:r w:rsidRPr="009F7633">
              <w:t>451 (125)</w:t>
            </w:r>
          </w:p>
        </w:tc>
        <w:tc>
          <w:tcPr>
            <w:tcW w:w="784" w:type="pct"/>
            <w:tcMar>
              <w:top w:w="0" w:type="dxa"/>
              <w:left w:w="108" w:type="dxa"/>
              <w:bottom w:w="0" w:type="dxa"/>
              <w:right w:w="108" w:type="dxa"/>
            </w:tcMar>
          </w:tcPr>
          <w:p w14:paraId="03C14D16" w14:textId="77777777" w:rsidR="00A57494" w:rsidRPr="009F7633" w:rsidRDefault="005A3D7D" w:rsidP="006878A4">
            <w:r w:rsidRPr="009F7633">
              <w:t>9600 (1800)</w:t>
            </w:r>
          </w:p>
        </w:tc>
      </w:tr>
      <w:tr w:rsidR="00476058" w14:paraId="6860FDAC" w14:textId="77777777" w:rsidTr="0012118D">
        <w:trPr>
          <w:trHeight w:val="303"/>
        </w:trPr>
        <w:tc>
          <w:tcPr>
            <w:tcW w:w="2837" w:type="pct"/>
            <w:tcMar>
              <w:top w:w="0" w:type="dxa"/>
              <w:left w:w="108" w:type="dxa"/>
              <w:bottom w:w="0" w:type="dxa"/>
              <w:right w:w="108" w:type="dxa"/>
            </w:tcMar>
          </w:tcPr>
          <w:p w14:paraId="55E1C343" w14:textId="572E761A" w:rsidR="00A57494" w:rsidRPr="00695508" w:rsidRDefault="005A3D7D" w:rsidP="00CA7E1F">
            <w:r w:rsidRPr="00695508">
              <w:t xml:space="preserve">2- to </w:t>
            </w:r>
            <w:r w:rsidRPr="00695508">
              <w:t>5-year-olds</w:t>
            </w:r>
            <w:r w:rsidR="003520BC">
              <w:t xml:space="preserve"> </w:t>
            </w:r>
            <w:r w:rsidRPr="00695508">
              <w:t>(&lt;</w:t>
            </w:r>
            <w:r>
              <w:t> </w:t>
            </w:r>
            <w:r w:rsidRPr="00695508">
              <w:t>14 kg)</w:t>
            </w:r>
          </w:p>
        </w:tc>
        <w:tc>
          <w:tcPr>
            <w:tcW w:w="762" w:type="pct"/>
            <w:tcMar>
              <w:top w:w="0" w:type="dxa"/>
              <w:left w:w="108" w:type="dxa"/>
              <w:bottom w:w="0" w:type="dxa"/>
              <w:right w:w="108" w:type="dxa"/>
            </w:tcMar>
          </w:tcPr>
          <w:p w14:paraId="510CB316" w14:textId="77777777" w:rsidR="00A57494" w:rsidRPr="00A808AC" w:rsidRDefault="005A3D7D" w:rsidP="006878A4">
            <w:r w:rsidRPr="00A808AC">
              <w:t>50 mg</w:t>
            </w:r>
            <w:r>
              <w:t> </w:t>
            </w:r>
            <w:r w:rsidRPr="00A808AC">
              <w:t>q12h</w:t>
            </w:r>
          </w:p>
        </w:tc>
        <w:tc>
          <w:tcPr>
            <w:tcW w:w="617" w:type="pct"/>
            <w:tcMar>
              <w:top w:w="0" w:type="dxa"/>
              <w:left w:w="108" w:type="dxa"/>
              <w:bottom w:w="0" w:type="dxa"/>
              <w:right w:w="108" w:type="dxa"/>
            </w:tcMar>
          </w:tcPr>
          <w:p w14:paraId="6F3F3359" w14:textId="77777777" w:rsidR="00A57494" w:rsidRPr="00A808AC" w:rsidRDefault="005A3D7D" w:rsidP="006878A4">
            <w:r w:rsidRPr="00A808AC">
              <w:t>577 (317)</w:t>
            </w:r>
          </w:p>
        </w:tc>
        <w:tc>
          <w:tcPr>
            <w:tcW w:w="784" w:type="pct"/>
            <w:tcMar>
              <w:top w:w="0" w:type="dxa"/>
              <w:left w:w="108" w:type="dxa"/>
              <w:bottom w:w="0" w:type="dxa"/>
              <w:right w:w="108" w:type="dxa"/>
            </w:tcMar>
          </w:tcPr>
          <w:p w14:paraId="66A1CDCC" w14:textId="77777777" w:rsidR="00A57494" w:rsidRPr="00A808AC" w:rsidRDefault="005A3D7D" w:rsidP="006878A4">
            <w:r w:rsidRPr="00A808AC">
              <w:t>10500 (4260)</w:t>
            </w:r>
          </w:p>
        </w:tc>
      </w:tr>
      <w:tr w:rsidR="00476058" w14:paraId="599F96E4" w14:textId="77777777" w:rsidTr="0012118D">
        <w:trPr>
          <w:trHeight w:val="303"/>
        </w:trPr>
        <w:tc>
          <w:tcPr>
            <w:tcW w:w="2837" w:type="pct"/>
            <w:tcMar>
              <w:top w:w="0" w:type="dxa"/>
              <w:left w:w="108" w:type="dxa"/>
              <w:bottom w:w="0" w:type="dxa"/>
              <w:right w:w="108" w:type="dxa"/>
            </w:tcMar>
          </w:tcPr>
          <w:p w14:paraId="0A013697" w14:textId="2C75A262" w:rsidR="00A57494" w:rsidRPr="00695508" w:rsidRDefault="005A3D7D" w:rsidP="00CA7E1F">
            <w:r w:rsidRPr="00695508">
              <w:t>2- to 5-year-olds</w:t>
            </w:r>
            <w:r w:rsidR="003520BC">
              <w:t xml:space="preserve"> </w:t>
            </w:r>
            <w:r w:rsidRPr="00695508">
              <w:t>(≥</w:t>
            </w:r>
            <w:r>
              <w:t> </w:t>
            </w:r>
            <w:r w:rsidRPr="00695508">
              <w:t>14 kg to &lt;</w:t>
            </w:r>
            <w:r>
              <w:rPr>
                <w:bCs/>
              </w:rPr>
              <w:t> </w:t>
            </w:r>
            <w:r w:rsidR="00A03888" w:rsidRPr="00695508">
              <w:t>25</w:t>
            </w:r>
            <w:r w:rsidR="00A03888">
              <w:t> </w:t>
            </w:r>
            <w:r w:rsidRPr="00695508">
              <w:t>kg)</w:t>
            </w:r>
          </w:p>
        </w:tc>
        <w:tc>
          <w:tcPr>
            <w:tcW w:w="762" w:type="pct"/>
            <w:tcMar>
              <w:top w:w="0" w:type="dxa"/>
              <w:left w:w="108" w:type="dxa"/>
              <w:bottom w:w="0" w:type="dxa"/>
              <w:right w:w="108" w:type="dxa"/>
            </w:tcMar>
          </w:tcPr>
          <w:p w14:paraId="6B97EF55" w14:textId="77777777" w:rsidR="00A57494" w:rsidRPr="00A808AC" w:rsidRDefault="005A3D7D" w:rsidP="006878A4">
            <w:r w:rsidRPr="00A808AC">
              <w:t>75 mg</w:t>
            </w:r>
            <w:r>
              <w:t> </w:t>
            </w:r>
            <w:r w:rsidRPr="00A808AC">
              <w:t>q12h</w:t>
            </w:r>
          </w:p>
        </w:tc>
        <w:tc>
          <w:tcPr>
            <w:tcW w:w="617" w:type="pct"/>
            <w:tcMar>
              <w:top w:w="0" w:type="dxa"/>
              <w:left w:w="108" w:type="dxa"/>
              <w:bottom w:w="0" w:type="dxa"/>
              <w:right w:w="108" w:type="dxa"/>
            </w:tcMar>
          </w:tcPr>
          <w:p w14:paraId="3EC57DB9" w14:textId="77777777" w:rsidR="00A57494" w:rsidRPr="00A808AC" w:rsidRDefault="005A3D7D" w:rsidP="006878A4">
            <w:r w:rsidRPr="00A808AC">
              <w:t>629 (296)</w:t>
            </w:r>
          </w:p>
        </w:tc>
        <w:tc>
          <w:tcPr>
            <w:tcW w:w="784" w:type="pct"/>
            <w:tcMar>
              <w:top w:w="0" w:type="dxa"/>
              <w:left w:w="108" w:type="dxa"/>
              <w:bottom w:w="0" w:type="dxa"/>
              <w:right w:w="108" w:type="dxa"/>
            </w:tcMar>
          </w:tcPr>
          <w:p w14:paraId="39750723" w14:textId="77777777" w:rsidR="00A57494" w:rsidRPr="00A808AC" w:rsidRDefault="005A3D7D" w:rsidP="006878A4">
            <w:r w:rsidRPr="00A808AC">
              <w:t>11300 (3820)</w:t>
            </w:r>
          </w:p>
        </w:tc>
      </w:tr>
      <w:tr w:rsidR="00476058" w14:paraId="01608703" w14:textId="77777777" w:rsidTr="0012118D">
        <w:trPr>
          <w:trHeight w:val="303"/>
        </w:trPr>
        <w:tc>
          <w:tcPr>
            <w:tcW w:w="2837" w:type="pct"/>
            <w:tcMar>
              <w:top w:w="0" w:type="dxa"/>
              <w:left w:w="108" w:type="dxa"/>
              <w:bottom w:w="0" w:type="dxa"/>
              <w:right w:w="108" w:type="dxa"/>
            </w:tcMar>
            <w:vAlign w:val="center"/>
          </w:tcPr>
          <w:p w14:paraId="1061E5D9" w14:textId="37E34266" w:rsidR="00A57494" w:rsidRPr="00695508" w:rsidRDefault="005A3D7D" w:rsidP="00CA7E1F">
            <w:r w:rsidRPr="00695508">
              <w:t>6- to 11-year-olds</w:t>
            </w:r>
            <w:r>
              <w:t> </w:t>
            </w:r>
            <w:r w:rsidR="00707198">
              <w:rPr>
                <w:vertAlign w:val="superscript"/>
              </w:rPr>
              <w:t>†</w:t>
            </w:r>
            <w:r w:rsidR="003520BC">
              <w:t xml:space="preserve"> </w:t>
            </w:r>
            <w:r w:rsidRPr="00695508">
              <w:t>(≥</w:t>
            </w:r>
            <w:r>
              <w:rPr>
                <w:bCs/>
              </w:rPr>
              <w:t> </w:t>
            </w:r>
            <w:r w:rsidR="00A03888" w:rsidRPr="00695508">
              <w:t>14</w:t>
            </w:r>
            <w:r w:rsidR="00A03888">
              <w:t> </w:t>
            </w:r>
            <w:r w:rsidRPr="00695508">
              <w:t>kg to &lt;</w:t>
            </w:r>
            <w:r>
              <w:rPr>
                <w:bCs/>
              </w:rPr>
              <w:t> </w:t>
            </w:r>
            <w:r w:rsidR="00A03888" w:rsidRPr="00695508">
              <w:t>25</w:t>
            </w:r>
            <w:r w:rsidR="00A03888">
              <w:t> </w:t>
            </w:r>
            <w:r w:rsidRPr="00695508">
              <w:t>kg)</w:t>
            </w:r>
          </w:p>
        </w:tc>
        <w:tc>
          <w:tcPr>
            <w:tcW w:w="762" w:type="pct"/>
            <w:tcMar>
              <w:top w:w="0" w:type="dxa"/>
              <w:left w:w="108" w:type="dxa"/>
              <w:bottom w:w="0" w:type="dxa"/>
              <w:right w:w="108" w:type="dxa"/>
            </w:tcMar>
          </w:tcPr>
          <w:p w14:paraId="16BB6B1C" w14:textId="77777777" w:rsidR="00A57494" w:rsidRPr="00A808AC" w:rsidRDefault="005A3D7D" w:rsidP="006878A4">
            <w:r w:rsidRPr="00A808AC">
              <w:t>75</w:t>
            </w:r>
            <w:r>
              <w:t> </w:t>
            </w:r>
            <w:r w:rsidRPr="00A808AC">
              <w:t>mg</w:t>
            </w:r>
            <w:r>
              <w:t> </w:t>
            </w:r>
            <w:r w:rsidRPr="00A808AC">
              <w:t>q12h</w:t>
            </w:r>
          </w:p>
        </w:tc>
        <w:tc>
          <w:tcPr>
            <w:tcW w:w="617" w:type="pct"/>
            <w:tcMar>
              <w:top w:w="0" w:type="dxa"/>
              <w:left w:w="108" w:type="dxa"/>
              <w:bottom w:w="0" w:type="dxa"/>
              <w:right w:w="108" w:type="dxa"/>
            </w:tcMar>
          </w:tcPr>
          <w:p w14:paraId="2F08CA45" w14:textId="77777777" w:rsidR="00A57494" w:rsidRPr="00A808AC" w:rsidRDefault="005A3D7D" w:rsidP="006878A4">
            <w:r w:rsidRPr="00A808AC">
              <w:t>641 (329)</w:t>
            </w:r>
          </w:p>
        </w:tc>
        <w:tc>
          <w:tcPr>
            <w:tcW w:w="784" w:type="pct"/>
            <w:tcMar>
              <w:top w:w="0" w:type="dxa"/>
              <w:left w:w="108" w:type="dxa"/>
              <w:bottom w:w="0" w:type="dxa"/>
              <w:right w:w="108" w:type="dxa"/>
            </w:tcMar>
          </w:tcPr>
          <w:p w14:paraId="7F447C46" w14:textId="77777777" w:rsidR="00A57494" w:rsidRPr="00A808AC" w:rsidRDefault="005A3D7D" w:rsidP="006878A4">
            <w:r w:rsidRPr="00A808AC">
              <w:t>10760 (4470)</w:t>
            </w:r>
          </w:p>
        </w:tc>
      </w:tr>
      <w:tr w:rsidR="00476058" w14:paraId="6D967CC6" w14:textId="77777777" w:rsidTr="0012118D">
        <w:trPr>
          <w:trHeight w:val="303"/>
        </w:trPr>
        <w:tc>
          <w:tcPr>
            <w:tcW w:w="2837" w:type="pct"/>
            <w:tcMar>
              <w:top w:w="0" w:type="dxa"/>
              <w:left w:w="108" w:type="dxa"/>
              <w:bottom w:w="0" w:type="dxa"/>
              <w:right w:w="108" w:type="dxa"/>
            </w:tcMar>
          </w:tcPr>
          <w:p w14:paraId="767ABCE5" w14:textId="247710C2" w:rsidR="00A57494" w:rsidRPr="00695508" w:rsidRDefault="005A3D7D" w:rsidP="00CA7E1F">
            <w:r w:rsidRPr="00695508">
              <w:t>6- to 11-year-olds</w:t>
            </w:r>
            <w:r>
              <w:t> </w:t>
            </w:r>
            <w:r w:rsidR="00707198">
              <w:rPr>
                <w:vertAlign w:val="superscript"/>
              </w:rPr>
              <w:t>†</w:t>
            </w:r>
            <w:r w:rsidR="003520BC">
              <w:t xml:space="preserve"> </w:t>
            </w:r>
            <w:r w:rsidRPr="00695508">
              <w:t>(≥</w:t>
            </w:r>
            <w:r>
              <w:t> </w:t>
            </w:r>
            <w:r w:rsidR="00A03888" w:rsidRPr="00695508">
              <w:t>25</w:t>
            </w:r>
            <w:r w:rsidR="00A03888">
              <w:t> </w:t>
            </w:r>
            <w:r w:rsidRPr="00695508">
              <w:t>kg)</w:t>
            </w:r>
          </w:p>
        </w:tc>
        <w:tc>
          <w:tcPr>
            <w:tcW w:w="762" w:type="pct"/>
            <w:tcMar>
              <w:top w:w="0" w:type="dxa"/>
              <w:left w:w="108" w:type="dxa"/>
              <w:bottom w:w="0" w:type="dxa"/>
              <w:right w:w="108" w:type="dxa"/>
            </w:tcMar>
          </w:tcPr>
          <w:p w14:paraId="5DAD9034" w14:textId="77777777" w:rsidR="00A57494" w:rsidRPr="00A808AC" w:rsidRDefault="005A3D7D" w:rsidP="006878A4">
            <w:r w:rsidRPr="00A808AC">
              <w:t>150 mg</w:t>
            </w:r>
            <w:r>
              <w:t> </w:t>
            </w:r>
            <w:r w:rsidRPr="00A808AC">
              <w:t>q12h</w:t>
            </w:r>
          </w:p>
        </w:tc>
        <w:tc>
          <w:tcPr>
            <w:tcW w:w="617" w:type="pct"/>
            <w:tcMar>
              <w:top w:w="0" w:type="dxa"/>
              <w:left w:w="108" w:type="dxa"/>
              <w:bottom w:w="0" w:type="dxa"/>
              <w:right w:w="108" w:type="dxa"/>
            </w:tcMar>
          </w:tcPr>
          <w:p w14:paraId="66821433" w14:textId="77777777" w:rsidR="00A57494" w:rsidRPr="00A808AC" w:rsidRDefault="005A3D7D" w:rsidP="006878A4">
            <w:r w:rsidRPr="00A808AC">
              <w:t>958 (546)</w:t>
            </w:r>
          </w:p>
        </w:tc>
        <w:tc>
          <w:tcPr>
            <w:tcW w:w="784" w:type="pct"/>
            <w:tcMar>
              <w:top w:w="0" w:type="dxa"/>
              <w:left w:w="108" w:type="dxa"/>
              <w:bottom w:w="0" w:type="dxa"/>
              <w:right w:w="108" w:type="dxa"/>
            </w:tcMar>
          </w:tcPr>
          <w:p w14:paraId="274DC54A" w14:textId="77777777" w:rsidR="00A57494" w:rsidRPr="00A808AC" w:rsidRDefault="005A3D7D" w:rsidP="006878A4">
            <w:r w:rsidRPr="00A808AC">
              <w:t>15300 (7340)</w:t>
            </w:r>
          </w:p>
        </w:tc>
      </w:tr>
      <w:tr w:rsidR="00476058" w14:paraId="535C6931" w14:textId="77777777" w:rsidTr="0012118D">
        <w:trPr>
          <w:trHeight w:val="303"/>
        </w:trPr>
        <w:tc>
          <w:tcPr>
            <w:tcW w:w="2837" w:type="pct"/>
            <w:tcMar>
              <w:top w:w="0" w:type="dxa"/>
              <w:left w:w="108" w:type="dxa"/>
              <w:bottom w:w="0" w:type="dxa"/>
              <w:right w:w="108" w:type="dxa"/>
            </w:tcMar>
          </w:tcPr>
          <w:p w14:paraId="413DB06A" w14:textId="77777777" w:rsidR="00A57494" w:rsidRPr="00695508" w:rsidRDefault="005A3D7D" w:rsidP="006878A4">
            <w:r w:rsidRPr="00695508">
              <w:t>12- to 17-year-olds</w:t>
            </w:r>
          </w:p>
        </w:tc>
        <w:tc>
          <w:tcPr>
            <w:tcW w:w="762" w:type="pct"/>
            <w:tcMar>
              <w:top w:w="0" w:type="dxa"/>
              <w:left w:w="108" w:type="dxa"/>
              <w:bottom w:w="0" w:type="dxa"/>
              <w:right w:w="108" w:type="dxa"/>
            </w:tcMar>
          </w:tcPr>
          <w:p w14:paraId="76A5AF57" w14:textId="77777777" w:rsidR="00A57494" w:rsidRPr="00A808AC" w:rsidRDefault="005A3D7D" w:rsidP="006878A4">
            <w:r w:rsidRPr="00A808AC">
              <w:t>150 mg</w:t>
            </w:r>
            <w:r>
              <w:t> </w:t>
            </w:r>
            <w:r w:rsidRPr="00A808AC">
              <w:t>q12h</w:t>
            </w:r>
          </w:p>
        </w:tc>
        <w:tc>
          <w:tcPr>
            <w:tcW w:w="617" w:type="pct"/>
            <w:tcMar>
              <w:top w:w="0" w:type="dxa"/>
              <w:left w:w="108" w:type="dxa"/>
              <w:bottom w:w="0" w:type="dxa"/>
              <w:right w:w="108" w:type="dxa"/>
            </w:tcMar>
          </w:tcPr>
          <w:p w14:paraId="4D449ED5" w14:textId="77777777" w:rsidR="00A57494" w:rsidRPr="00A808AC" w:rsidRDefault="005A3D7D" w:rsidP="006878A4">
            <w:r w:rsidRPr="00A808AC">
              <w:t>564 (242)</w:t>
            </w:r>
          </w:p>
        </w:tc>
        <w:tc>
          <w:tcPr>
            <w:tcW w:w="784" w:type="pct"/>
            <w:tcMar>
              <w:top w:w="0" w:type="dxa"/>
              <w:left w:w="108" w:type="dxa"/>
              <w:bottom w:w="0" w:type="dxa"/>
              <w:right w:w="108" w:type="dxa"/>
            </w:tcMar>
          </w:tcPr>
          <w:p w14:paraId="5C8E1F87" w14:textId="77777777" w:rsidR="00A57494" w:rsidRPr="00A808AC" w:rsidRDefault="005A3D7D" w:rsidP="006878A4">
            <w:r w:rsidRPr="00A808AC">
              <w:t>9240 (3420)</w:t>
            </w:r>
          </w:p>
        </w:tc>
      </w:tr>
      <w:tr w:rsidR="00476058" w14:paraId="4C48887D" w14:textId="77777777" w:rsidTr="0012118D">
        <w:trPr>
          <w:trHeight w:val="303"/>
        </w:trPr>
        <w:tc>
          <w:tcPr>
            <w:tcW w:w="2837" w:type="pct"/>
            <w:tcMar>
              <w:top w:w="0" w:type="dxa"/>
              <w:left w:w="108" w:type="dxa"/>
              <w:bottom w:w="0" w:type="dxa"/>
              <w:right w:w="108" w:type="dxa"/>
            </w:tcMar>
          </w:tcPr>
          <w:p w14:paraId="1B3C4CE7" w14:textId="77777777" w:rsidR="00A57494" w:rsidRPr="00695508" w:rsidRDefault="005A3D7D" w:rsidP="006878A4">
            <w:r w:rsidRPr="00695508">
              <w:t>Adults (≥</w:t>
            </w:r>
            <w:r>
              <w:t> </w:t>
            </w:r>
            <w:r w:rsidRPr="00695508">
              <w:t>18 years old)</w:t>
            </w:r>
          </w:p>
        </w:tc>
        <w:tc>
          <w:tcPr>
            <w:tcW w:w="762" w:type="pct"/>
            <w:tcMar>
              <w:top w:w="0" w:type="dxa"/>
              <w:left w:w="108" w:type="dxa"/>
              <w:bottom w:w="0" w:type="dxa"/>
              <w:right w:w="108" w:type="dxa"/>
            </w:tcMar>
          </w:tcPr>
          <w:p w14:paraId="735EF40F" w14:textId="77777777" w:rsidR="00A57494" w:rsidRPr="00A808AC" w:rsidRDefault="005A3D7D" w:rsidP="006878A4">
            <w:r w:rsidRPr="00A808AC">
              <w:t>150 mg</w:t>
            </w:r>
            <w:r>
              <w:t> </w:t>
            </w:r>
            <w:r w:rsidRPr="00A808AC">
              <w:t>q12h</w:t>
            </w:r>
          </w:p>
        </w:tc>
        <w:tc>
          <w:tcPr>
            <w:tcW w:w="617" w:type="pct"/>
            <w:tcMar>
              <w:top w:w="0" w:type="dxa"/>
              <w:left w:w="108" w:type="dxa"/>
              <w:bottom w:w="0" w:type="dxa"/>
              <w:right w:w="108" w:type="dxa"/>
            </w:tcMar>
          </w:tcPr>
          <w:p w14:paraId="1CC5E1DB" w14:textId="77777777" w:rsidR="00A57494" w:rsidRPr="00A808AC" w:rsidRDefault="005A3D7D" w:rsidP="006878A4">
            <w:r w:rsidRPr="00A808AC">
              <w:t>701 (317)</w:t>
            </w:r>
          </w:p>
        </w:tc>
        <w:tc>
          <w:tcPr>
            <w:tcW w:w="784" w:type="pct"/>
            <w:tcMar>
              <w:top w:w="0" w:type="dxa"/>
              <w:left w:w="108" w:type="dxa"/>
              <w:bottom w:w="0" w:type="dxa"/>
              <w:right w:w="108" w:type="dxa"/>
            </w:tcMar>
          </w:tcPr>
          <w:p w14:paraId="6E765284" w14:textId="77777777" w:rsidR="00A57494" w:rsidRPr="00A808AC" w:rsidRDefault="005A3D7D" w:rsidP="006878A4">
            <w:r w:rsidRPr="00A808AC">
              <w:t>10700 (4100)</w:t>
            </w:r>
          </w:p>
        </w:tc>
      </w:tr>
    </w:tbl>
    <w:p w14:paraId="15A90B0A" w14:textId="77777777" w:rsidR="00A419F8" w:rsidRDefault="005A3D7D" w:rsidP="000A093B">
      <w:pPr>
        <w:keepNext/>
        <w:tabs>
          <w:tab w:val="clear" w:pos="567"/>
        </w:tabs>
        <w:ind w:left="270" w:hanging="270"/>
        <w:rPr>
          <w:sz w:val="18"/>
          <w:szCs w:val="18"/>
        </w:rPr>
      </w:pPr>
      <w:r w:rsidRPr="00A419F8">
        <w:rPr>
          <w:sz w:val="18"/>
          <w:szCs w:val="18"/>
          <w:vertAlign w:val="superscript"/>
        </w:rPr>
        <w:t>*</w:t>
      </w:r>
      <w:r w:rsidR="003E0367">
        <w:rPr>
          <w:vertAlign w:val="superscript"/>
          <w:lang w:val="en-US"/>
        </w:rPr>
        <w:tab/>
      </w:r>
      <w:r w:rsidRPr="00A419F8">
        <w:rPr>
          <w:sz w:val="18"/>
          <w:szCs w:val="18"/>
          <w:lang w:val="en-US"/>
        </w:rPr>
        <w:t>Values based on data from a single patient; standard deviation not reported</w:t>
      </w:r>
      <w:r w:rsidR="00E91E71">
        <w:rPr>
          <w:sz w:val="18"/>
          <w:szCs w:val="18"/>
          <w:lang w:val="en-US"/>
        </w:rPr>
        <w:t>.</w:t>
      </w:r>
    </w:p>
    <w:p w14:paraId="11193A21" w14:textId="77777777" w:rsidR="00096B0E" w:rsidRDefault="005A3D7D" w:rsidP="000A093B">
      <w:pPr>
        <w:keepNext/>
        <w:tabs>
          <w:tab w:val="clear" w:pos="567"/>
        </w:tabs>
        <w:ind w:left="270" w:hanging="270"/>
        <w:rPr>
          <w:bCs/>
          <w:sz w:val="18"/>
          <w:szCs w:val="18"/>
        </w:rPr>
      </w:pPr>
      <w:r w:rsidRPr="00F812DF">
        <w:rPr>
          <w:position w:val="6"/>
          <w:sz w:val="18"/>
          <w:szCs w:val="18"/>
          <w:vertAlign w:val="superscript"/>
        </w:rPr>
        <w:t>†</w:t>
      </w:r>
      <w:r w:rsidR="003E0367">
        <w:rPr>
          <w:sz w:val="18"/>
          <w:szCs w:val="18"/>
        </w:rPr>
        <w:tab/>
      </w:r>
      <w:r w:rsidR="00414315" w:rsidRPr="006A1E32">
        <w:rPr>
          <w:bCs/>
          <w:sz w:val="18"/>
          <w:szCs w:val="18"/>
        </w:rPr>
        <w:t>Exposures in 6</w:t>
      </w:r>
      <w:r w:rsidR="00414315" w:rsidRPr="006A1E32">
        <w:rPr>
          <w:bCs/>
          <w:sz w:val="18"/>
          <w:szCs w:val="18"/>
        </w:rPr>
        <w:noBreakHyphen/>
        <w:t xml:space="preserve"> to 11</w:t>
      </w:r>
      <w:r w:rsidR="00414315" w:rsidRPr="006A1E32">
        <w:rPr>
          <w:bCs/>
          <w:sz w:val="18"/>
          <w:szCs w:val="18"/>
        </w:rPr>
        <w:noBreakHyphen/>
        <w:t>year</w:t>
      </w:r>
      <w:r w:rsidR="00414315" w:rsidRPr="006A1E32">
        <w:rPr>
          <w:bCs/>
          <w:sz w:val="18"/>
          <w:szCs w:val="18"/>
        </w:rPr>
        <w:noBreakHyphen/>
        <w:t>olds are predictions based on simulations from the population PK model using data obtained for this age group.</w:t>
      </w:r>
    </w:p>
    <w:p w14:paraId="0FD7C002" w14:textId="77777777" w:rsidR="00096B0E" w:rsidRPr="00A808AC" w:rsidRDefault="00096B0E" w:rsidP="00327B26"/>
    <w:p w14:paraId="62EDD328" w14:textId="77777777" w:rsidR="00096B0E" w:rsidRPr="00A808AC" w:rsidRDefault="005A3D7D" w:rsidP="00A0798C">
      <w:pPr>
        <w:keepNext/>
        <w:suppressLineNumbers/>
        <w:spacing w:line="240" w:lineRule="auto"/>
        <w:outlineLvl w:val="1"/>
      </w:pPr>
      <w:r w:rsidRPr="00A808AC">
        <w:rPr>
          <w:b/>
          <w:bCs/>
        </w:rPr>
        <w:t>5.3</w:t>
      </w:r>
      <w:r w:rsidRPr="00A808AC">
        <w:rPr>
          <w:b/>
          <w:bCs/>
        </w:rPr>
        <w:tab/>
        <w:t>Preclinical safety data</w:t>
      </w:r>
    </w:p>
    <w:p w14:paraId="58CA9BD8" w14:textId="77777777" w:rsidR="00096B0E" w:rsidRPr="00A808AC" w:rsidRDefault="00096B0E" w:rsidP="0069106A">
      <w:pPr>
        <w:keepNext/>
        <w:suppressLineNumbers/>
        <w:spacing w:line="240" w:lineRule="auto"/>
      </w:pPr>
    </w:p>
    <w:p w14:paraId="6FC9800A" w14:textId="77777777" w:rsidR="00D63E83" w:rsidRPr="00F11863" w:rsidRDefault="005A3D7D" w:rsidP="000A093B">
      <w:pPr>
        <w:keepNext/>
      </w:pPr>
      <w:r w:rsidRPr="00F11863">
        <w:t xml:space="preserve">Non-clinical data reveal no special hazard for humans based on conventional studies of safety pharmacology, </w:t>
      </w:r>
      <w:r w:rsidRPr="00F11863">
        <w:t>repeated dose toxicity, genotoxicity, and carcinogenic potential.</w:t>
      </w:r>
    </w:p>
    <w:p w14:paraId="2041DFEB" w14:textId="77777777" w:rsidR="00D63E83" w:rsidRPr="00F11863" w:rsidRDefault="00D63E83" w:rsidP="00D63E83"/>
    <w:p w14:paraId="1A37FD96" w14:textId="77777777" w:rsidR="00284416" w:rsidRPr="008B6996" w:rsidRDefault="005A3D7D" w:rsidP="000A093B">
      <w:pPr>
        <w:keepNext/>
        <w:rPr>
          <w:u w:val="single"/>
        </w:rPr>
      </w:pPr>
      <w:r w:rsidRPr="008B6996">
        <w:rPr>
          <w:u w:val="single"/>
        </w:rPr>
        <w:t>Pregnancy and fertility</w:t>
      </w:r>
    </w:p>
    <w:p w14:paraId="71081458" w14:textId="77777777" w:rsidR="00487EC4" w:rsidRPr="00284416" w:rsidRDefault="00487EC4" w:rsidP="000A093B">
      <w:pPr>
        <w:keepNext/>
        <w:rPr>
          <w:i/>
        </w:rPr>
      </w:pPr>
    </w:p>
    <w:p w14:paraId="5E015E4A" w14:textId="77777777" w:rsidR="00D63E83" w:rsidRPr="00F11863" w:rsidRDefault="005A3D7D" w:rsidP="000A093B">
      <w:pPr>
        <w:keepNext/>
      </w:pPr>
      <w:r w:rsidRPr="00F11863">
        <w:t>Ivacaftor was associated with slight decreases of the seminal vesicle weights, a decrease of overall fertility index and number of pregnancies in females mated with</w:t>
      </w:r>
      <w:r w:rsidRPr="00F11863">
        <w:t xml:space="preserve"> treated males and significant reductions in number of corpora lutea and implantation sites with subsequent reductions in the average litter size and average number of viable embryos per litter in treated females. The </w:t>
      </w:r>
      <w:r w:rsidR="00507CC2" w:rsidRPr="00F11863">
        <w:t>No</w:t>
      </w:r>
      <w:r w:rsidR="00507CC2">
        <w:noBreakHyphen/>
      </w:r>
      <w:r w:rsidR="00507CC2" w:rsidRPr="00F11863">
        <w:t>Observed</w:t>
      </w:r>
      <w:r w:rsidR="00507CC2">
        <w:noBreakHyphen/>
      </w:r>
      <w:r w:rsidR="00507CC2" w:rsidRPr="00F11863">
        <w:t>Adverse</w:t>
      </w:r>
      <w:r w:rsidR="00507CC2">
        <w:noBreakHyphen/>
      </w:r>
      <w:r w:rsidR="00507CC2" w:rsidRPr="00F11863">
        <w:t>Effect</w:t>
      </w:r>
      <w:r w:rsidR="00507CC2">
        <w:noBreakHyphen/>
      </w:r>
      <w:r w:rsidR="00507CC2" w:rsidRPr="00F11863">
        <w:t xml:space="preserve">Level </w:t>
      </w:r>
      <w:r w:rsidRPr="00F11863">
        <w:t>(NOAE</w:t>
      </w:r>
      <w:r w:rsidRPr="00F11863">
        <w:t>L) for fertility findings</w:t>
      </w:r>
      <w:r>
        <w:t xml:space="preserve"> provides an exposure level of </w:t>
      </w:r>
      <w:r w:rsidR="000B73E1">
        <w:t xml:space="preserve">approximately </w:t>
      </w:r>
      <w:r w:rsidR="00713CA6">
        <w:t>4</w:t>
      </w:r>
      <w:r>
        <w:t> </w:t>
      </w:r>
      <w:r w:rsidRPr="00F11863">
        <w:t xml:space="preserve">times the systemic exposure of ivacaftor and its metabolites when administered as </w:t>
      </w:r>
      <w:r w:rsidR="00B40018">
        <w:t xml:space="preserve">ivacaftor monotherapy </w:t>
      </w:r>
      <w:r w:rsidRPr="00F11863">
        <w:t xml:space="preserve">in adult humans at the maximum recommended human dose (MRHD). </w:t>
      </w:r>
      <w:r w:rsidR="00A85360" w:rsidRPr="00CC35F5">
        <w:t xml:space="preserve">Placental transfer of </w:t>
      </w:r>
      <w:r w:rsidR="000677E1">
        <w:t xml:space="preserve">ivacaftor </w:t>
      </w:r>
      <w:r w:rsidR="00A85360" w:rsidRPr="00CC35F5">
        <w:t>was observed in pregnant rats and rabbits.</w:t>
      </w:r>
    </w:p>
    <w:p w14:paraId="758B337E" w14:textId="77777777" w:rsidR="00D63E83" w:rsidRPr="00F11863" w:rsidRDefault="00D63E83" w:rsidP="00D63E83"/>
    <w:p w14:paraId="78435737" w14:textId="77777777" w:rsidR="00284416" w:rsidRDefault="005A3D7D" w:rsidP="000A093B">
      <w:pPr>
        <w:keepNext/>
        <w:rPr>
          <w:u w:val="single"/>
        </w:rPr>
      </w:pPr>
      <w:r w:rsidRPr="008B6996">
        <w:rPr>
          <w:u w:val="single"/>
        </w:rPr>
        <w:t>Peri</w:t>
      </w:r>
      <w:r w:rsidRPr="009F5980">
        <w:rPr>
          <w:u w:val="single"/>
        </w:rPr>
        <w:noBreakHyphen/>
        <w:t xml:space="preserve"> and post</w:t>
      </w:r>
      <w:r w:rsidRPr="009F5980">
        <w:rPr>
          <w:u w:val="single"/>
        </w:rPr>
        <w:noBreakHyphen/>
        <w:t xml:space="preserve">natal </w:t>
      </w:r>
      <w:r w:rsidRPr="008B6996">
        <w:rPr>
          <w:u w:val="single"/>
        </w:rPr>
        <w:t>development</w:t>
      </w:r>
    </w:p>
    <w:p w14:paraId="4A75CF4B" w14:textId="77777777" w:rsidR="0065561C" w:rsidRPr="008B6996" w:rsidRDefault="0065561C" w:rsidP="000A093B">
      <w:pPr>
        <w:keepNext/>
        <w:rPr>
          <w:u w:val="single"/>
        </w:rPr>
      </w:pPr>
    </w:p>
    <w:p w14:paraId="249E42E5" w14:textId="77777777" w:rsidR="00D63E83" w:rsidRPr="00F11863" w:rsidRDefault="005A3D7D" w:rsidP="000A093B">
      <w:pPr>
        <w:keepNext/>
      </w:pPr>
      <w:r w:rsidRPr="00CC35F5">
        <w:t>I</w:t>
      </w:r>
      <w:r w:rsidRPr="00F11863">
        <w:t>vacaftor decreased survival and lactation indices and caused a reduction in pup bod</w:t>
      </w:r>
      <w:r w:rsidRPr="00F11863">
        <w:t>y weights. The NOAEL for viability and growth in the offspring provides an exposure l</w:t>
      </w:r>
      <w:r w:rsidR="00713CA6">
        <w:t>evel approximately 3</w:t>
      </w:r>
      <w:r>
        <w:t> </w:t>
      </w:r>
      <w:r w:rsidRPr="00F11863">
        <w:t xml:space="preserve">times the systemic exposure of ivacaftor and its metabolites when administered as </w:t>
      </w:r>
      <w:r w:rsidR="00B40018">
        <w:t xml:space="preserve">ivacaftor monotherapy </w:t>
      </w:r>
      <w:r w:rsidRPr="00F11863">
        <w:t xml:space="preserve">in adult humans at the MRHD. </w:t>
      </w:r>
    </w:p>
    <w:p w14:paraId="66790C14" w14:textId="77777777" w:rsidR="00D63E83" w:rsidRPr="00F11863" w:rsidRDefault="00D63E83" w:rsidP="00D63E83"/>
    <w:p w14:paraId="4CD140A5" w14:textId="77777777" w:rsidR="00284416" w:rsidRDefault="005A3D7D" w:rsidP="000A093B">
      <w:pPr>
        <w:keepNext/>
        <w:rPr>
          <w:u w:val="single"/>
        </w:rPr>
      </w:pPr>
      <w:r w:rsidRPr="008B6996">
        <w:rPr>
          <w:u w:val="single"/>
        </w:rPr>
        <w:t>Juvenile animal</w:t>
      </w:r>
      <w:r w:rsidR="00487EC4" w:rsidRPr="008B6996">
        <w:rPr>
          <w:u w:val="single"/>
        </w:rPr>
        <w:t xml:space="preserve"> studies</w:t>
      </w:r>
    </w:p>
    <w:p w14:paraId="12A9CA91" w14:textId="77777777" w:rsidR="00487EC4" w:rsidRPr="008B6996" w:rsidRDefault="00487EC4" w:rsidP="000A093B">
      <w:pPr>
        <w:keepNext/>
        <w:rPr>
          <w:u w:val="single"/>
        </w:rPr>
      </w:pPr>
    </w:p>
    <w:p w14:paraId="16CCE13D" w14:textId="77777777" w:rsidR="00D63E83" w:rsidRDefault="005A3D7D" w:rsidP="000A093B">
      <w:pPr>
        <w:keepNext/>
      </w:pPr>
      <w:r w:rsidRPr="00F11863">
        <w:t xml:space="preserve">Findings of cataracts were observed in juvenile rats dosed from postnatal </w:t>
      </w:r>
      <w:r w:rsidR="00E347A4">
        <w:t>d</w:t>
      </w:r>
      <w:r w:rsidRPr="00F11863">
        <w:t>ay</w:t>
      </w:r>
      <w:r>
        <w:t> </w:t>
      </w:r>
      <w:r w:rsidRPr="00F11863">
        <w:t>7 throug</w:t>
      </w:r>
      <w:r w:rsidR="00713CA6">
        <w:t xml:space="preserve">h 35 at ivacaftor </w:t>
      </w:r>
      <w:r w:rsidR="000B73E1">
        <w:t xml:space="preserve">exposure </w:t>
      </w:r>
      <w:r w:rsidR="00713CA6">
        <w:t>levels of 0.22</w:t>
      </w:r>
      <w:r>
        <w:t> </w:t>
      </w:r>
      <w:r w:rsidRPr="00F11863">
        <w:t xml:space="preserve">times the MRHD based on systemic exposure of ivacaftor and its metabolites when administered as </w:t>
      </w:r>
      <w:r w:rsidR="00B40018">
        <w:t>ivacaftor monotherapy</w:t>
      </w:r>
      <w:r w:rsidRPr="00F11863">
        <w:t>.</w:t>
      </w:r>
      <w:r w:rsidRPr="00F11863">
        <w:t xml:space="preserve"> This finding has not been observed in f</w:t>
      </w:r>
      <w:r w:rsidR="00121FD1">
        <w:t>o</w:t>
      </w:r>
      <w:r w:rsidRPr="00F11863">
        <w:t xml:space="preserve">etuses derived from rat dams treated with ivacaftor on gestation </w:t>
      </w:r>
      <w:r w:rsidR="00E347A4">
        <w:t>d</w:t>
      </w:r>
      <w:r w:rsidRPr="00F11863">
        <w:t>ays</w:t>
      </w:r>
      <w:r>
        <w:t> </w:t>
      </w:r>
      <w:r w:rsidRPr="00F11863">
        <w:t xml:space="preserve">7 to 17, in rat pups exposed to ivacaftor through milk ingestion up to postnatal </w:t>
      </w:r>
      <w:r w:rsidR="00E347A4">
        <w:t>d</w:t>
      </w:r>
      <w:r w:rsidRPr="00F11863">
        <w:t>ay</w:t>
      </w:r>
      <w:r>
        <w:t> </w:t>
      </w:r>
      <w:r w:rsidRPr="00F11863">
        <w:t>20,</w:t>
      </w:r>
      <w:r>
        <w:t xml:space="preserve"> in 7</w:t>
      </w:r>
      <w:r>
        <w:noBreakHyphen/>
        <w:t>week old rats, nor in 3.5 to 5</w:t>
      </w:r>
      <w:r>
        <w:noBreakHyphen/>
      </w:r>
      <w:r w:rsidRPr="00F11863">
        <w:t>month old dogs treat</w:t>
      </w:r>
      <w:r w:rsidRPr="00F11863">
        <w:t>ed with ivacaftor. The potential relevance of these findings in humans is unknown.</w:t>
      </w:r>
    </w:p>
    <w:p w14:paraId="4CE99C5A" w14:textId="77777777" w:rsidR="00096B0E" w:rsidRPr="00FB0040" w:rsidRDefault="00096B0E" w:rsidP="00096B0E">
      <w:pPr>
        <w:spacing w:line="240" w:lineRule="auto"/>
      </w:pPr>
    </w:p>
    <w:p w14:paraId="39201591" w14:textId="77777777" w:rsidR="00096B0E" w:rsidRPr="00BA47B4" w:rsidRDefault="00096B0E" w:rsidP="009F5980">
      <w:pPr>
        <w:spacing w:line="240" w:lineRule="auto"/>
      </w:pPr>
    </w:p>
    <w:p w14:paraId="1EE83298" w14:textId="77777777" w:rsidR="00096B0E" w:rsidRPr="009F5980" w:rsidRDefault="005A3D7D" w:rsidP="00095957">
      <w:pPr>
        <w:pStyle w:val="Heading1"/>
        <w:spacing w:before="0" w:after="0" w:line="240" w:lineRule="auto"/>
        <w:rPr>
          <w:rFonts w:ascii="Times New Roman" w:hAnsi="Times New Roman" w:cs="Times New Roman"/>
          <w:b w:val="0"/>
          <w:sz w:val="22"/>
          <w:szCs w:val="22"/>
        </w:rPr>
      </w:pPr>
      <w:r w:rsidRPr="009F5980">
        <w:rPr>
          <w:rFonts w:ascii="Times New Roman" w:hAnsi="Times New Roman"/>
          <w:sz w:val="22"/>
        </w:rPr>
        <w:t>6.</w:t>
      </w:r>
      <w:r w:rsidRPr="009F5980">
        <w:rPr>
          <w:rFonts w:ascii="Times New Roman" w:hAnsi="Times New Roman"/>
          <w:sz w:val="22"/>
        </w:rPr>
        <w:tab/>
        <w:t>PHARMACEUTICAL PARTICULARS</w:t>
      </w:r>
    </w:p>
    <w:p w14:paraId="4CE9BFAB" w14:textId="77777777" w:rsidR="00096B0E" w:rsidRPr="009F5980" w:rsidRDefault="00096B0E" w:rsidP="00095957">
      <w:pPr>
        <w:keepNext/>
        <w:suppressLineNumbers/>
        <w:spacing w:line="240" w:lineRule="auto"/>
      </w:pPr>
    </w:p>
    <w:p w14:paraId="3E6AE3C7" w14:textId="77777777" w:rsidR="00096B0E" w:rsidRPr="00A808AC" w:rsidRDefault="005A3D7D" w:rsidP="000A093B">
      <w:pPr>
        <w:keepNext/>
        <w:suppressLineNumbers/>
        <w:spacing w:line="240" w:lineRule="auto"/>
      </w:pPr>
      <w:r w:rsidRPr="00A808AC">
        <w:rPr>
          <w:b/>
          <w:bCs/>
        </w:rPr>
        <w:t>6.1</w:t>
      </w:r>
      <w:r w:rsidRPr="00A808AC">
        <w:rPr>
          <w:b/>
          <w:bCs/>
        </w:rPr>
        <w:tab/>
        <w:t>List of excipients</w:t>
      </w:r>
    </w:p>
    <w:p w14:paraId="25B12F46" w14:textId="77777777" w:rsidR="00096B0E" w:rsidRPr="00A808AC" w:rsidRDefault="00096B0E" w:rsidP="000A093B">
      <w:pPr>
        <w:keepNext/>
        <w:suppressLineNumbers/>
        <w:spacing w:line="240" w:lineRule="auto"/>
        <w:rPr>
          <w:iCs/>
        </w:rPr>
      </w:pPr>
    </w:p>
    <w:p w14:paraId="196F4C13" w14:textId="77777777" w:rsidR="00096B0E" w:rsidRPr="00A808AC" w:rsidRDefault="005A3D7D" w:rsidP="000A093B">
      <w:pPr>
        <w:keepNext/>
        <w:spacing w:line="240" w:lineRule="auto"/>
      </w:pPr>
      <w:r>
        <w:t>Silica, colloidal anhydrous</w:t>
      </w:r>
    </w:p>
    <w:p w14:paraId="5DC63EDB" w14:textId="77777777" w:rsidR="00096B0E" w:rsidRPr="00A808AC" w:rsidRDefault="005A3D7D" w:rsidP="000A093B">
      <w:pPr>
        <w:keepNext/>
        <w:spacing w:line="240" w:lineRule="auto"/>
      </w:pPr>
      <w:r w:rsidRPr="00A808AC">
        <w:t>Croscarmellose sodium</w:t>
      </w:r>
    </w:p>
    <w:p w14:paraId="19663C1D" w14:textId="77777777" w:rsidR="00096B0E" w:rsidRPr="00A808AC" w:rsidRDefault="005A3D7D" w:rsidP="000A093B">
      <w:pPr>
        <w:keepNext/>
        <w:spacing w:line="240" w:lineRule="auto"/>
      </w:pPr>
      <w:r w:rsidRPr="00A808AC">
        <w:t>Hypromellose acetate succinate</w:t>
      </w:r>
    </w:p>
    <w:p w14:paraId="021CF53D" w14:textId="77777777" w:rsidR="00096B0E" w:rsidRPr="00A808AC" w:rsidRDefault="005A3D7D" w:rsidP="000A093B">
      <w:pPr>
        <w:keepNext/>
        <w:spacing w:line="240" w:lineRule="auto"/>
      </w:pPr>
      <w:r w:rsidRPr="00A808AC">
        <w:t>Lactose monohydrate</w:t>
      </w:r>
    </w:p>
    <w:p w14:paraId="2BF8CA53" w14:textId="77777777" w:rsidR="00096B0E" w:rsidRPr="000A093B" w:rsidRDefault="005A3D7D" w:rsidP="000A093B">
      <w:pPr>
        <w:keepNext/>
        <w:spacing w:line="240" w:lineRule="auto"/>
        <w:rPr>
          <w:lang w:val="it-IT"/>
        </w:rPr>
      </w:pPr>
      <w:r w:rsidRPr="000A093B">
        <w:rPr>
          <w:lang w:val="it-IT"/>
        </w:rPr>
        <w:t>Magnesium stearate</w:t>
      </w:r>
    </w:p>
    <w:p w14:paraId="0276AF98" w14:textId="77777777" w:rsidR="00096B0E" w:rsidRPr="000A093B" w:rsidRDefault="005A3D7D" w:rsidP="000A093B">
      <w:pPr>
        <w:keepNext/>
        <w:spacing w:line="240" w:lineRule="auto"/>
        <w:rPr>
          <w:lang w:val="it-IT"/>
        </w:rPr>
      </w:pPr>
      <w:r w:rsidRPr="000A093B">
        <w:rPr>
          <w:lang w:val="it-IT"/>
        </w:rPr>
        <w:t>Mannitol</w:t>
      </w:r>
    </w:p>
    <w:p w14:paraId="1E3B11BE" w14:textId="77777777" w:rsidR="00096B0E" w:rsidRPr="000A093B" w:rsidRDefault="005A3D7D" w:rsidP="000A093B">
      <w:pPr>
        <w:keepNext/>
        <w:spacing w:line="240" w:lineRule="auto"/>
        <w:rPr>
          <w:lang w:val="it-IT"/>
        </w:rPr>
      </w:pPr>
      <w:r w:rsidRPr="000A093B">
        <w:rPr>
          <w:lang w:val="it-IT"/>
        </w:rPr>
        <w:t>Sucralose</w:t>
      </w:r>
    </w:p>
    <w:p w14:paraId="5B24705A" w14:textId="77777777" w:rsidR="00096B0E" w:rsidRPr="000A093B" w:rsidRDefault="005A3D7D" w:rsidP="000A093B">
      <w:pPr>
        <w:keepNext/>
        <w:spacing w:line="240" w:lineRule="auto"/>
        <w:rPr>
          <w:i/>
          <w:lang w:val="it-IT"/>
        </w:rPr>
      </w:pPr>
      <w:r w:rsidRPr="000A093B">
        <w:rPr>
          <w:lang w:val="it-IT"/>
        </w:rPr>
        <w:t>Sodium laurilsulfate</w:t>
      </w:r>
      <w:r w:rsidR="0080201A" w:rsidRPr="000A093B">
        <w:rPr>
          <w:lang w:val="it-IT"/>
        </w:rPr>
        <w:t xml:space="preserve"> (E487)</w:t>
      </w:r>
    </w:p>
    <w:p w14:paraId="1FF724BC" w14:textId="77777777" w:rsidR="00096B0E" w:rsidRPr="000A093B" w:rsidRDefault="00096B0E" w:rsidP="00327B26">
      <w:pPr>
        <w:rPr>
          <w:lang w:val="it-IT"/>
        </w:rPr>
      </w:pPr>
    </w:p>
    <w:p w14:paraId="6748F352" w14:textId="77777777" w:rsidR="00096B0E" w:rsidRPr="00A808AC" w:rsidRDefault="005A3D7D" w:rsidP="009F5980">
      <w:pPr>
        <w:keepNext/>
        <w:suppressLineNumbers/>
        <w:spacing w:line="240" w:lineRule="auto"/>
        <w:outlineLvl w:val="1"/>
      </w:pPr>
      <w:r w:rsidRPr="00A808AC">
        <w:rPr>
          <w:b/>
          <w:bCs/>
        </w:rPr>
        <w:t>6.2</w:t>
      </w:r>
      <w:r w:rsidRPr="00A808AC">
        <w:rPr>
          <w:b/>
          <w:bCs/>
        </w:rPr>
        <w:tab/>
        <w:t>Incompatibilities</w:t>
      </w:r>
    </w:p>
    <w:p w14:paraId="74AB8560" w14:textId="77777777" w:rsidR="00096B0E" w:rsidRPr="00A808AC" w:rsidRDefault="00096B0E" w:rsidP="00A13523">
      <w:pPr>
        <w:keepNext/>
        <w:suppressLineNumbers/>
        <w:spacing w:line="240" w:lineRule="auto"/>
        <w:outlineLvl w:val="0"/>
      </w:pPr>
    </w:p>
    <w:p w14:paraId="7328A5FD" w14:textId="77777777" w:rsidR="00096B0E" w:rsidRPr="00A808AC" w:rsidRDefault="005A3D7D" w:rsidP="00096B0E">
      <w:pPr>
        <w:suppressLineNumbers/>
        <w:spacing w:line="240" w:lineRule="auto"/>
      </w:pPr>
      <w:r w:rsidRPr="00A808AC">
        <w:t>Not applicable.</w:t>
      </w:r>
    </w:p>
    <w:p w14:paraId="7974CD53" w14:textId="77777777" w:rsidR="00096B0E" w:rsidRPr="00A808AC" w:rsidRDefault="00096B0E" w:rsidP="00ED1D45">
      <w:pPr>
        <w:spacing w:line="240" w:lineRule="auto"/>
      </w:pPr>
    </w:p>
    <w:p w14:paraId="10F5D115" w14:textId="77777777" w:rsidR="00096B0E" w:rsidRPr="008640EA" w:rsidRDefault="005A3D7D" w:rsidP="009F5980">
      <w:pPr>
        <w:pStyle w:val="Heading2"/>
        <w:spacing w:before="0" w:after="0"/>
      </w:pPr>
      <w:r w:rsidRPr="009F5980">
        <w:rPr>
          <w:sz w:val="22"/>
        </w:rPr>
        <w:t>6.3</w:t>
      </w:r>
      <w:r w:rsidRPr="009F5980">
        <w:rPr>
          <w:sz w:val="22"/>
        </w:rPr>
        <w:tab/>
        <w:t>Shelf life</w:t>
      </w:r>
    </w:p>
    <w:p w14:paraId="4162C3B5" w14:textId="77777777" w:rsidR="00096B0E" w:rsidRPr="00A808AC" w:rsidRDefault="00096B0E" w:rsidP="00096B0E">
      <w:pPr>
        <w:keepNext/>
        <w:suppressLineNumbers/>
        <w:spacing w:line="240" w:lineRule="auto"/>
      </w:pPr>
    </w:p>
    <w:p w14:paraId="04FACF9F" w14:textId="77777777" w:rsidR="00096B0E" w:rsidRPr="00A808AC" w:rsidRDefault="005A3D7D" w:rsidP="00096B0E">
      <w:pPr>
        <w:keepNext/>
        <w:suppressLineNumbers/>
        <w:tabs>
          <w:tab w:val="left" w:pos="711"/>
        </w:tabs>
        <w:spacing w:line="240" w:lineRule="auto"/>
      </w:pPr>
      <w:r>
        <w:t>3</w:t>
      </w:r>
      <w:r w:rsidRPr="00A808AC">
        <w:t> years.</w:t>
      </w:r>
    </w:p>
    <w:p w14:paraId="24FBCA93" w14:textId="77777777" w:rsidR="00096B0E" w:rsidRPr="00A808AC" w:rsidRDefault="00096B0E" w:rsidP="00096B0E">
      <w:pPr>
        <w:keepNext/>
        <w:suppressLineNumbers/>
        <w:tabs>
          <w:tab w:val="left" w:pos="711"/>
        </w:tabs>
        <w:spacing w:line="240" w:lineRule="auto"/>
      </w:pPr>
    </w:p>
    <w:p w14:paraId="6A972BA3" w14:textId="77777777" w:rsidR="00096B0E" w:rsidRPr="00A808AC" w:rsidRDefault="005A3D7D" w:rsidP="00096B0E">
      <w:pPr>
        <w:suppressLineNumbers/>
        <w:spacing w:line="240" w:lineRule="auto"/>
      </w:pPr>
      <w:r w:rsidRPr="00A808AC">
        <w:t xml:space="preserve">Once mixed, the </w:t>
      </w:r>
      <w:r w:rsidR="00C21948" w:rsidRPr="00A808AC">
        <w:t xml:space="preserve">mixture </w:t>
      </w:r>
      <w:r w:rsidRPr="00A808AC">
        <w:t>has been shown to be stable for one hour.</w:t>
      </w:r>
    </w:p>
    <w:p w14:paraId="4471FBEF" w14:textId="77777777" w:rsidR="00096B0E" w:rsidRPr="00A808AC" w:rsidRDefault="00096B0E" w:rsidP="00327B26"/>
    <w:p w14:paraId="63DAD2FE" w14:textId="77777777" w:rsidR="00096B0E" w:rsidRPr="00A808AC" w:rsidRDefault="005A3D7D" w:rsidP="000A093B">
      <w:pPr>
        <w:keepNext/>
        <w:suppressLineNumbers/>
        <w:spacing w:line="240" w:lineRule="auto"/>
        <w:ind w:left="567" w:hanging="567"/>
        <w:outlineLvl w:val="1"/>
        <w:rPr>
          <w:b/>
          <w:bCs/>
        </w:rPr>
      </w:pPr>
      <w:r w:rsidRPr="00A808AC">
        <w:rPr>
          <w:b/>
          <w:bCs/>
        </w:rPr>
        <w:t>6.4</w:t>
      </w:r>
      <w:r w:rsidRPr="00A808AC">
        <w:rPr>
          <w:b/>
          <w:bCs/>
        </w:rPr>
        <w:tab/>
        <w:t>Special precautions for storage</w:t>
      </w:r>
    </w:p>
    <w:p w14:paraId="5CDD4BF0" w14:textId="77777777" w:rsidR="00096B0E" w:rsidRPr="00A808AC" w:rsidRDefault="00096B0E" w:rsidP="000A093B">
      <w:pPr>
        <w:keepNext/>
        <w:suppressLineNumbers/>
        <w:spacing w:line="240" w:lineRule="auto"/>
        <w:ind w:left="567" w:hanging="567"/>
        <w:outlineLvl w:val="0"/>
      </w:pPr>
    </w:p>
    <w:p w14:paraId="30B72515" w14:textId="77777777" w:rsidR="00EA7D11" w:rsidRPr="00A808AC" w:rsidRDefault="005A3D7D" w:rsidP="000A093B">
      <w:pPr>
        <w:keepNext/>
        <w:spacing w:line="240" w:lineRule="auto"/>
      </w:pPr>
      <w:r>
        <w:t xml:space="preserve">This </w:t>
      </w:r>
      <w:r>
        <w:t>medicinal product does not require any special storage conditions</w:t>
      </w:r>
      <w:r w:rsidR="0063559C">
        <w:t>.</w:t>
      </w:r>
    </w:p>
    <w:p w14:paraId="7D1669DF" w14:textId="77777777" w:rsidR="00096B0E" w:rsidRPr="00A808AC" w:rsidRDefault="00096B0E" w:rsidP="00327B26"/>
    <w:p w14:paraId="5FE888A5" w14:textId="77777777" w:rsidR="00096B0E" w:rsidRPr="00A808AC" w:rsidRDefault="005A3D7D" w:rsidP="00A0798C">
      <w:pPr>
        <w:keepNext/>
        <w:suppressLineNumbers/>
        <w:spacing w:line="240" w:lineRule="auto"/>
        <w:outlineLvl w:val="1"/>
        <w:rPr>
          <w:b/>
          <w:bCs/>
        </w:rPr>
      </w:pPr>
      <w:r w:rsidRPr="00A808AC">
        <w:rPr>
          <w:b/>
          <w:bCs/>
        </w:rPr>
        <w:t>6.5</w:t>
      </w:r>
      <w:r w:rsidRPr="00A808AC">
        <w:rPr>
          <w:b/>
          <w:bCs/>
        </w:rPr>
        <w:tab/>
        <w:t>Nature and contents of container</w:t>
      </w:r>
    </w:p>
    <w:p w14:paraId="76CF0CDC" w14:textId="77777777" w:rsidR="00096B0E" w:rsidRPr="00A808AC" w:rsidRDefault="00096B0E" w:rsidP="0069106A">
      <w:pPr>
        <w:keepNext/>
        <w:suppressLineNumbers/>
        <w:spacing w:line="240" w:lineRule="auto"/>
        <w:outlineLvl w:val="0"/>
        <w:rPr>
          <w:b/>
          <w:bCs/>
        </w:rPr>
      </w:pPr>
    </w:p>
    <w:p w14:paraId="002D5BD9" w14:textId="77777777" w:rsidR="00096B0E" w:rsidRPr="00A808AC" w:rsidRDefault="005A3D7D" w:rsidP="000A093B">
      <w:pPr>
        <w:keepNext/>
        <w:autoSpaceDE w:val="0"/>
        <w:autoSpaceDN w:val="0"/>
        <w:spacing w:line="240" w:lineRule="auto"/>
      </w:pPr>
      <w:r w:rsidRPr="00A808AC">
        <w:t>The granules are packed in a Biaxially Oriented Polyethylene Terephthalate/Polyethylene/Foil/Polyethylene (</w:t>
      </w:r>
      <w:r w:rsidR="005D23CE" w:rsidRPr="00A808AC">
        <w:t>BOPET/PE/Foil/PE) sachet.</w:t>
      </w:r>
    </w:p>
    <w:p w14:paraId="67293420" w14:textId="77777777" w:rsidR="00096B0E" w:rsidRPr="00A808AC" w:rsidRDefault="00096B0E" w:rsidP="00096B0E">
      <w:pPr>
        <w:autoSpaceDE w:val="0"/>
        <w:autoSpaceDN w:val="0"/>
        <w:spacing w:line="240" w:lineRule="auto"/>
      </w:pPr>
    </w:p>
    <w:p w14:paraId="32C1947B" w14:textId="77777777" w:rsidR="00096B0E" w:rsidRPr="00A808AC" w:rsidRDefault="005A3D7D" w:rsidP="00096B0E">
      <w:pPr>
        <w:tabs>
          <w:tab w:val="clear" w:pos="567"/>
          <w:tab w:val="left" w:pos="450"/>
        </w:tabs>
        <w:spacing w:line="240" w:lineRule="auto"/>
      </w:pPr>
      <w:r w:rsidRPr="00A808AC">
        <w:t xml:space="preserve">Pack size of </w:t>
      </w:r>
      <w:r w:rsidRPr="00A808AC">
        <w:t>56 sachets (contains 4 individual wallets with 14 sachets per wallet)</w:t>
      </w:r>
    </w:p>
    <w:p w14:paraId="476A0747" w14:textId="77777777" w:rsidR="00096B0E" w:rsidRPr="00A808AC" w:rsidRDefault="00096B0E" w:rsidP="00327B26"/>
    <w:p w14:paraId="49A60B67" w14:textId="77777777" w:rsidR="00096B0E" w:rsidRPr="00A808AC" w:rsidRDefault="005A3D7D" w:rsidP="000A093B">
      <w:pPr>
        <w:keepNext/>
        <w:suppressLineNumbers/>
        <w:spacing w:line="240" w:lineRule="auto"/>
        <w:ind w:left="567" w:hanging="567"/>
        <w:outlineLvl w:val="1"/>
      </w:pPr>
      <w:r w:rsidRPr="00A808AC">
        <w:rPr>
          <w:b/>
          <w:bCs/>
        </w:rPr>
        <w:t>6.6</w:t>
      </w:r>
      <w:r w:rsidRPr="00A808AC">
        <w:rPr>
          <w:b/>
          <w:bCs/>
        </w:rPr>
        <w:tab/>
        <w:t>Special precautions for disposal and other handling</w:t>
      </w:r>
    </w:p>
    <w:p w14:paraId="02105BBE" w14:textId="77777777" w:rsidR="00096B0E" w:rsidRPr="00A808AC" w:rsidRDefault="00096B0E" w:rsidP="00A0798C">
      <w:pPr>
        <w:keepNext/>
        <w:tabs>
          <w:tab w:val="clear" w:pos="567"/>
          <w:tab w:val="left" w:pos="0"/>
        </w:tabs>
        <w:spacing w:line="240" w:lineRule="auto"/>
        <w:rPr>
          <w:rFonts w:eastAsia="MS Mincho"/>
          <w:lang w:eastAsia="ja-JP"/>
        </w:rPr>
      </w:pPr>
    </w:p>
    <w:p w14:paraId="489C3C06" w14:textId="77777777" w:rsidR="00096B0E" w:rsidRPr="00A808AC" w:rsidRDefault="005A3D7D" w:rsidP="000A093B">
      <w:pPr>
        <w:keepNext/>
        <w:tabs>
          <w:tab w:val="clear" w:pos="567"/>
          <w:tab w:val="left" w:pos="0"/>
        </w:tabs>
        <w:spacing w:line="240" w:lineRule="auto"/>
        <w:rPr>
          <w:rFonts w:eastAsia="MS Mincho"/>
          <w:lang w:eastAsia="ja-JP"/>
        </w:rPr>
      </w:pPr>
      <w:r w:rsidRPr="0047473B">
        <w:rPr>
          <w:rFonts w:eastAsia="MS Mincho"/>
          <w:lang w:eastAsia="ja-JP"/>
        </w:rPr>
        <w:t>Any unused medicinal product or waste material should be disposed of in accordance with local requirements.</w:t>
      </w:r>
    </w:p>
    <w:p w14:paraId="2CB78E45" w14:textId="77777777" w:rsidR="00096B0E" w:rsidRPr="00A808AC" w:rsidRDefault="00096B0E" w:rsidP="00327B26"/>
    <w:p w14:paraId="18D9C09D" w14:textId="77777777" w:rsidR="003B27A9" w:rsidRPr="00A808AC" w:rsidRDefault="003B27A9" w:rsidP="00327B26"/>
    <w:p w14:paraId="74BF0ED0" w14:textId="77777777" w:rsidR="00096B0E" w:rsidRPr="009F5980" w:rsidRDefault="005A3D7D" w:rsidP="00A0798C">
      <w:pPr>
        <w:pStyle w:val="Heading1"/>
        <w:spacing w:before="0" w:after="0" w:line="240" w:lineRule="auto"/>
        <w:rPr>
          <w:rFonts w:ascii="Times New Roman" w:hAnsi="Times New Roman" w:cs="Times New Roman"/>
          <w:sz w:val="22"/>
          <w:szCs w:val="22"/>
        </w:rPr>
      </w:pPr>
      <w:r w:rsidRPr="009F5980">
        <w:rPr>
          <w:rFonts w:ascii="Times New Roman" w:hAnsi="Times New Roman"/>
          <w:sz w:val="22"/>
        </w:rPr>
        <w:t>7.</w:t>
      </w:r>
      <w:r w:rsidRPr="009F5980">
        <w:rPr>
          <w:rFonts w:ascii="Times New Roman" w:hAnsi="Times New Roman"/>
          <w:sz w:val="22"/>
        </w:rPr>
        <w:tab/>
      </w:r>
      <w:r w:rsidRPr="009F5980">
        <w:rPr>
          <w:rFonts w:ascii="Times New Roman" w:hAnsi="Times New Roman"/>
          <w:sz w:val="22"/>
        </w:rPr>
        <w:t>MARKETING AUTHORISATION HOLDER</w:t>
      </w:r>
    </w:p>
    <w:p w14:paraId="60A84236" w14:textId="77777777" w:rsidR="00096B0E" w:rsidRPr="009F5980" w:rsidRDefault="00096B0E" w:rsidP="0069106A">
      <w:pPr>
        <w:keepNext/>
        <w:suppressLineNumbers/>
        <w:spacing w:line="240" w:lineRule="auto"/>
      </w:pPr>
    </w:p>
    <w:p w14:paraId="32010D2D" w14:textId="77777777" w:rsidR="007762E4" w:rsidRPr="00420287" w:rsidRDefault="005A3D7D" w:rsidP="000A093B">
      <w:pPr>
        <w:keepNext/>
        <w:rPr>
          <w:iCs/>
        </w:rPr>
      </w:pPr>
      <w:r w:rsidRPr="00420287">
        <w:rPr>
          <w:iCs/>
        </w:rPr>
        <w:t>Vertex Pharmaceuticals (Ireland) Limited</w:t>
      </w:r>
    </w:p>
    <w:p w14:paraId="6D633EFA" w14:textId="77777777" w:rsidR="007762E4" w:rsidRPr="00420287" w:rsidRDefault="005A3D7D" w:rsidP="000A093B">
      <w:pPr>
        <w:keepNext/>
        <w:rPr>
          <w:iCs/>
        </w:rPr>
      </w:pPr>
      <w:r w:rsidRPr="00420287">
        <w:rPr>
          <w:iCs/>
        </w:rPr>
        <w:t>28-32 Pembroke Street Upper</w:t>
      </w:r>
    </w:p>
    <w:p w14:paraId="1373EF8A" w14:textId="77777777" w:rsidR="007762E4" w:rsidRPr="00420287" w:rsidRDefault="005A3D7D" w:rsidP="000A093B">
      <w:pPr>
        <w:keepNext/>
        <w:rPr>
          <w:iCs/>
        </w:rPr>
      </w:pPr>
      <w:r w:rsidRPr="00420287">
        <w:rPr>
          <w:iCs/>
        </w:rPr>
        <w:t>Dublin 2</w:t>
      </w:r>
      <w:r>
        <w:rPr>
          <w:iCs/>
        </w:rPr>
        <w:t xml:space="preserve">, </w:t>
      </w:r>
      <w:r w:rsidRPr="00420287">
        <w:rPr>
          <w:iCs/>
        </w:rPr>
        <w:t>D02 EK84</w:t>
      </w:r>
    </w:p>
    <w:p w14:paraId="61B93834" w14:textId="77777777" w:rsidR="00096B0E" w:rsidRPr="00FB0040" w:rsidRDefault="005A3D7D" w:rsidP="000A093B">
      <w:pPr>
        <w:keepNext/>
      </w:pPr>
      <w:r w:rsidRPr="00420287">
        <w:rPr>
          <w:iCs/>
        </w:rPr>
        <w:t>Ireland</w:t>
      </w:r>
    </w:p>
    <w:p w14:paraId="19AE1024" w14:textId="77777777" w:rsidR="00096B0E" w:rsidRDefault="00096B0E" w:rsidP="000A093B">
      <w:pPr>
        <w:keepNext/>
      </w:pPr>
    </w:p>
    <w:p w14:paraId="45ADE21C" w14:textId="77777777" w:rsidR="002C402F" w:rsidRPr="00FB0040" w:rsidRDefault="002C402F" w:rsidP="000A093B">
      <w:pPr>
        <w:keepNext/>
      </w:pPr>
    </w:p>
    <w:p w14:paraId="3AC82C61" w14:textId="77777777" w:rsidR="00096B0E" w:rsidRPr="009F5980" w:rsidRDefault="005A3D7D" w:rsidP="00A0798C">
      <w:pPr>
        <w:pStyle w:val="Heading1"/>
        <w:spacing w:before="0" w:after="0" w:line="240" w:lineRule="auto"/>
        <w:rPr>
          <w:rFonts w:ascii="Times New Roman" w:hAnsi="Times New Roman" w:cs="Times New Roman"/>
          <w:b w:val="0"/>
          <w:sz w:val="22"/>
          <w:szCs w:val="22"/>
        </w:rPr>
      </w:pPr>
      <w:r w:rsidRPr="009F5980">
        <w:rPr>
          <w:rFonts w:ascii="Times New Roman" w:hAnsi="Times New Roman"/>
          <w:sz w:val="22"/>
        </w:rPr>
        <w:t>8.</w:t>
      </w:r>
      <w:r w:rsidRPr="009F5980">
        <w:rPr>
          <w:rFonts w:ascii="Times New Roman" w:hAnsi="Times New Roman"/>
          <w:sz w:val="22"/>
        </w:rPr>
        <w:tab/>
        <w:t>MA</w:t>
      </w:r>
      <w:r w:rsidR="00FB0040" w:rsidRPr="009F5980">
        <w:rPr>
          <w:rFonts w:ascii="Times New Roman" w:hAnsi="Times New Roman"/>
          <w:sz w:val="22"/>
        </w:rPr>
        <w:t>RKETING AUTHORISATION NUMBER(S)</w:t>
      </w:r>
    </w:p>
    <w:p w14:paraId="2C5B67C5" w14:textId="77777777" w:rsidR="00096B0E" w:rsidRPr="009F5980" w:rsidRDefault="00096B0E" w:rsidP="000A093B">
      <w:pPr>
        <w:keepNext/>
        <w:suppressLineNumbers/>
        <w:spacing w:line="240" w:lineRule="auto"/>
      </w:pPr>
    </w:p>
    <w:p w14:paraId="49A8C4EF" w14:textId="77777777" w:rsidR="00923B98" w:rsidRDefault="005A3D7D" w:rsidP="000A093B">
      <w:pPr>
        <w:keepNext/>
        <w:suppressLineNumbers/>
        <w:spacing w:line="240" w:lineRule="auto"/>
      </w:pPr>
      <w:r w:rsidRPr="00FB0040">
        <w:t>EU/1/12/782/003</w:t>
      </w:r>
    </w:p>
    <w:p w14:paraId="6A97F2E4" w14:textId="77777777" w:rsidR="00F55A5F" w:rsidRDefault="005A3D7D" w:rsidP="000A093B">
      <w:pPr>
        <w:keepNext/>
        <w:suppressLineNumbers/>
        <w:spacing w:line="240" w:lineRule="auto"/>
      </w:pPr>
      <w:r w:rsidRPr="00FB0040">
        <w:t>EU/1/12/782/</w:t>
      </w:r>
      <w:r w:rsidR="0060223E" w:rsidRPr="00FB0040">
        <w:t>004</w:t>
      </w:r>
    </w:p>
    <w:p w14:paraId="624E0E83" w14:textId="77777777" w:rsidR="00923B98" w:rsidRPr="00FB0040" w:rsidRDefault="005A3D7D" w:rsidP="000A093B">
      <w:pPr>
        <w:keepNext/>
        <w:suppressLineNumbers/>
        <w:spacing w:line="240" w:lineRule="auto"/>
      </w:pPr>
      <w:r w:rsidRPr="00FB0040">
        <w:t>EU/1/12/782/00</w:t>
      </w:r>
      <w:r w:rsidR="00CE24D2">
        <w:t>6</w:t>
      </w:r>
    </w:p>
    <w:p w14:paraId="678F90D4" w14:textId="77777777" w:rsidR="00096B0E" w:rsidRPr="00FB0040" w:rsidRDefault="00096B0E" w:rsidP="00ED1D45">
      <w:pPr>
        <w:spacing w:line="240" w:lineRule="auto"/>
      </w:pPr>
    </w:p>
    <w:p w14:paraId="09B3FBAC" w14:textId="77777777" w:rsidR="00096B0E" w:rsidRPr="00FB0040" w:rsidRDefault="00096B0E" w:rsidP="00BA47B4">
      <w:pPr>
        <w:spacing w:line="240" w:lineRule="auto"/>
      </w:pPr>
    </w:p>
    <w:p w14:paraId="58CAA31D" w14:textId="77777777" w:rsidR="00096B0E" w:rsidRPr="009F5980" w:rsidRDefault="005A3D7D" w:rsidP="00095957">
      <w:pPr>
        <w:pStyle w:val="Heading1"/>
        <w:spacing w:before="0" w:after="0" w:line="240" w:lineRule="auto"/>
        <w:rPr>
          <w:rFonts w:ascii="Times New Roman" w:hAnsi="Times New Roman" w:cs="Times New Roman"/>
          <w:sz w:val="22"/>
          <w:szCs w:val="22"/>
        </w:rPr>
      </w:pPr>
      <w:r w:rsidRPr="009F5980">
        <w:rPr>
          <w:rFonts w:ascii="Times New Roman" w:hAnsi="Times New Roman"/>
          <w:sz w:val="22"/>
        </w:rPr>
        <w:t>9.</w:t>
      </w:r>
      <w:r w:rsidRPr="009F5980">
        <w:rPr>
          <w:rFonts w:ascii="Times New Roman" w:hAnsi="Times New Roman"/>
          <w:sz w:val="22"/>
        </w:rPr>
        <w:tab/>
        <w:t xml:space="preserve">DATE OF FIRST </w:t>
      </w:r>
      <w:r w:rsidRPr="009F5980">
        <w:rPr>
          <w:rFonts w:ascii="Times New Roman" w:hAnsi="Times New Roman"/>
          <w:sz w:val="22"/>
        </w:rPr>
        <w:t>AUTHORISATION/RENEWAL OF THE AUTHORISATION</w:t>
      </w:r>
    </w:p>
    <w:p w14:paraId="70E08120" w14:textId="77777777" w:rsidR="00096B0E" w:rsidRPr="009F5980" w:rsidRDefault="00096B0E" w:rsidP="000A093B">
      <w:pPr>
        <w:keepNext/>
        <w:suppressLineNumbers/>
        <w:spacing w:line="240" w:lineRule="auto"/>
      </w:pPr>
    </w:p>
    <w:p w14:paraId="6FC6908C" w14:textId="77777777" w:rsidR="00834FBD" w:rsidRPr="00FB0040" w:rsidRDefault="005A3D7D" w:rsidP="000A093B">
      <w:pPr>
        <w:keepNext/>
        <w:suppressLineNumbers/>
        <w:spacing w:line="240" w:lineRule="auto"/>
      </w:pPr>
      <w:r w:rsidRPr="00FB0040">
        <w:t>Date of first authorisation: 23 July 2012</w:t>
      </w:r>
    </w:p>
    <w:p w14:paraId="2FA448AA" w14:textId="77777777" w:rsidR="0060223E" w:rsidRPr="00FB0040" w:rsidRDefault="005A3D7D" w:rsidP="000A093B">
      <w:pPr>
        <w:keepNext/>
        <w:suppressLineNumbers/>
        <w:spacing w:line="240" w:lineRule="auto"/>
      </w:pPr>
      <w:r w:rsidRPr="00FB0040">
        <w:t>Date of latest renewal:</w:t>
      </w:r>
      <w:r w:rsidR="00E3125F" w:rsidRPr="00FB0040">
        <w:t xml:space="preserve"> 28 April 2017</w:t>
      </w:r>
    </w:p>
    <w:p w14:paraId="4C847AB2" w14:textId="77777777" w:rsidR="00096B0E" w:rsidRPr="00FB0040" w:rsidRDefault="00096B0E" w:rsidP="00ED1D45">
      <w:pPr>
        <w:spacing w:line="240" w:lineRule="auto"/>
      </w:pPr>
    </w:p>
    <w:p w14:paraId="1163EFCF" w14:textId="77777777" w:rsidR="00834FBD" w:rsidRPr="00FB0040" w:rsidRDefault="00834FBD" w:rsidP="00BA47B4">
      <w:pPr>
        <w:spacing w:line="240" w:lineRule="auto"/>
      </w:pPr>
    </w:p>
    <w:p w14:paraId="41F39651" w14:textId="77777777" w:rsidR="00096B0E" w:rsidRPr="009F5980" w:rsidRDefault="005A3D7D" w:rsidP="009F5980">
      <w:pPr>
        <w:pStyle w:val="Heading1"/>
        <w:spacing w:before="0" w:after="0" w:line="240" w:lineRule="auto"/>
        <w:rPr>
          <w:rFonts w:ascii="Times New Roman" w:hAnsi="Times New Roman" w:cs="Times New Roman"/>
          <w:b w:val="0"/>
          <w:sz w:val="22"/>
          <w:szCs w:val="22"/>
        </w:rPr>
      </w:pPr>
      <w:r w:rsidRPr="009F5980">
        <w:rPr>
          <w:rFonts w:ascii="Times New Roman" w:hAnsi="Times New Roman"/>
          <w:sz w:val="22"/>
        </w:rPr>
        <w:t>10.</w:t>
      </w:r>
      <w:r w:rsidRPr="009F5980">
        <w:rPr>
          <w:rFonts w:ascii="Times New Roman" w:hAnsi="Times New Roman"/>
          <w:sz w:val="22"/>
        </w:rPr>
        <w:tab/>
        <w:t>DATE OF REVISION OF THE TEXT</w:t>
      </w:r>
    </w:p>
    <w:p w14:paraId="38DA6B28" w14:textId="77777777" w:rsidR="00096B0E" w:rsidRPr="009F5980" w:rsidRDefault="00096B0E" w:rsidP="00096B0E">
      <w:pPr>
        <w:numPr>
          <w:ilvl w:val="12"/>
          <w:numId w:val="0"/>
        </w:numPr>
        <w:suppressLineNumbers/>
        <w:spacing w:line="240" w:lineRule="auto"/>
        <w:ind w:right="-2"/>
      </w:pPr>
    </w:p>
    <w:p w14:paraId="2E4DAD2E" w14:textId="77777777" w:rsidR="00663784" w:rsidRPr="000A093B" w:rsidRDefault="005A3D7D" w:rsidP="00096B0E">
      <w:pPr>
        <w:numPr>
          <w:ilvl w:val="12"/>
          <w:numId w:val="0"/>
        </w:numPr>
        <w:suppressLineNumbers/>
        <w:spacing w:line="240" w:lineRule="auto"/>
        <w:ind w:right="-2"/>
        <w:rPr>
          <w:u w:val="single"/>
        </w:rPr>
      </w:pPr>
      <w:r w:rsidRPr="00A808AC">
        <w:t>Detailed information on this medicinal product is available on the website of the European Medic</w:t>
      </w:r>
      <w:r w:rsidRPr="00A808AC">
        <w:t xml:space="preserve">ines Agency </w:t>
      </w:r>
      <w:r w:rsidR="00772DD2" w:rsidRPr="00772DD2">
        <w:rPr>
          <w:u w:val="single"/>
        </w:rPr>
        <w:t>http://www.ema.europa.eu</w:t>
      </w:r>
      <w:r w:rsidRPr="00772DD2">
        <w:rPr>
          <w:u w:val="single"/>
        </w:rPr>
        <w:t>.</w:t>
      </w:r>
    </w:p>
    <w:p w14:paraId="74F99AC5" w14:textId="77777777" w:rsidR="00663784" w:rsidRDefault="005A3D7D">
      <w:pPr>
        <w:tabs>
          <w:tab w:val="clear" w:pos="567"/>
        </w:tabs>
        <w:spacing w:line="240" w:lineRule="auto"/>
        <w:rPr>
          <w:u w:val="single"/>
        </w:rPr>
      </w:pPr>
      <w:r>
        <w:rPr>
          <w:u w:val="single"/>
        </w:rPr>
        <w:br w:type="page"/>
      </w:r>
    </w:p>
    <w:p w14:paraId="0D480D30" w14:textId="77777777" w:rsidR="000C3496" w:rsidRDefault="000C3496" w:rsidP="00663784">
      <w:pPr>
        <w:pStyle w:val="No-numheading3Agency"/>
        <w:keepNext w:val="0"/>
        <w:spacing w:before="0" w:after="0"/>
        <w:jc w:val="center"/>
        <w:rPr>
          <w:rFonts w:ascii="Times New Roman" w:hAnsi="Times New Roman" w:cs="Times New Roman"/>
          <w:caps/>
        </w:rPr>
      </w:pPr>
    </w:p>
    <w:p w14:paraId="202E95E6" w14:textId="77777777" w:rsidR="000C3496" w:rsidRDefault="000C3496" w:rsidP="00663784">
      <w:pPr>
        <w:pStyle w:val="No-numheading3Agency"/>
        <w:keepNext w:val="0"/>
        <w:spacing w:before="0" w:after="0"/>
        <w:jc w:val="center"/>
        <w:rPr>
          <w:rFonts w:ascii="Times New Roman" w:hAnsi="Times New Roman" w:cs="Times New Roman"/>
          <w:caps/>
        </w:rPr>
      </w:pPr>
    </w:p>
    <w:p w14:paraId="36395985" w14:textId="77777777" w:rsidR="000C3496" w:rsidRDefault="000C3496" w:rsidP="00663784">
      <w:pPr>
        <w:pStyle w:val="No-numheading3Agency"/>
        <w:keepNext w:val="0"/>
        <w:spacing w:before="0" w:after="0"/>
        <w:jc w:val="center"/>
        <w:rPr>
          <w:rFonts w:ascii="Times New Roman" w:hAnsi="Times New Roman" w:cs="Times New Roman"/>
          <w:caps/>
        </w:rPr>
      </w:pPr>
    </w:p>
    <w:p w14:paraId="512C094C" w14:textId="77777777" w:rsidR="000C3496" w:rsidRDefault="000C3496" w:rsidP="00663784">
      <w:pPr>
        <w:pStyle w:val="No-numheading3Agency"/>
        <w:keepNext w:val="0"/>
        <w:spacing w:before="0" w:after="0"/>
        <w:jc w:val="center"/>
        <w:rPr>
          <w:rFonts w:ascii="Times New Roman" w:hAnsi="Times New Roman" w:cs="Times New Roman"/>
          <w:caps/>
        </w:rPr>
      </w:pPr>
    </w:p>
    <w:p w14:paraId="216D9B7A" w14:textId="77777777" w:rsidR="000C3496" w:rsidRDefault="000C3496" w:rsidP="00663784">
      <w:pPr>
        <w:pStyle w:val="No-numheading3Agency"/>
        <w:keepNext w:val="0"/>
        <w:spacing w:before="0" w:after="0"/>
        <w:jc w:val="center"/>
        <w:rPr>
          <w:rFonts w:ascii="Times New Roman" w:hAnsi="Times New Roman" w:cs="Times New Roman"/>
          <w:caps/>
        </w:rPr>
      </w:pPr>
    </w:p>
    <w:p w14:paraId="04F25C42" w14:textId="77777777" w:rsidR="000C3496" w:rsidRDefault="000C3496" w:rsidP="00663784">
      <w:pPr>
        <w:pStyle w:val="No-numheading3Agency"/>
        <w:keepNext w:val="0"/>
        <w:spacing w:before="0" w:after="0"/>
        <w:jc w:val="center"/>
        <w:rPr>
          <w:rFonts w:ascii="Times New Roman" w:hAnsi="Times New Roman" w:cs="Times New Roman"/>
          <w:caps/>
        </w:rPr>
      </w:pPr>
    </w:p>
    <w:p w14:paraId="60CA07A6" w14:textId="77777777" w:rsidR="000C3496" w:rsidRDefault="000C3496" w:rsidP="00663784">
      <w:pPr>
        <w:pStyle w:val="No-numheading3Agency"/>
        <w:keepNext w:val="0"/>
        <w:spacing w:before="0" w:after="0"/>
        <w:jc w:val="center"/>
        <w:rPr>
          <w:rFonts w:ascii="Times New Roman" w:hAnsi="Times New Roman" w:cs="Times New Roman"/>
          <w:caps/>
        </w:rPr>
      </w:pPr>
    </w:p>
    <w:p w14:paraId="41944392" w14:textId="77777777" w:rsidR="000C3496" w:rsidRDefault="000C3496" w:rsidP="00663784">
      <w:pPr>
        <w:pStyle w:val="No-numheading3Agency"/>
        <w:keepNext w:val="0"/>
        <w:spacing w:before="0" w:after="0"/>
        <w:jc w:val="center"/>
        <w:rPr>
          <w:rFonts w:ascii="Times New Roman" w:hAnsi="Times New Roman" w:cs="Times New Roman"/>
          <w:caps/>
        </w:rPr>
      </w:pPr>
    </w:p>
    <w:p w14:paraId="6FF110D4" w14:textId="77777777" w:rsidR="000C3496" w:rsidRDefault="000C3496" w:rsidP="00663784">
      <w:pPr>
        <w:pStyle w:val="No-numheading3Agency"/>
        <w:keepNext w:val="0"/>
        <w:spacing w:before="0" w:after="0"/>
        <w:jc w:val="center"/>
        <w:rPr>
          <w:rFonts w:ascii="Times New Roman" w:hAnsi="Times New Roman" w:cs="Times New Roman"/>
          <w:caps/>
        </w:rPr>
      </w:pPr>
    </w:p>
    <w:p w14:paraId="0E1F7839" w14:textId="77777777" w:rsidR="000C3496" w:rsidRDefault="000C3496" w:rsidP="00663784">
      <w:pPr>
        <w:pStyle w:val="No-numheading3Agency"/>
        <w:keepNext w:val="0"/>
        <w:spacing w:before="0" w:after="0"/>
        <w:jc w:val="center"/>
        <w:rPr>
          <w:rFonts w:ascii="Times New Roman" w:hAnsi="Times New Roman" w:cs="Times New Roman"/>
          <w:caps/>
        </w:rPr>
      </w:pPr>
    </w:p>
    <w:p w14:paraId="6853E910" w14:textId="77777777" w:rsidR="000C3496" w:rsidRDefault="000C3496" w:rsidP="00663784">
      <w:pPr>
        <w:pStyle w:val="No-numheading3Agency"/>
        <w:keepNext w:val="0"/>
        <w:spacing w:before="0" w:after="0"/>
        <w:jc w:val="center"/>
        <w:rPr>
          <w:rFonts w:ascii="Times New Roman" w:hAnsi="Times New Roman" w:cs="Times New Roman"/>
          <w:caps/>
        </w:rPr>
      </w:pPr>
    </w:p>
    <w:p w14:paraId="7620FA27" w14:textId="77777777" w:rsidR="000C3496" w:rsidRDefault="000C3496" w:rsidP="00663784">
      <w:pPr>
        <w:pStyle w:val="No-numheading3Agency"/>
        <w:keepNext w:val="0"/>
        <w:spacing w:before="0" w:after="0"/>
        <w:jc w:val="center"/>
        <w:rPr>
          <w:rFonts w:ascii="Times New Roman" w:hAnsi="Times New Roman" w:cs="Times New Roman"/>
          <w:caps/>
        </w:rPr>
      </w:pPr>
    </w:p>
    <w:p w14:paraId="6A29A739" w14:textId="77777777" w:rsidR="000C3496" w:rsidRDefault="000C3496" w:rsidP="00663784">
      <w:pPr>
        <w:pStyle w:val="No-numheading3Agency"/>
        <w:keepNext w:val="0"/>
        <w:spacing w:before="0" w:after="0"/>
        <w:jc w:val="center"/>
        <w:rPr>
          <w:rFonts w:ascii="Times New Roman" w:hAnsi="Times New Roman" w:cs="Times New Roman"/>
          <w:caps/>
        </w:rPr>
      </w:pPr>
    </w:p>
    <w:p w14:paraId="5B0115B0" w14:textId="77777777" w:rsidR="000C3496" w:rsidRDefault="000C3496" w:rsidP="00663784">
      <w:pPr>
        <w:pStyle w:val="No-numheading3Agency"/>
        <w:keepNext w:val="0"/>
        <w:spacing w:before="0" w:after="0"/>
        <w:jc w:val="center"/>
        <w:rPr>
          <w:rFonts w:ascii="Times New Roman" w:hAnsi="Times New Roman" w:cs="Times New Roman"/>
          <w:caps/>
        </w:rPr>
      </w:pPr>
    </w:p>
    <w:p w14:paraId="53A9F4ED" w14:textId="77777777" w:rsidR="000C3496" w:rsidRDefault="000C3496" w:rsidP="00663784">
      <w:pPr>
        <w:pStyle w:val="No-numheading3Agency"/>
        <w:keepNext w:val="0"/>
        <w:spacing w:before="0" w:after="0"/>
        <w:jc w:val="center"/>
        <w:rPr>
          <w:rFonts w:ascii="Times New Roman" w:hAnsi="Times New Roman" w:cs="Times New Roman"/>
          <w:caps/>
        </w:rPr>
      </w:pPr>
    </w:p>
    <w:p w14:paraId="3A2608D5" w14:textId="77777777" w:rsidR="000C3496" w:rsidRDefault="000C3496" w:rsidP="00663784">
      <w:pPr>
        <w:pStyle w:val="No-numheading3Agency"/>
        <w:keepNext w:val="0"/>
        <w:spacing w:before="0" w:after="0"/>
        <w:jc w:val="center"/>
        <w:rPr>
          <w:rFonts w:ascii="Times New Roman" w:hAnsi="Times New Roman" w:cs="Times New Roman"/>
          <w:caps/>
        </w:rPr>
      </w:pPr>
    </w:p>
    <w:p w14:paraId="602D99F6" w14:textId="77777777" w:rsidR="000C3496" w:rsidRDefault="000C3496" w:rsidP="00663784">
      <w:pPr>
        <w:pStyle w:val="No-numheading3Agency"/>
        <w:keepNext w:val="0"/>
        <w:spacing w:before="0" w:after="0"/>
        <w:jc w:val="center"/>
        <w:rPr>
          <w:rFonts w:ascii="Times New Roman" w:hAnsi="Times New Roman" w:cs="Times New Roman"/>
          <w:caps/>
        </w:rPr>
      </w:pPr>
    </w:p>
    <w:p w14:paraId="50785040" w14:textId="77777777" w:rsidR="000C3496" w:rsidRDefault="000C3496" w:rsidP="00663784">
      <w:pPr>
        <w:pStyle w:val="No-numheading3Agency"/>
        <w:keepNext w:val="0"/>
        <w:spacing w:before="0" w:after="0"/>
        <w:jc w:val="center"/>
        <w:rPr>
          <w:rFonts w:ascii="Times New Roman" w:hAnsi="Times New Roman" w:cs="Times New Roman"/>
          <w:caps/>
        </w:rPr>
      </w:pPr>
    </w:p>
    <w:p w14:paraId="32AB97F1" w14:textId="77777777" w:rsidR="000C3496" w:rsidRDefault="000C3496" w:rsidP="00663784">
      <w:pPr>
        <w:pStyle w:val="No-numheading3Agency"/>
        <w:keepNext w:val="0"/>
        <w:spacing w:before="0" w:after="0"/>
        <w:jc w:val="center"/>
        <w:rPr>
          <w:rFonts w:ascii="Times New Roman" w:hAnsi="Times New Roman" w:cs="Times New Roman"/>
          <w:caps/>
        </w:rPr>
      </w:pPr>
    </w:p>
    <w:p w14:paraId="7BF0D994" w14:textId="77777777" w:rsidR="000C3496" w:rsidRDefault="000C3496" w:rsidP="00663784">
      <w:pPr>
        <w:pStyle w:val="No-numheading3Agency"/>
        <w:keepNext w:val="0"/>
        <w:spacing w:before="0" w:after="0"/>
        <w:jc w:val="center"/>
        <w:rPr>
          <w:rFonts w:ascii="Times New Roman" w:hAnsi="Times New Roman" w:cs="Times New Roman"/>
          <w:caps/>
        </w:rPr>
      </w:pPr>
    </w:p>
    <w:p w14:paraId="61D80B95" w14:textId="77777777" w:rsidR="000C3496" w:rsidRDefault="000C3496" w:rsidP="00663784">
      <w:pPr>
        <w:pStyle w:val="No-numheading3Agency"/>
        <w:keepNext w:val="0"/>
        <w:spacing w:before="0" w:after="0"/>
        <w:jc w:val="center"/>
        <w:rPr>
          <w:rFonts w:ascii="Times New Roman" w:hAnsi="Times New Roman" w:cs="Times New Roman"/>
          <w:caps/>
        </w:rPr>
      </w:pPr>
    </w:p>
    <w:p w14:paraId="3841470B" w14:textId="77777777" w:rsidR="000C3496" w:rsidRDefault="000C3496" w:rsidP="00663784">
      <w:pPr>
        <w:pStyle w:val="No-numheading3Agency"/>
        <w:keepNext w:val="0"/>
        <w:spacing w:before="0" w:after="0"/>
        <w:jc w:val="center"/>
        <w:rPr>
          <w:rFonts w:ascii="Times New Roman" w:hAnsi="Times New Roman" w:cs="Times New Roman"/>
          <w:caps/>
        </w:rPr>
      </w:pPr>
    </w:p>
    <w:p w14:paraId="3B4F4AC3" w14:textId="77777777" w:rsidR="000C3496" w:rsidRDefault="000C3496" w:rsidP="00663784">
      <w:pPr>
        <w:pStyle w:val="No-numheading3Agency"/>
        <w:keepNext w:val="0"/>
        <w:spacing w:before="0" w:after="0"/>
        <w:jc w:val="center"/>
        <w:rPr>
          <w:rFonts w:ascii="Times New Roman" w:hAnsi="Times New Roman" w:cs="Times New Roman"/>
          <w:caps/>
        </w:rPr>
      </w:pPr>
    </w:p>
    <w:p w14:paraId="26B36856" w14:textId="77777777" w:rsidR="00663784" w:rsidRPr="00D12067" w:rsidRDefault="005A3D7D" w:rsidP="00663784">
      <w:pPr>
        <w:pStyle w:val="No-numheading3Agency"/>
        <w:keepNext w:val="0"/>
        <w:spacing w:before="0" w:after="0"/>
        <w:jc w:val="center"/>
        <w:rPr>
          <w:rFonts w:ascii="Times New Roman" w:hAnsi="Times New Roman" w:cs="Times New Roman"/>
          <w:caps/>
        </w:rPr>
      </w:pPr>
      <w:r w:rsidRPr="00D12067">
        <w:rPr>
          <w:rFonts w:ascii="Times New Roman" w:hAnsi="Times New Roman" w:cs="Times New Roman"/>
          <w:caps/>
        </w:rPr>
        <w:t>Annex II</w:t>
      </w:r>
    </w:p>
    <w:p w14:paraId="4BB66CF4" w14:textId="77777777" w:rsidR="00663784" w:rsidRPr="00B01606" w:rsidRDefault="00663784" w:rsidP="00663784">
      <w:pPr>
        <w:pStyle w:val="BodytextAgency"/>
        <w:spacing w:after="0" w:line="240" w:lineRule="auto"/>
        <w:rPr>
          <w:rFonts w:ascii="Times New Roman" w:hAnsi="Times New Roman"/>
          <w:sz w:val="22"/>
        </w:rPr>
      </w:pPr>
    </w:p>
    <w:p w14:paraId="307EB1F2" w14:textId="77777777" w:rsidR="00663784" w:rsidRPr="00A808AC" w:rsidRDefault="005A3D7D" w:rsidP="00663784">
      <w:pPr>
        <w:ind w:left="567" w:hanging="567"/>
        <w:rPr>
          <w:b/>
        </w:rPr>
      </w:pPr>
      <w:r w:rsidRPr="00A808AC">
        <w:rPr>
          <w:b/>
        </w:rPr>
        <w:t>A.</w:t>
      </w:r>
      <w:r w:rsidRPr="00A808AC">
        <w:rPr>
          <w:b/>
        </w:rPr>
        <w:tab/>
        <w:t xml:space="preserve">MANUFACTURER(S) RESPONSIBLE FOR BATCH RELEASE </w:t>
      </w:r>
    </w:p>
    <w:p w14:paraId="077D5A93" w14:textId="77777777" w:rsidR="00663784" w:rsidRPr="00B01606" w:rsidRDefault="00663784" w:rsidP="00663784">
      <w:pPr>
        <w:pStyle w:val="BodytextAgency"/>
        <w:spacing w:after="0" w:line="240" w:lineRule="auto"/>
        <w:rPr>
          <w:rFonts w:ascii="Times New Roman" w:hAnsi="Times New Roman"/>
          <w:sz w:val="22"/>
        </w:rPr>
      </w:pPr>
    </w:p>
    <w:p w14:paraId="6F085BB8" w14:textId="77777777" w:rsidR="00663784" w:rsidRPr="00A808AC" w:rsidRDefault="005A3D7D" w:rsidP="00663784">
      <w:pPr>
        <w:ind w:left="567" w:hanging="567"/>
        <w:rPr>
          <w:b/>
        </w:rPr>
      </w:pPr>
      <w:r w:rsidRPr="00A808AC">
        <w:rPr>
          <w:b/>
        </w:rPr>
        <w:t>B.</w:t>
      </w:r>
      <w:r w:rsidRPr="00A808AC">
        <w:rPr>
          <w:b/>
        </w:rPr>
        <w:tab/>
        <w:t>CONDITIONS OR RESTRICTIONS REGARDING SUPPLY AND USE</w:t>
      </w:r>
    </w:p>
    <w:p w14:paraId="2EB38307" w14:textId="77777777" w:rsidR="00663784" w:rsidRPr="00A808AC" w:rsidRDefault="00663784" w:rsidP="00663784">
      <w:pPr>
        <w:pStyle w:val="TitleB"/>
        <w:outlineLvl w:val="9"/>
        <w:rPr>
          <w:caps w:val="0"/>
        </w:rPr>
      </w:pPr>
    </w:p>
    <w:p w14:paraId="37B66DA6" w14:textId="77777777" w:rsidR="00663784" w:rsidRPr="00A808AC" w:rsidRDefault="005A3D7D" w:rsidP="00663784">
      <w:pPr>
        <w:ind w:left="567" w:hanging="567"/>
        <w:rPr>
          <w:b/>
        </w:rPr>
      </w:pPr>
      <w:r w:rsidRPr="00A808AC">
        <w:rPr>
          <w:b/>
        </w:rPr>
        <w:t>C.</w:t>
      </w:r>
      <w:r w:rsidRPr="00A808AC">
        <w:rPr>
          <w:b/>
        </w:rPr>
        <w:tab/>
        <w:t xml:space="preserve">OTHER CONDITIONS AND REQUIREMENTS OF THE MARKETING </w:t>
      </w:r>
      <w:r w:rsidRPr="00A808AC">
        <w:rPr>
          <w:b/>
        </w:rPr>
        <w:t>AUTHORISATION</w:t>
      </w:r>
    </w:p>
    <w:p w14:paraId="6C99456E" w14:textId="77777777" w:rsidR="00663784" w:rsidRPr="00B01606" w:rsidRDefault="00663784" w:rsidP="00663784">
      <w:pPr>
        <w:pStyle w:val="TitleB"/>
        <w:outlineLvl w:val="9"/>
        <w:rPr>
          <w:b w:val="0"/>
          <w:caps w:val="0"/>
        </w:rPr>
      </w:pPr>
    </w:p>
    <w:p w14:paraId="4F097BC7" w14:textId="77777777" w:rsidR="00663784" w:rsidRPr="00A808AC" w:rsidRDefault="005A3D7D" w:rsidP="00663784">
      <w:pPr>
        <w:ind w:left="567" w:hanging="567"/>
        <w:rPr>
          <w:b/>
        </w:rPr>
      </w:pPr>
      <w:r w:rsidRPr="00A808AC">
        <w:rPr>
          <w:b/>
        </w:rPr>
        <w:t>D.</w:t>
      </w:r>
      <w:r w:rsidRPr="00A808AC">
        <w:rPr>
          <w:b/>
        </w:rPr>
        <w:tab/>
        <w:t>CONDITIONS OR RESTRICTIONS WITH REGARD TO THE SAFE AND EFFECTIVE USE OF THE MEDICINAL PRODUCT</w:t>
      </w:r>
    </w:p>
    <w:p w14:paraId="39DE7402" w14:textId="77777777" w:rsidR="00663784" w:rsidRPr="00ED1D45" w:rsidRDefault="00663784" w:rsidP="00663784">
      <w:pPr>
        <w:ind w:left="567" w:hanging="567"/>
      </w:pPr>
    </w:p>
    <w:p w14:paraId="26154E17" w14:textId="77777777" w:rsidR="00663784" w:rsidRPr="00A808AC" w:rsidRDefault="005A3D7D" w:rsidP="00663784">
      <w:pPr>
        <w:pStyle w:val="TitleB"/>
      </w:pPr>
      <w:r w:rsidRPr="00A808AC">
        <w:br w:type="page"/>
        <w:t>A.</w:t>
      </w:r>
      <w:r w:rsidRPr="00A808AC">
        <w:tab/>
        <w:t>MANUFACTURER(S) RESPONSIBLE FOR BATCH RELEASE</w:t>
      </w:r>
    </w:p>
    <w:p w14:paraId="1A618846" w14:textId="77777777" w:rsidR="00663784" w:rsidRPr="00A808AC" w:rsidRDefault="00663784" w:rsidP="00663784">
      <w:pPr>
        <w:pStyle w:val="BodytextAgency"/>
        <w:spacing w:after="0" w:line="240" w:lineRule="auto"/>
        <w:rPr>
          <w:rFonts w:ascii="Times New Roman" w:hAnsi="Times New Roman"/>
          <w:sz w:val="22"/>
          <w:szCs w:val="22"/>
        </w:rPr>
      </w:pPr>
    </w:p>
    <w:p w14:paraId="2AB59696" w14:textId="77777777" w:rsidR="00663784" w:rsidRDefault="005A3D7D" w:rsidP="00663784">
      <w:pPr>
        <w:spacing w:line="240" w:lineRule="auto"/>
        <w:rPr>
          <w:u w:val="single"/>
        </w:rPr>
      </w:pPr>
      <w:r w:rsidRPr="00A808AC">
        <w:rPr>
          <w:u w:val="single"/>
        </w:rPr>
        <w:t>Name and address of the manufacturer(s) responsible for batch release</w:t>
      </w:r>
    </w:p>
    <w:p w14:paraId="135EB1F7" w14:textId="77777777" w:rsidR="00663784" w:rsidRPr="00A808AC" w:rsidRDefault="00663784" w:rsidP="00663784">
      <w:pPr>
        <w:spacing w:line="240" w:lineRule="auto"/>
        <w:rPr>
          <w:u w:val="single"/>
        </w:rPr>
      </w:pPr>
    </w:p>
    <w:p w14:paraId="32DE106C" w14:textId="77777777" w:rsidR="00663784" w:rsidRPr="0096327C" w:rsidRDefault="005A3D7D" w:rsidP="00663784">
      <w:r w:rsidRPr="0096327C">
        <w:t xml:space="preserve">Almac Pharma </w:t>
      </w:r>
      <w:r w:rsidRPr="0096327C">
        <w:t>Services (Ireland) Limited</w:t>
      </w:r>
    </w:p>
    <w:p w14:paraId="0C28C1D9" w14:textId="77777777" w:rsidR="00663784" w:rsidRPr="0096327C" w:rsidRDefault="005A3D7D" w:rsidP="00663784">
      <w:r w:rsidRPr="0096327C">
        <w:t>Finnabair Industrial Estate</w:t>
      </w:r>
    </w:p>
    <w:p w14:paraId="12A167AB" w14:textId="77777777" w:rsidR="00663784" w:rsidRPr="0096327C" w:rsidRDefault="005A3D7D" w:rsidP="00663784">
      <w:r w:rsidRPr="0096327C">
        <w:t>Dundalk</w:t>
      </w:r>
    </w:p>
    <w:p w14:paraId="5512C9AF" w14:textId="77777777" w:rsidR="00663784" w:rsidRPr="0096327C" w:rsidRDefault="005A3D7D" w:rsidP="00663784">
      <w:r w:rsidRPr="0096327C">
        <w:t>Co. Louth</w:t>
      </w:r>
    </w:p>
    <w:p w14:paraId="4CD0321D" w14:textId="77777777" w:rsidR="00663784" w:rsidRPr="0096327C" w:rsidRDefault="005A3D7D" w:rsidP="00663784">
      <w:r w:rsidRPr="0096327C">
        <w:t>A91 P9KD</w:t>
      </w:r>
    </w:p>
    <w:p w14:paraId="6A1F5FD2" w14:textId="77777777" w:rsidR="00663784" w:rsidRPr="0096327C" w:rsidRDefault="005A3D7D" w:rsidP="00663784">
      <w:r w:rsidRPr="0096327C">
        <w:t>Ireland</w:t>
      </w:r>
    </w:p>
    <w:p w14:paraId="50ABDA99" w14:textId="77777777" w:rsidR="00663784" w:rsidRDefault="00663784" w:rsidP="00663784">
      <w:pPr>
        <w:spacing w:line="240" w:lineRule="auto"/>
      </w:pPr>
    </w:p>
    <w:p w14:paraId="6BEDFB38" w14:textId="77777777" w:rsidR="00663784" w:rsidRPr="00A808AC" w:rsidRDefault="005A3D7D" w:rsidP="00663784">
      <w:pPr>
        <w:spacing w:line="240" w:lineRule="auto"/>
      </w:pPr>
      <w:r w:rsidRPr="00A808AC">
        <w:t>Almac Pharma Services Ltd.</w:t>
      </w:r>
    </w:p>
    <w:p w14:paraId="23CB72CE" w14:textId="77777777" w:rsidR="00663784" w:rsidRPr="00A808AC" w:rsidRDefault="005A3D7D" w:rsidP="00663784">
      <w:pPr>
        <w:spacing w:line="240" w:lineRule="auto"/>
      </w:pPr>
      <w:r w:rsidRPr="00A808AC">
        <w:t>Seagoe Industrial Estate</w:t>
      </w:r>
    </w:p>
    <w:p w14:paraId="4F000C32" w14:textId="77777777" w:rsidR="00663784" w:rsidRPr="00A808AC" w:rsidRDefault="005A3D7D" w:rsidP="00663784">
      <w:pPr>
        <w:spacing w:line="240" w:lineRule="auto"/>
      </w:pPr>
      <w:r w:rsidRPr="00A808AC">
        <w:t>Craigavon</w:t>
      </w:r>
    </w:p>
    <w:p w14:paraId="4FE0BF51" w14:textId="77777777" w:rsidR="00663784" w:rsidRPr="00A808AC" w:rsidRDefault="005A3D7D" w:rsidP="00663784">
      <w:pPr>
        <w:spacing w:line="240" w:lineRule="auto"/>
      </w:pPr>
      <w:r w:rsidRPr="00A808AC">
        <w:t>Co. Armagh BT63 5UA</w:t>
      </w:r>
    </w:p>
    <w:p w14:paraId="7C186881" w14:textId="77777777" w:rsidR="00663784" w:rsidRPr="00A808AC" w:rsidRDefault="005A3D7D" w:rsidP="00663784">
      <w:pPr>
        <w:spacing w:line="240" w:lineRule="auto"/>
      </w:pPr>
      <w:r w:rsidRPr="00A808AC">
        <w:t>United Kingdom</w:t>
      </w:r>
    </w:p>
    <w:p w14:paraId="4F6E1426" w14:textId="77777777" w:rsidR="00663784" w:rsidRPr="00A808AC" w:rsidRDefault="00663784" w:rsidP="00663784">
      <w:pPr>
        <w:pStyle w:val="BodytextAgency"/>
        <w:spacing w:after="0" w:line="240" w:lineRule="auto"/>
        <w:rPr>
          <w:rFonts w:ascii="Times New Roman" w:hAnsi="Times New Roman"/>
          <w:sz w:val="22"/>
          <w:szCs w:val="22"/>
        </w:rPr>
      </w:pPr>
    </w:p>
    <w:p w14:paraId="4D07D63D" w14:textId="77777777" w:rsidR="00663784" w:rsidRDefault="005A3D7D" w:rsidP="00663784">
      <w:pPr>
        <w:pStyle w:val="BodytextAgency"/>
        <w:spacing w:after="0" w:line="240" w:lineRule="auto"/>
        <w:rPr>
          <w:rFonts w:ascii="Times New Roman" w:hAnsi="Times New Roman"/>
          <w:sz w:val="22"/>
          <w:szCs w:val="22"/>
        </w:rPr>
      </w:pPr>
      <w:r w:rsidRPr="006C1A83">
        <w:rPr>
          <w:rFonts w:ascii="Times New Roman" w:hAnsi="Times New Roman"/>
          <w:sz w:val="22"/>
          <w:szCs w:val="22"/>
        </w:rPr>
        <w:t>The printed package leaflet of the medicinal product must state the</w:t>
      </w:r>
      <w:r w:rsidRPr="006C1A83">
        <w:rPr>
          <w:rFonts w:ascii="Times New Roman" w:hAnsi="Times New Roman"/>
          <w:sz w:val="22"/>
          <w:szCs w:val="22"/>
        </w:rPr>
        <w:t xml:space="preserve"> name and address of the manufacturer responsible for the release of the concerned batch.</w:t>
      </w:r>
    </w:p>
    <w:p w14:paraId="40B2B33C" w14:textId="77777777" w:rsidR="00663784" w:rsidRDefault="00663784" w:rsidP="00663784">
      <w:pPr>
        <w:pStyle w:val="NormalAgency"/>
        <w:rPr>
          <w:rFonts w:ascii="Times New Roman" w:hAnsi="Times New Roman"/>
          <w:sz w:val="22"/>
          <w:szCs w:val="22"/>
        </w:rPr>
      </w:pPr>
    </w:p>
    <w:p w14:paraId="2292CCCE" w14:textId="77777777" w:rsidR="00663784" w:rsidRPr="00A808AC" w:rsidRDefault="00663784" w:rsidP="00663784">
      <w:pPr>
        <w:pStyle w:val="NormalAgency"/>
        <w:rPr>
          <w:rFonts w:ascii="Times New Roman" w:hAnsi="Times New Roman"/>
          <w:sz w:val="22"/>
          <w:szCs w:val="22"/>
        </w:rPr>
      </w:pPr>
    </w:p>
    <w:p w14:paraId="74C7C3AA" w14:textId="77777777" w:rsidR="00663784" w:rsidRPr="00A808AC" w:rsidRDefault="005A3D7D" w:rsidP="00663784">
      <w:pPr>
        <w:pStyle w:val="TitleB"/>
        <w:outlineLvl w:val="1"/>
        <w:rPr>
          <w:caps w:val="0"/>
        </w:rPr>
      </w:pPr>
      <w:r w:rsidRPr="00A808AC">
        <w:t>B.</w:t>
      </w:r>
      <w:r w:rsidRPr="00A808AC">
        <w:tab/>
        <w:t>CONDITIONS OR RESTRICTIONS REGARDING SUPPLY AND USE</w:t>
      </w:r>
    </w:p>
    <w:p w14:paraId="2EAA3FE1" w14:textId="77777777" w:rsidR="00663784" w:rsidRPr="00A808AC" w:rsidRDefault="00663784" w:rsidP="00663784">
      <w:pPr>
        <w:pStyle w:val="NormalAgency"/>
        <w:rPr>
          <w:rFonts w:ascii="Times New Roman" w:hAnsi="Times New Roman"/>
          <w:sz w:val="22"/>
          <w:szCs w:val="22"/>
        </w:rPr>
      </w:pPr>
    </w:p>
    <w:p w14:paraId="54615C99" w14:textId="77777777" w:rsidR="00663784" w:rsidRPr="00A808AC" w:rsidRDefault="005A3D7D" w:rsidP="00663784">
      <w:pPr>
        <w:pStyle w:val="NormalAgency"/>
        <w:rPr>
          <w:rFonts w:ascii="Times New Roman" w:hAnsi="Times New Roman"/>
          <w:sz w:val="22"/>
          <w:szCs w:val="22"/>
        </w:rPr>
      </w:pPr>
      <w:r w:rsidRPr="00A808AC">
        <w:rPr>
          <w:rFonts w:ascii="Times New Roman" w:hAnsi="Times New Roman"/>
          <w:sz w:val="22"/>
          <w:szCs w:val="22"/>
        </w:rPr>
        <w:t xml:space="preserve">Medicinal product subject to restricted medical prescription (see Annex I: Summary of Product </w:t>
      </w:r>
      <w:r w:rsidRPr="00A808AC">
        <w:rPr>
          <w:rFonts w:ascii="Times New Roman" w:hAnsi="Times New Roman"/>
          <w:sz w:val="22"/>
          <w:szCs w:val="22"/>
        </w:rPr>
        <w:t>Characteristics, section 4.2).</w:t>
      </w:r>
    </w:p>
    <w:p w14:paraId="362A4CD3" w14:textId="77777777" w:rsidR="00663784" w:rsidRPr="00A808AC" w:rsidRDefault="00663784" w:rsidP="00663784">
      <w:pPr>
        <w:pStyle w:val="NormalAgency"/>
        <w:rPr>
          <w:rFonts w:ascii="Times New Roman" w:hAnsi="Times New Roman"/>
          <w:sz w:val="22"/>
          <w:szCs w:val="22"/>
        </w:rPr>
      </w:pPr>
    </w:p>
    <w:p w14:paraId="0FD1FC11" w14:textId="77777777" w:rsidR="00663784" w:rsidRPr="00A808AC" w:rsidRDefault="005A3D7D" w:rsidP="00663784">
      <w:pPr>
        <w:pStyle w:val="TitleB"/>
        <w:outlineLvl w:val="1"/>
      </w:pPr>
      <w:r w:rsidRPr="00A808AC">
        <w:t xml:space="preserve">C. </w:t>
      </w:r>
      <w:r w:rsidRPr="00A808AC">
        <w:tab/>
        <w:t xml:space="preserve">Other conditions and requirements of the Marketing </w:t>
      </w:r>
      <w:r>
        <w:t>Authorisation</w:t>
      </w:r>
    </w:p>
    <w:p w14:paraId="05BFE19C" w14:textId="77777777" w:rsidR="00663784" w:rsidRPr="00ED1D45" w:rsidRDefault="00663784" w:rsidP="00663784"/>
    <w:p w14:paraId="2D3ED173" w14:textId="77777777" w:rsidR="00663784" w:rsidRPr="00A808AC" w:rsidRDefault="005A3D7D" w:rsidP="00663784">
      <w:pPr>
        <w:numPr>
          <w:ilvl w:val="0"/>
          <w:numId w:val="11"/>
        </w:numPr>
        <w:suppressLineNumbers/>
        <w:tabs>
          <w:tab w:val="clear" w:pos="567"/>
        </w:tabs>
        <w:spacing w:line="240" w:lineRule="auto"/>
        <w:ind w:right="-1"/>
        <w:rPr>
          <w:b/>
        </w:rPr>
      </w:pPr>
      <w:r w:rsidRPr="00A808AC">
        <w:rPr>
          <w:b/>
        </w:rPr>
        <w:t xml:space="preserve">Periodic </w:t>
      </w:r>
      <w:r>
        <w:rPr>
          <w:b/>
        </w:rPr>
        <w:t>s</w:t>
      </w:r>
      <w:r w:rsidRPr="00A808AC">
        <w:rPr>
          <w:b/>
        </w:rPr>
        <w:t xml:space="preserve">afety </w:t>
      </w:r>
      <w:r>
        <w:rPr>
          <w:b/>
        </w:rPr>
        <w:t>u</w:t>
      </w:r>
      <w:r w:rsidRPr="00A808AC">
        <w:rPr>
          <w:b/>
        </w:rPr>
        <w:t xml:space="preserve">pdate </w:t>
      </w:r>
      <w:r>
        <w:rPr>
          <w:b/>
        </w:rPr>
        <w:t>r</w:t>
      </w:r>
      <w:r w:rsidRPr="00A808AC">
        <w:rPr>
          <w:b/>
        </w:rPr>
        <w:t>eports</w:t>
      </w:r>
      <w:r>
        <w:rPr>
          <w:b/>
        </w:rPr>
        <w:t xml:space="preserve"> (PSURs)</w:t>
      </w:r>
    </w:p>
    <w:p w14:paraId="5DF5EFF5" w14:textId="77777777" w:rsidR="00663784" w:rsidRPr="00A808AC" w:rsidRDefault="00663784" w:rsidP="00663784">
      <w:pPr>
        <w:suppressLineNumbers/>
        <w:tabs>
          <w:tab w:val="left" w:pos="0"/>
        </w:tabs>
        <w:spacing w:line="240" w:lineRule="auto"/>
        <w:ind w:right="567"/>
      </w:pPr>
    </w:p>
    <w:p w14:paraId="3F037946" w14:textId="77777777" w:rsidR="00663784" w:rsidRPr="00A808AC" w:rsidRDefault="005A3D7D" w:rsidP="00663784">
      <w:pPr>
        <w:suppressLineNumbers/>
        <w:tabs>
          <w:tab w:val="left" w:pos="0"/>
        </w:tabs>
        <w:spacing w:line="240" w:lineRule="auto"/>
        <w:ind w:right="-37"/>
        <w:rPr>
          <w:iCs/>
        </w:rPr>
      </w:pPr>
      <w:r w:rsidRPr="00A808AC">
        <w:rPr>
          <w:iCs/>
        </w:rPr>
        <w:t xml:space="preserve">The requirements for submission of </w:t>
      </w:r>
      <w:r>
        <w:rPr>
          <w:iCs/>
        </w:rPr>
        <w:t>PSURs</w:t>
      </w:r>
      <w:r w:rsidRPr="00A808AC">
        <w:rPr>
          <w:iCs/>
        </w:rPr>
        <w:t xml:space="preserve"> for this medicinal product are set out in the list of Union reference dat</w:t>
      </w:r>
      <w:r w:rsidRPr="00A808AC">
        <w:rPr>
          <w:iCs/>
        </w:rPr>
        <w:t>es (EURD list) provided for under Article 107c(7) of Directive 2001/83/EC and any subsequent updates published on the European medicines web-portal.</w:t>
      </w:r>
    </w:p>
    <w:p w14:paraId="03504228" w14:textId="77777777" w:rsidR="00663784" w:rsidRPr="00A808AC" w:rsidRDefault="00663784" w:rsidP="00663784">
      <w:pPr>
        <w:pStyle w:val="BodytextAgency"/>
        <w:spacing w:after="0" w:line="240" w:lineRule="auto"/>
        <w:rPr>
          <w:rFonts w:ascii="Times New Roman" w:hAnsi="Times New Roman"/>
          <w:sz w:val="22"/>
          <w:szCs w:val="22"/>
        </w:rPr>
      </w:pPr>
    </w:p>
    <w:p w14:paraId="3906B633" w14:textId="77777777" w:rsidR="00663784" w:rsidRPr="00A808AC" w:rsidRDefault="00663784" w:rsidP="00663784">
      <w:pPr>
        <w:pStyle w:val="NormalAgency"/>
        <w:rPr>
          <w:rFonts w:ascii="Times New Roman" w:hAnsi="Times New Roman"/>
          <w:sz w:val="22"/>
          <w:szCs w:val="22"/>
        </w:rPr>
      </w:pPr>
    </w:p>
    <w:p w14:paraId="518888D0" w14:textId="77777777" w:rsidR="00663784" w:rsidRPr="00B01606" w:rsidRDefault="005A3D7D" w:rsidP="00663784">
      <w:pPr>
        <w:pStyle w:val="TitleB"/>
        <w:outlineLvl w:val="1"/>
      </w:pPr>
      <w:r w:rsidRPr="00A808AC">
        <w:t>D.</w:t>
      </w:r>
      <w:r w:rsidRPr="00A808AC">
        <w:tab/>
        <w:t>Conditions or restrictions with regard to the safe and effective use of the medicinal product</w:t>
      </w:r>
    </w:p>
    <w:p w14:paraId="7DF56C93" w14:textId="77777777" w:rsidR="00663784" w:rsidRPr="00A808AC" w:rsidRDefault="00663784" w:rsidP="00663784">
      <w:pPr>
        <w:pStyle w:val="BodytextAgency"/>
        <w:spacing w:after="0" w:line="240" w:lineRule="auto"/>
        <w:rPr>
          <w:rFonts w:ascii="Times New Roman" w:hAnsi="Times New Roman"/>
          <w:sz w:val="22"/>
          <w:szCs w:val="22"/>
        </w:rPr>
      </w:pPr>
    </w:p>
    <w:p w14:paraId="4B533B83" w14:textId="77777777" w:rsidR="00663784" w:rsidRPr="00A808AC" w:rsidRDefault="005A3D7D" w:rsidP="00663784">
      <w:pPr>
        <w:pStyle w:val="NormalAgency"/>
        <w:numPr>
          <w:ilvl w:val="0"/>
          <w:numId w:val="12"/>
        </w:numPr>
        <w:ind w:left="360"/>
        <w:rPr>
          <w:rFonts w:ascii="Times New Roman" w:hAnsi="Times New Roman"/>
          <w:sz w:val="22"/>
          <w:szCs w:val="22"/>
        </w:rPr>
      </w:pPr>
      <w:r w:rsidRPr="00A808AC">
        <w:rPr>
          <w:rFonts w:ascii="Times New Roman" w:hAnsi="Times New Roman"/>
          <w:b/>
          <w:sz w:val="22"/>
          <w:szCs w:val="22"/>
        </w:rPr>
        <w:t xml:space="preserve">Risk </w:t>
      </w:r>
      <w:r>
        <w:rPr>
          <w:rFonts w:ascii="Times New Roman" w:hAnsi="Times New Roman"/>
          <w:b/>
          <w:sz w:val="22"/>
          <w:szCs w:val="22"/>
        </w:rPr>
        <w:t>m</w:t>
      </w:r>
      <w:r w:rsidRPr="00A808AC">
        <w:rPr>
          <w:rFonts w:ascii="Times New Roman" w:hAnsi="Times New Roman"/>
          <w:b/>
          <w:sz w:val="22"/>
          <w:szCs w:val="22"/>
        </w:rPr>
        <w:t>a</w:t>
      </w:r>
      <w:r w:rsidRPr="00A808AC">
        <w:rPr>
          <w:rFonts w:ascii="Times New Roman" w:hAnsi="Times New Roman"/>
          <w:b/>
          <w:sz w:val="22"/>
          <w:szCs w:val="22"/>
        </w:rPr>
        <w:t xml:space="preserve">nagement </w:t>
      </w:r>
      <w:r>
        <w:rPr>
          <w:rFonts w:ascii="Times New Roman" w:hAnsi="Times New Roman"/>
          <w:b/>
          <w:sz w:val="22"/>
          <w:szCs w:val="22"/>
        </w:rPr>
        <w:t>p</w:t>
      </w:r>
      <w:r w:rsidRPr="00A808AC">
        <w:rPr>
          <w:rFonts w:ascii="Times New Roman" w:hAnsi="Times New Roman"/>
          <w:b/>
          <w:sz w:val="22"/>
          <w:szCs w:val="22"/>
        </w:rPr>
        <w:t>lan (RMP)</w:t>
      </w:r>
    </w:p>
    <w:p w14:paraId="531EF106" w14:textId="77777777" w:rsidR="00663784" w:rsidRPr="00A808AC" w:rsidRDefault="00663784" w:rsidP="00663784">
      <w:pPr>
        <w:pStyle w:val="NormalAgency"/>
        <w:rPr>
          <w:rFonts w:ascii="Times New Roman" w:hAnsi="Times New Roman"/>
          <w:sz w:val="22"/>
          <w:szCs w:val="22"/>
          <w:u w:val="single"/>
        </w:rPr>
      </w:pPr>
    </w:p>
    <w:p w14:paraId="65114440" w14:textId="06CAA3D1" w:rsidR="00663784" w:rsidRPr="00A808AC" w:rsidRDefault="005A3D7D" w:rsidP="00663784">
      <w:pPr>
        <w:suppressLineNumbers/>
        <w:tabs>
          <w:tab w:val="left" w:pos="0"/>
        </w:tabs>
        <w:spacing w:line="240" w:lineRule="auto"/>
        <w:ind w:right="567"/>
      </w:pPr>
      <w:r w:rsidRPr="00A808AC">
        <w:t xml:space="preserve">The </w:t>
      </w:r>
      <w:r>
        <w:t>marketing authori</w:t>
      </w:r>
      <w:r w:rsidR="0073031A">
        <w:t>s</w:t>
      </w:r>
      <w:r>
        <w:t>ation holder (</w:t>
      </w:r>
      <w:r w:rsidRPr="00A808AC">
        <w:t>MAH</w:t>
      </w:r>
      <w:r>
        <w:t>)</w:t>
      </w:r>
      <w:r w:rsidRPr="00A808AC">
        <w:t xml:space="preserve"> shall perform the required pharmacovigilance activities and interventions detailed in the agreed RMP presented in Module 1.8.2 of the </w:t>
      </w:r>
      <w:r>
        <w:t>m</w:t>
      </w:r>
      <w:r w:rsidRPr="00A808AC">
        <w:t xml:space="preserve">arketing </w:t>
      </w:r>
      <w:r>
        <w:t>a</w:t>
      </w:r>
      <w:r w:rsidRPr="00A808AC">
        <w:t>uthorisation and any agreed subsequent updates of</w:t>
      </w:r>
      <w:r w:rsidRPr="00A808AC">
        <w:t xml:space="preserve"> the RMP.</w:t>
      </w:r>
    </w:p>
    <w:p w14:paraId="6274399E" w14:textId="77777777" w:rsidR="00663784" w:rsidRPr="00A808AC" w:rsidRDefault="00663784" w:rsidP="00663784">
      <w:pPr>
        <w:pStyle w:val="BodytextAgency"/>
        <w:spacing w:after="0" w:line="240" w:lineRule="auto"/>
        <w:rPr>
          <w:rFonts w:ascii="Times New Roman" w:hAnsi="Times New Roman"/>
          <w:sz w:val="22"/>
          <w:szCs w:val="22"/>
        </w:rPr>
      </w:pPr>
    </w:p>
    <w:p w14:paraId="1FD35198" w14:textId="77777777" w:rsidR="00663784" w:rsidRPr="00A808AC" w:rsidRDefault="005A3D7D" w:rsidP="00663784">
      <w:pPr>
        <w:suppressLineNumbers/>
        <w:spacing w:line="240" w:lineRule="auto"/>
        <w:ind w:right="-1"/>
        <w:rPr>
          <w:iCs/>
        </w:rPr>
      </w:pPr>
      <w:r w:rsidRPr="00A808AC">
        <w:rPr>
          <w:iCs/>
        </w:rPr>
        <w:t>An updated RMP should be submitted:</w:t>
      </w:r>
    </w:p>
    <w:p w14:paraId="08EDFCFA" w14:textId="77777777" w:rsidR="00663784" w:rsidRPr="00A808AC" w:rsidRDefault="005A3D7D" w:rsidP="00663784">
      <w:pPr>
        <w:numPr>
          <w:ilvl w:val="0"/>
          <w:numId w:val="10"/>
        </w:numPr>
        <w:suppressLineNumbers/>
        <w:tabs>
          <w:tab w:val="clear" w:pos="567"/>
        </w:tabs>
        <w:spacing w:line="240" w:lineRule="auto"/>
        <w:ind w:right="-1"/>
        <w:rPr>
          <w:iCs/>
        </w:rPr>
      </w:pPr>
      <w:r w:rsidRPr="00A808AC">
        <w:rPr>
          <w:iCs/>
        </w:rPr>
        <w:t>At the request of the European Medicines Agency;</w:t>
      </w:r>
    </w:p>
    <w:p w14:paraId="2D0EC49C" w14:textId="77777777" w:rsidR="00663784" w:rsidRPr="00A808AC" w:rsidRDefault="005A3D7D" w:rsidP="00663784">
      <w:pPr>
        <w:numPr>
          <w:ilvl w:val="0"/>
          <w:numId w:val="10"/>
        </w:numPr>
        <w:suppressLineNumbers/>
        <w:tabs>
          <w:tab w:val="clear" w:pos="567"/>
        </w:tabs>
        <w:spacing w:line="240" w:lineRule="auto"/>
        <w:ind w:right="-1"/>
        <w:rPr>
          <w:iCs/>
        </w:rPr>
      </w:pPr>
      <w:r w:rsidRPr="00A808AC">
        <w:rPr>
          <w:iCs/>
        </w:rPr>
        <w:t xml:space="preserve">Whenever the risk management system is modified, especially as the result of new information being received that may lead to a significant change to the </w:t>
      </w:r>
      <w:r w:rsidRPr="00A808AC">
        <w:rPr>
          <w:iCs/>
        </w:rPr>
        <w:t>benefit/risk profile or as the result of an important (pharmacovigilance or risk minimisation) milestone being reached.</w:t>
      </w:r>
    </w:p>
    <w:p w14:paraId="2A995A95" w14:textId="77777777" w:rsidR="00663784" w:rsidRPr="00A808AC" w:rsidRDefault="00663784" w:rsidP="00663784">
      <w:pPr>
        <w:pStyle w:val="BodytextAgency"/>
        <w:spacing w:after="0" w:line="240" w:lineRule="auto"/>
        <w:rPr>
          <w:rFonts w:ascii="Times New Roman" w:hAnsi="Times New Roman"/>
          <w:sz w:val="22"/>
          <w:szCs w:val="22"/>
        </w:rPr>
      </w:pPr>
    </w:p>
    <w:p w14:paraId="5834CBA9" w14:textId="77777777" w:rsidR="00663784" w:rsidRPr="00A808AC" w:rsidRDefault="005A3D7D" w:rsidP="00663784">
      <w:pPr>
        <w:pStyle w:val="NormalAgency"/>
        <w:numPr>
          <w:ilvl w:val="0"/>
          <w:numId w:val="2"/>
        </w:numPr>
        <w:tabs>
          <w:tab w:val="clear" w:pos="397"/>
        </w:tabs>
        <w:ind w:left="360" w:hanging="360"/>
        <w:rPr>
          <w:rFonts w:ascii="Times New Roman" w:hAnsi="Times New Roman"/>
          <w:b/>
          <w:sz w:val="22"/>
          <w:szCs w:val="22"/>
        </w:rPr>
      </w:pPr>
      <w:r w:rsidRPr="00A808AC">
        <w:rPr>
          <w:rFonts w:ascii="Times New Roman" w:hAnsi="Times New Roman"/>
          <w:b/>
          <w:sz w:val="22"/>
          <w:szCs w:val="22"/>
        </w:rPr>
        <w:t>Obligation to conduct post-authorisation measures</w:t>
      </w:r>
    </w:p>
    <w:p w14:paraId="7C7601CF" w14:textId="77777777" w:rsidR="00663784" w:rsidRPr="00A808AC" w:rsidRDefault="00663784" w:rsidP="00663784">
      <w:pPr>
        <w:pStyle w:val="NormalAgency"/>
        <w:rPr>
          <w:rFonts w:ascii="Times New Roman" w:hAnsi="Times New Roman"/>
          <w:snapToGrid w:val="0"/>
        </w:rPr>
      </w:pPr>
    </w:p>
    <w:p w14:paraId="56306639" w14:textId="77777777" w:rsidR="00663784" w:rsidRPr="00A808AC" w:rsidRDefault="005A3D7D" w:rsidP="00663784">
      <w:pPr>
        <w:pStyle w:val="BodytextAgency"/>
        <w:keepNext/>
        <w:spacing w:after="0" w:line="240" w:lineRule="auto"/>
        <w:rPr>
          <w:rFonts w:ascii="Times New Roman" w:hAnsi="Times New Roman"/>
          <w:snapToGrid w:val="0"/>
          <w:sz w:val="22"/>
          <w:szCs w:val="22"/>
        </w:rPr>
      </w:pPr>
      <w:r w:rsidRPr="00A808AC">
        <w:rPr>
          <w:rFonts w:ascii="Times New Roman" w:hAnsi="Times New Roman"/>
          <w:snapToGrid w:val="0"/>
          <w:sz w:val="22"/>
          <w:szCs w:val="22"/>
        </w:rPr>
        <w:t>The MAH shall complete, within the stated timeframe, the below measures:</w:t>
      </w:r>
    </w:p>
    <w:p w14:paraId="19CE74A6" w14:textId="77777777" w:rsidR="00663784" w:rsidRPr="00A808AC" w:rsidRDefault="00663784" w:rsidP="00663784">
      <w:pPr>
        <w:pStyle w:val="BodytextAgency"/>
        <w:keepNext/>
        <w:spacing w:after="0" w:line="240" w:lineRule="auto"/>
        <w:rPr>
          <w:rFonts w:ascii="Times New Roman" w:hAnsi="Times New Roman"/>
          <w:snapToGrid w:val="0"/>
          <w:sz w:val="22"/>
          <w:szCs w:val="22"/>
        </w:rPr>
      </w:pPr>
    </w:p>
    <w:tbl>
      <w:tblPr>
        <w:tblStyle w:val="TableGrid1"/>
        <w:tblW w:w="0" w:type="auto"/>
        <w:tblLook w:val="01E0" w:firstRow="1" w:lastRow="1" w:firstColumn="1" w:lastColumn="1" w:noHBand="0" w:noVBand="0"/>
      </w:tblPr>
      <w:tblGrid>
        <w:gridCol w:w="5329"/>
        <w:gridCol w:w="3746"/>
      </w:tblGrid>
      <w:tr w:rsidR="00476058" w14:paraId="766F9E02" w14:textId="77777777" w:rsidTr="00F341E4">
        <w:tc>
          <w:tcPr>
            <w:tcW w:w="5400" w:type="dxa"/>
          </w:tcPr>
          <w:p w14:paraId="205DB2EA" w14:textId="77777777" w:rsidR="00663784" w:rsidRPr="006B5011" w:rsidRDefault="005A3D7D" w:rsidP="00F341E4">
            <w:pPr>
              <w:pStyle w:val="BodytextAgency"/>
              <w:keepNext/>
              <w:spacing w:after="0" w:line="240" w:lineRule="auto"/>
              <w:rPr>
                <w:rFonts w:ascii="Times New Roman" w:hAnsi="Times New Roman" w:cs="Times New Roman"/>
                <w:b/>
                <w:sz w:val="22"/>
                <w:szCs w:val="22"/>
              </w:rPr>
            </w:pPr>
            <w:r w:rsidRPr="006B5011">
              <w:rPr>
                <w:rFonts w:ascii="Times New Roman" w:hAnsi="Times New Roman" w:cs="Times New Roman"/>
                <w:b/>
                <w:snapToGrid w:val="0"/>
                <w:sz w:val="22"/>
                <w:szCs w:val="22"/>
              </w:rPr>
              <w:t>Description</w:t>
            </w:r>
          </w:p>
        </w:tc>
        <w:tc>
          <w:tcPr>
            <w:tcW w:w="3793" w:type="dxa"/>
          </w:tcPr>
          <w:p w14:paraId="45A56DBC" w14:textId="77777777" w:rsidR="00663784" w:rsidRPr="006B5011" w:rsidRDefault="005A3D7D" w:rsidP="00F341E4">
            <w:pPr>
              <w:pStyle w:val="BodytextAgency"/>
              <w:keepNext/>
              <w:spacing w:after="0" w:line="240" w:lineRule="auto"/>
              <w:rPr>
                <w:rFonts w:ascii="Times New Roman" w:hAnsi="Times New Roman" w:cs="Times New Roman"/>
                <w:b/>
                <w:sz w:val="22"/>
                <w:szCs w:val="22"/>
              </w:rPr>
            </w:pPr>
            <w:r w:rsidRPr="006B5011">
              <w:rPr>
                <w:rFonts w:ascii="Times New Roman" w:hAnsi="Times New Roman" w:cs="Times New Roman"/>
                <w:b/>
                <w:snapToGrid w:val="0"/>
                <w:sz w:val="22"/>
                <w:szCs w:val="22"/>
              </w:rPr>
              <w:t>Due date</w:t>
            </w:r>
          </w:p>
        </w:tc>
      </w:tr>
      <w:tr w:rsidR="00476058" w14:paraId="3B1D565D" w14:textId="77777777" w:rsidTr="00F341E4">
        <w:tc>
          <w:tcPr>
            <w:tcW w:w="5400" w:type="dxa"/>
          </w:tcPr>
          <w:p w14:paraId="330DB554" w14:textId="77777777" w:rsidR="00663784" w:rsidRPr="006B5011" w:rsidRDefault="005A3D7D" w:rsidP="00F341E4">
            <w:pPr>
              <w:keepNext/>
              <w:spacing w:line="240" w:lineRule="auto"/>
              <w:rPr>
                <w:rFonts w:ascii="Times New Roman" w:hAnsi="Times New Roman" w:cs="Times New Roman"/>
              </w:rPr>
            </w:pPr>
            <w:r w:rsidRPr="006B5011">
              <w:rPr>
                <w:rFonts w:ascii="Times New Roman" w:hAnsi="Times New Roman" w:cs="Times New Roman"/>
              </w:rPr>
              <w:t xml:space="preserve">Long-term effectiveness study to compare disease progression among children with CF who have a specified CFTR gating mutation and are aged 2 through 5 years at the time of Kalydeco treatment initiation versus disease </w:t>
            </w:r>
            <w:r w:rsidRPr="006B5011">
              <w:rPr>
                <w:rFonts w:ascii="Times New Roman" w:hAnsi="Times New Roman" w:cs="Times New Roman"/>
              </w:rPr>
              <w:t>progression among concurrent matched cohort of children with CF who have never received Kalydeco treatment.</w:t>
            </w:r>
          </w:p>
        </w:tc>
        <w:tc>
          <w:tcPr>
            <w:tcW w:w="3793" w:type="dxa"/>
          </w:tcPr>
          <w:p w14:paraId="2FF22212" w14:textId="77777777" w:rsidR="00663784" w:rsidRPr="006B5011" w:rsidRDefault="005A3D7D" w:rsidP="00F341E4">
            <w:pPr>
              <w:keepNext/>
              <w:spacing w:line="240" w:lineRule="auto"/>
              <w:rPr>
                <w:rFonts w:ascii="Times New Roman" w:hAnsi="Times New Roman" w:cs="Times New Roman"/>
                <w:lang w:val="sv-SE"/>
              </w:rPr>
            </w:pPr>
            <w:r w:rsidRPr="006B5011">
              <w:rPr>
                <w:rFonts w:ascii="Times New Roman" w:hAnsi="Times New Roman" w:cs="Times New Roman"/>
                <w:lang w:val="sv-SE"/>
              </w:rPr>
              <w:t>Interim analysis 1: December 2017</w:t>
            </w:r>
          </w:p>
          <w:p w14:paraId="7711DC1C" w14:textId="77777777" w:rsidR="00663784" w:rsidRPr="006B5011" w:rsidRDefault="00663784" w:rsidP="00F341E4">
            <w:pPr>
              <w:keepNext/>
              <w:spacing w:line="240" w:lineRule="auto"/>
              <w:rPr>
                <w:rFonts w:ascii="Times New Roman" w:hAnsi="Times New Roman" w:cs="Times New Roman"/>
                <w:lang w:val="sv-SE"/>
              </w:rPr>
            </w:pPr>
          </w:p>
          <w:p w14:paraId="03361AA2" w14:textId="77777777" w:rsidR="00663784" w:rsidRPr="006B5011" w:rsidRDefault="005A3D7D" w:rsidP="00F341E4">
            <w:pPr>
              <w:keepNext/>
              <w:spacing w:line="240" w:lineRule="auto"/>
              <w:rPr>
                <w:rFonts w:ascii="Times New Roman" w:hAnsi="Times New Roman" w:cs="Times New Roman"/>
                <w:lang w:val="sv-SE"/>
              </w:rPr>
            </w:pPr>
            <w:r w:rsidRPr="006B5011">
              <w:rPr>
                <w:rFonts w:ascii="Times New Roman" w:hAnsi="Times New Roman" w:cs="Times New Roman"/>
                <w:lang w:val="sv-SE"/>
              </w:rPr>
              <w:t>Interim analysis 2: December 2019</w:t>
            </w:r>
          </w:p>
          <w:p w14:paraId="4DA86116" w14:textId="77777777" w:rsidR="00663784" w:rsidRPr="006B5011" w:rsidRDefault="00663784" w:rsidP="00F341E4">
            <w:pPr>
              <w:keepNext/>
              <w:spacing w:line="240" w:lineRule="auto"/>
              <w:rPr>
                <w:rFonts w:ascii="Times New Roman" w:hAnsi="Times New Roman" w:cs="Times New Roman"/>
                <w:lang w:val="sv-SE"/>
              </w:rPr>
            </w:pPr>
          </w:p>
          <w:p w14:paraId="4FA17797" w14:textId="77777777" w:rsidR="00663784" w:rsidRPr="006B5011" w:rsidRDefault="005A3D7D" w:rsidP="00F341E4">
            <w:pPr>
              <w:keepNext/>
              <w:spacing w:line="240" w:lineRule="auto"/>
              <w:rPr>
                <w:rFonts w:ascii="Times New Roman" w:hAnsi="Times New Roman" w:cs="Times New Roman"/>
              </w:rPr>
            </w:pPr>
            <w:r w:rsidRPr="006B5011">
              <w:rPr>
                <w:rFonts w:ascii="Times New Roman" w:hAnsi="Times New Roman" w:cs="Times New Roman"/>
              </w:rPr>
              <w:t>Interim analysis 3: December 2021</w:t>
            </w:r>
          </w:p>
          <w:p w14:paraId="0075AA3C" w14:textId="77777777" w:rsidR="00663784" w:rsidRPr="006B5011" w:rsidRDefault="00663784" w:rsidP="00F341E4">
            <w:pPr>
              <w:keepNext/>
              <w:spacing w:line="240" w:lineRule="auto"/>
              <w:rPr>
                <w:rFonts w:ascii="Times New Roman" w:hAnsi="Times New Roman" w:cs="Times New Roman"/>
              </w:rPr>
            </w:pPr>
          </w:p>
          <w:p w14:paraId="3D107320" w14:textId="77777777" w:rsidR="00663784" w:rsidRPr="006B5011" w:rsidRDefault="005A3D7D" w:rsidP="00F341E4">
            <w:pPr>
              <w:keepNext/>
              <w:spacing w:line="240" w:lineRule="auto"/>
              <w:rPr>
                <w:rFonts w:ascii="Times New Roman" w:hAnsi="Times New Roman" w:cs="Times New Roman"/>
              </w:rPr>
            </w:pPr>
            <w:r w:rsidRPr="006B5011">
              <w:rPr>
                <w:rFonts w:ascii="Times New Roman" w:hAnsi="Times New Roman" w:cs="Times New Roman"/>
              </w:rPr>
              <w:t>Final report: December 2023</w:t>
            </w:r>
          </w:p>
        </w:tc>
      </w:tr>
    </w:tbl>
    <w:p w14:paraId="6F86F484" w14:textId="77777777" w:rsidR="00663784" w:rsidRPr="00A808AC" w:rsidRDefault="00663784" w:rsidP="00663784">
      <w:pPr>
        <w:pStyle w:val="NormalAgency"/>
        <w:rPr>
          <w:rFonts w:ascii="Times New Roman" w:hAnsi="Times New Roman"/>
          <w:sz w:val="22"/>
          <w:szCs w:val="22"/>
        </w:rPr>
      </w:pPr>
    </w:p>
    <w:p w14:paraId="275F57C7" w14:textId="77777777" w:rsidR="00663784" w:rsidRPr="00A808AC" w:rsidRDefault="005A3D7D" w:rsidP="00663784">
      <w:pPr>
        <w:pStyle w:val="NormalAgency"/>
        <w:rPr>
          <w:rFonts w:ascii="Times New Roman" w:hAnsi="Times New Roman"/>
          <w:sz w:val="22"/>
          <w:szCs w:val="22"/>
        </w:rPr>
      </w:pPr>
      <w:r w:rsidRPr="00A808AC">
        <w:rPr>
          <w:rFonts w:ascii="Times New Roman" w:hAnsi="Times New Roman"/>
          <w:sz w:val="22"/>
          <w:szCs w:val="22"/>
        </w:rPr>
        <w:br w:type="page"/>
      </w:r>
    </w:p>
    <w:p w14:paraId="0FB72F75" w14:textId="77777777" w:rsidR="00663784" w:rsidRPr="00A808AC" w:rsidRDefault="00663784" w:rsidP="00663784">
      <w:pPr>
        <w:suppressLineNumbers/>
        <w:spacing w:line="240" w:lineRule="auto"/>
        <w:ind w:right="566"/>
        <w:jc w:val="center"/>
        <w:rPr>
          <w:b/>
          <w:bCs/>
        </w:rPr>
      </w:pPr>
    </w:p>
    <w:p w14:paraId="01A45DE5" w14:textId="77777777" w:rsidR="00663784" w:rsidRPr="00A808AC" w:rsidRDefault="00663784" w:rsidP="00663784">
      <w:pPr>
        <w:suppressLineNumbers/>
        <w:spacing w:line="240" w:lineRule="auto"/>
        <w:ind w:right="566"/>
        <w:rPr>
          <w:b/>
          <w:bCs/>
        </w:rPr>
      </w:pPr>
    </w:p>
    <w:p w14:paraId="19B2CB1F" w14:textId="77777777" w:rsidR="00663784" w:rsidRPr="00A808AC" w:rsidRDefault="00663784" w:rsidP="00663784">
      <w:pPr>
        <w:suppressLineNumbers/>
        <w:spacing w:line="240" w:lineRule="auto"/>
        <w:jc w:val="center"/>
        <w:outlineLvl w:val="0"/>
        <w:rPr>
          <w:b/>
          <w:bCs/>
        </w:rPr>
      </w:pPr>
    </w:p>
    <w:p w14:paraId="7B272F30" w14:textId="77777777" w:rsidR="00663784" w:rsidRPr="00A808AC" w:rsidRDefault="00663784" w:rsidP="00663784">
      <w:pPr>
        <w:suppressLineNumbers/>
        <w:spacing w:line="240" w:lineRule="auto"/>
        <w:jc w:val="center"/>
        <w:outlineLvl w:val="0"/>
        <w:rPr>
          <w:b/>
          <w:bCs/>
        </w:rPr>
      </w:pPr>
    </w:p>
    <w:p w14:paraId="294A425B" w14:textId="77777777" w:rsidR="00663784" w:rsidRPr="00A808AC" w:rsidRDefault="00663784" w:rsidP="00663784">
      <w:pPr>
        <w:suppressLineNumbers/>
        <w:spacing w:line="240" w:lineRule="auto"/>
        <w:jc w:val="center"/>
        <w:outlineLvl w:val="0"/>
        <w:rPr>
          <w:b/>
          <w:bCs/>
        </w:rPr>
      </w:pPr>
    </w:p>
    <w:p w14:paraId="20E06D4F" w14:textId="77777777" w:rsidR="00663784" w:rsidRPr="00A808AC" w:rsidRDefault="00663784" w:rsidP="00663784">
      <w:pPr>
        <w:suppressLineNumbers/>
        <w:spacing w:line="240" w:lineRule="auto"/>
        <w:jc w:val="center"/>
        <w:outlineLvl w:val="0"/>
        <w:rPr>
          <w:b/>
          <w:bCs/>
        </w:rPr>
      </w:pPr>
    </w:p>
    <w:p w14:paraId="5CCE37C7" w14:textId="77777777" w:rsidR="00663784" w:rsidRPr="00A808AC" w:rsidRDefault="00663784" w:rsidP="00663784">
      <w:pPr>
        <w:suppressLineNumbers/>
        <w:spacing w:line="240" w:lineRule="auto"/>
        <w:jc w:val="center"/>
        <w:outlineLvl w:val="0"/>
        <w:rPr>
          <w:b/>
          <w:bCs/>
        </w:rPr>
      </w:pPr>
    </w:p>
    <w:p w14:paraId="6E3EC374" w14:textId="77777777" w:rsidR="00663784" w:rsidRPr="00A808AC" w:rsidRDefault="00663784" w:rsidP="00663784">
      <w:pPr>
        <w:suppressLineNumbers/>
        <w:spacing w:line="240" w:lineRule="auto"/>
        <w:jc w:val="center"/>
        <w:outlineLvl w:val="0"/>
        <w:rPr>
          <w:b/>
          <w:bCs/>
        </w:rPr>
      </w:pPr>
    </w:p>
    <w:p w14:paraId="78DD2423" w14:textId="77777777" w:rsidR="00663784" w:rsidRPr="00A808AC" w:rsidRDefault="00663784" w:rsidP="00663784">
      <w:pPr>
        <w:suppressLineNumbers/>
        <w:spacing w:line="240" w:lineRule="auto"/>
        <w:jc w:val="center"/>
        <w:outlineLvl w:val="0"/>
        <w:rPr>
          <w:b/>
          <w:bCs/>
        </w:rPr>
      </w:pPr>
    </w:p>
    <w:p w14:paraId="56C03B3D" w14:textId="77777777" w:rsidR="00663784" w:rsidRPr="00A808AC" w:rsidRDefault="00663784" w:rsidP="00663784">
      <w:pPr>
        <w:suppressLineNumbers/>
        <w:spacing w:line="240" w:lineRule="auto"/>
        <w:jc w:val="center"/>
        <w:outlineLvl w:val="0"/>
        <w:rPr>
          <w:b/>
          <w:bCs/>
        </w:rPr>
      </w:pPr>
    </w:p>
    <w:p w14:paraId="27AD7BFD" w14:textId="77777777" w:rsidR="00663784" w:rsidRPr="00A808AC" w:rsidRDefault="00663784" w:rsidP="00663784">
      <w:pPr>
        <w:suppressLineNumbers/>
        <w:spacing w:line="240" w:lineRule="auto"/>
        <w:jc w:val="center"/>
        <w:outlineLvl w:val="0"/>
        <w:rPr>
          <w:b/>
          <w:bCs/>
        </w:rPr>
      </w:pPr>
    </w:p>
    <w:p w14:paraId="457A50CF" w14:textId="77777777" w:rsidR="00663784" w:rsidRPr="00A808AC" w:rsidRDefault="00663784" w:rsidP="00663784">
      <w:pPr>
        <w:suppressLineNumbers/>
        <w:spacing w:line="240" w:lineRule="auto"/>
        <w:jc w:val="center"/>
        <w:outlineLvl w:val="0"/>
        <w:rPr>
          <w:b/>
          <w:bCs/>
        </w:rPr>
      </w:pPr>
    </w:p>
    <w:p w14:paraId="007ADC03" w14:textId="77777777" w:rsidR="00663784" w:rsidRPr="00A808AC" w:rsidRDefault="00663784" w:rsidP="00663784">
      <w:pPr>
        <w:suppressLineNumbers/>
        <w:spacing w:line="240" w:lineRule="auto"/>
        <w:jc w:val="center"/>
        <w:outlineLvl w:val="0"/>
        <w:rPr>
          <w:b/>
          <w:bCs/>
        </w:rPr>
      </w:pPr>
    </w:p>
    <w:p w14:paraId="04570528" w14:textId="77777777" w:rsidR="00663784" w:rsidRPr="00A808AC" w:rsidRDefault="00663784" w:rsidP="00663784">
      <w:pPr>
        <w:suppressLineNumbers/>
        <w:spacing w:line="240" w:lineRule="auto"/>
        <w:jc w:val="center"/>
        <w:outlineLvl w:val="0"/>
        <w:rPr>
          <w:b/>
          <w:bCs/>
        </w:rPr>
      </w:pPr>
    </w:p>
    <w:p w14:paraId="196D8D80" w14:textId="77777777" w:rsidR="00663784" w:rsidRPr="00A808AC" w:rsidRDefault="00663784" w:rsidP="00663784">
      <w:pPr>
        <w:suppressLineNumbers/>
        <w:spacing w:line="240" w:lineRule="auto"/>
        <w:jc w:val="center"/>
        <w:outlineLvl w:val="0"/>
        <w:rPr>
          <w:b/>
          <w:bCs/>
        </w:rPr>
      </w:pPr>
    </w:p>
    <w:p w14:paraId="1ADA2ECB" w14:textId="77777777" w:rsidR="00663784" w:rsidRPr="00A808AC" w:rsidRDefault="00663784" w:rsidP="00663784">
      <w:pPr>
        <w:suppressLineNumbers/>
        <w:spacing w:line="240" w:lineRule="auto"/>
        <w:jc w:val="center"/>
        <w:outlineLvl w:val="0"/>
        <w:rPr>
          <w:b/>
          <w:bCs/>
        </w:rPr>
      </w:pPr>
    </w:p>
    <w:p w14:paraId="3F41DA4C" w14:textId="77777777" w:rsidR="00663784" w:rsidRPr="00A808AC" w:rsidRDefault="00663784" w:rsidP="00663784">
      <w:pPr>
        <w:suppressLineNumbers/>
        <w:spacing w:line="240" w:lineRule="auto"/>
        <w:jc w:val="center"/>
        <w:outlineLvl w:val="0"/>
        <w:rPr>
          <w:b/>
          <w:bCs/>
        </w:rPr>
      </w:pPr>
    </w:p>
    <w:p w14:paraId="5C607CA2" w14:textId="77777777" w:rsidR="00663784" w:rsidRPr="00A808AC" w:rsidRDefault="00663784" w:rsidP="00663784">
      <w:pPr>
        <w:suppressLineNumbers/>
        <w:spacing w:line="240" w:lineRule="auto"/>
        <w:jc w:val="center"/>
        <w:outlineLvl w:val="0"/>
        <w:rPr>
          <w:b/>
          <w:bCs/>
        </w:rPr>
      </w:pPr>
    </w:p>
    <w:p w14:paraId="7C9A49AF" w14:textId="77777777" w:rsidR="00663784" w:rsidRPr="00A808AC" w:rsidRDefault="00663784" w:rsidP="00663784">
      <w:pPr>
        <w:suppressLineNumbers/>
        <w:spacing w:line="240" w:lineRule="auto"/>
        <w:jc w:val="center"/>
        <w:outlineLvl w:val="0"/>
        <w:rPr>
          <w:b/>
          <w:bCs/>
        </w:rPr>
      </w:pPr>
    </w:p>
    <w:p w14:paraId="4609C1EC" w14:textId="77777777" w:rsidR="00663784" w:rsidRPr="00A808AC" w:rsidRDefault="00663784" w:rsidP="00663784">
      <w:pPr>
        <w:suppressLineNumbers/>
        <w:spacing w:line="240" w:lineRule="auto"/>
        <w:jc w:val="center"/>
        <w:outlineLvl w:val="0"/>
        <w:rPr>
          <w:b/>
          <w:bCs/>
        </w:rPr>
      </w:pPr>
    </w:p>
    <w:p w14:paraId="7F61649B" w14:textId="77777777" w:rsidR="00663784" w:rsidRPr="00A808AC" w:rsidRDefault="00663784" w:rsidP="00663784">
      <w:pPr>
        <w:suppressLineNumbers/>
        <w:spacing w:line="240" w:lineRule="auto"/>
        <w:jc w:val="center"/>
        <w:outlineLvl w:val="0"/>
        <w:rPr>
          <w:b/>
          <w:bCs/>
        </w:rPr>
      </w:pPr>
    </w:p>
    <w:p w14:paraId="565D8166" w14:textId="77777777" w:rsidR="00663784" w:rsidRDefault="00663784" w:rsidP="00663784">
      <w:pPr>
        <w:suppressLineNumbers/>
        <w:spacing w:line="240" w:lineRule="auto"/>
        <w:jc w:val="center"/>
        <w:outlineLvl w:val="0"/>
        <w:rPr>
          <w:b/>
          <w:bCs/>
        </w:rPr>
      </w:pPr>
    </w:p>
    <w:p w14:paraId="5C39FFE4" w14:textId="77777777" w:rsidR="00663784" w:rsidRPr="00A808AC" w:rsidRDefault="00663784" w:rsidP="00663784">
      <w:pPr>
        <w:suppressLineNumbers/>
        <w:spacing w:line="240" w:lineRule="auto"/>
        <w:jc w:val="center"/>
        <w:outlineLvl w:val="0"/>
        <w:rPr>
          <w:b/>
          <w:bCs/>
        </w:rPr>
      </w:pPr>
    </w:p>
    <w:p w14:paraId="381AC5DD" w14:textId="77777777" w:rsidR="00663784" w:rsidRPr="00A808AC" w:rsidRDefault="005A3D7D" w:rsidP="00663784">
      <w:pPr>
        <w:suppressLineNumbers/>
        <w:spacing w:line="240" w:lineRule="auto"/>
        <w:jc w:val="center"/>
        <w:outlineLvl w:val="0"/>
        <w:rPr>
          <w:b/>
          <w:bCs/>
        </w:rPr>
      </w:pPr>
      <w:r w:rsidRPr="00A808AC">
        <w:rPr>
          <w:b/>
          <w:bCs/>
        </w:rPr>
        <w:t>ANNEX III</w:t>
      </w:r>
    </w:p>
    <w:p w14:paraId="762588AC" w14:textId="77777777" w:rsidR="00663784" w:rsidRPr="00A808AC" w:rsidRDefault="00663784" w:rsidP="00663784">
      <w:pPr>
        <w:suppressLineNumbers/>
        <w:spacing w:line="240" w:lineRule="auto"/>
        <w:jc w:val="center"/>
        <w:rPr>
          <w:b/>
          <w:bCs/>
        </w:rPr>
      </w:pPr>
    </w:p>
    <w:p w14:paraId="18F92313" w14:textId="77777777" w:rsidR="00663784" w:rsidRPr="00A808AC" w:rsidRDefault="005A3D7D" w:rsidP="00663784">
      <w:pPr>
        <w:suppressLineNumbers/>
        <w:spacing w:line="240" w:lineRule="auto"/>
        <w:jc w:val="center"/>
        <w:outlineLvl w:val="1"/>
        <w:rPr>
          <w:b/>
          <w:bCs/>
        </w:rPr>
      </w:pPr>
      <w:r w:rsidRPr="00A808AC">
        <w:rPr>
          <w:b/>
          <w:bCs/>
        </w:rPr>
        <w:t>LABELLING AND PACKAGE LEAFLET</w:t>
      </w:r>
    </w:p>
    <w:p w14:paraId="28C35BA8" w14:textId="77777777" w:rsidR="00663784" w:rsidRPr="00A808AC" w:rsidRDefault="00663784" w:rsidP="00663784">
      <w:pPr>
        <w:suppressLineNumbers/>
        <w:spacing w:line="240" w:lineRule="auto"/>
        <w:jc w:val="center"/>
        <w:rPr>
          <w:b/>
          <w:bCs/>
        </w:rPr>
      </w:pPr>
    </w:p>
    <w:p w14:paraId="69A00802" w14:textId="77777777" w:rsidR="00663784" w:rsidRPr="00A808AC" w:rsidRDefault="00663784" w:rsidP="00663784">
      <w:pPr>
        <w:suppressLineNumbers/>
        <w:spacing w:line="240" w:lineRule="auto"/>
        <w:jc w:val="center"/>
      </w:pPr>
    </w:p>
    <w:p w14:paraId="3B60159C" w14:textId="77777777" w:rsidR="00663784" w:rsidRPr="00A808AC" w:rsidRDefault="00663784" w:rsidP="00663784">
      <w:pPr>
        <w:suppressLineNumbers/>
        <w:spacing w:line="240" w:lineRule="auto"/>
        <w:jc w:val="center"/>
      </w:pPr>
    </w:p>
    <w:p w14:paraId="7029D630" w14:textId="77777777" w:rsidR="00663784" w:rsidRPr="00A808AC" w:rsidRDefault="00663784" w:rsidP="00663784">
      <w:pPr>
        <w:suppressLineNumbers/>
        <w:spacing w:line="240" w:lineRule="auto"/>
        <w:jc w:val="center"/>
      </w:pPr>
    </w:p>
    <w:p w14:paraId="100AEB72" w14:textId="77777777" w:rsidR="00663784" w:rsidRPr="00A808AC" w:rsidRDefault="00663784" w:rsidP="00663784">
      <w:pPr>
        <w:suppressLineNumbers/>
        <w:spacing w:line="240" w:lineRule="auto"/>
        <w:jc w:val="center"/>
      </w:pPr>
    </w:p>
    <w:p w14:paraId="0DF73F92" w14:textId="77777777" w:rsidR="00663784" w:rsidRPr="00A808AC" w:rsidRDefault="00663784" w:rsidP="00663784">
      <w:pPr>
        <w:suppressLineNumbers/>
        <w:spacing w:line="240" w:lineRule="auto"/>
        <w:jc w:val="center"/>
      </w:pPr>
    </w:p>
    <w:p w14:paraId="614E7EA2" w14:textId="77777777" w:rsidR="00663784" w:rsidRPr="00A808AC" w:rsidRDefault="00663784" w:rsidP="00663784">
      <w:pPr>
        <w:suppressLineNumbers/>
        <w:spacing w:line="240" w:lineRule="auto"/>
        <w:jc w:val="center"/>
      </w:pPr>
    </w:p>
    <w:p w14:paraId="1B5CE857" w14:textId="77777777" w:rsidR="00663784" w:rsidRPr="00A808AC" w:rsidRDefault="00663784" w:rsidP="00663784">
      <w:pPr>
        <w:suppressLineNumbers/>
        <w:spacing w:line="240" w:lineRule="auto"/>
        <w:jc w:val="center"/>
      </w:pPr>
    </w:p>
    <w:p w14:paraId="564A2320" w14:textId="77777777" w:rsidR="00663784" w:rsidRPr="00A808AC" w:rsidRDefault="00663784" w:rsidP="00663784">
      <w:pPr>
        <w:suppressLineNumbers/>
        <w:spacing w:line="240" w:lineRule="auto"/>
        <w:jc w:val="center"/>
      </w:pPr>
    </w:p>
    <w:p w14:paraId="75327470" w14:textId="77777777" w:rsidR="00663784" w:rsidRPr="00A808AC" w:rsidRDefault="00663784" w:rsidP="00663784">
      <w:pPr>
        <w:suppressLineNumbers/>
        <w:spacing w:line="240" w:lineRule="auto"/>
        <w:jc w:val="center"/>
      </w:pPr>
    </w:p>
    <w:p w14:paraId="2BA9E985" w14:textId="77777777" w:rsidR="00663784" w:rsidRPr="00A808AC" w:rsidRDefault="00663784" w:rsidP="00663784">
      <w:pPr>
        <w:suppressLineNumbers/>
        <w:spacing w:line="240" w:lineRule="auto"/>
        <w:jc w:val="center"/>
      </w:pPr>
    </w:p>
    <w:p w14:paraId="30705E79" w14:textId="77777777" w:rsidR="00663784" w:rsidRPr="00A808AC" w:rsidRDefault="00663784" w:rsidP="00663784">
      <w:pPr>
        <w:suppressLineNumbers/>
        <w:spacing w:line="240" w:lineRule="auto"/>
        <w:jc w:val="center"/>
      </w:pPr>
    </w:p>
    <w:p w14:paraId="61E5028D" w14:textId="77777777" w:rsidR="00663784" w:rsidRPr="00A808AC" w:rsidRDefault="005A3D7D" w:rsidP="00663784">
      <w:pPr>
        <w:suppressLineNumbers/>
        <w:spacing w:line="240" w:lineRule="auto"/>
      </w:pPr>
      <w:r w:rsidRPr="00A808AC">
        <w:br w:type="page"/>
      </w:r>
    </w:p>
    <w:p w14:paraId="299FB6B6" w14:textId="77777777" w:rsidR="00663784" w:rsidRPr="00A808AC" w:rsidRDefault="00663784" w:rsidP="00663784">
      <w:pPr>
        <w:suppressLineNumbers/>
        <w:spacing w:line="240" w:lineRule="auto"/>
        <w:jc w:val="center"/>
      </w:pPr>
    </w:p>
    <w:p w14:paraId="6F3135A3" w14:textId="77777777" w:rsidR="00663784" w:rsidRPr="00A808AC" w:rsidRDefault="00663784" w:rsidP="00663784">
      <w:pPr>
        <w:suppressLineNumbers/>
        <w:spacing w:line="240" w:lineRule="auto"/>
        <w:jc w:val="center"/>
      </w:pPr>
    </w:p>
    <w:p w14:paraId="4DE3A008" w14:textId="77777777" w:rsidR="00663784" w:rsidRPr="00A808AC" w:rsidRDefault="00663784" w:rsidP="00663784">
      <w:pPr>
        <w:suppressLineNumbers/>
        <w:spacing w:line="240" w:lineRule="auto"/>
        <w:jc w:val="center"/>
      </w:pPr>
    </w:p>
    <w:p w14:paraId="307F2973" w14:textId="77777777" w:rsidR="00663784" w:rsidRPr="00A808AC" w:rsidRDefault="00663784" w:rsidP="00663784">
      <w:pPr>
        <w:suppressLineNumbers/>
        <w:spacing w:line="240" w:lineRule="auto"/>
        <w:jc w:val="center"/>
      </w:pPr>
    </w:p>
    <w:p w14:paraId="1965F2C0" w14:textId="77777777" w:rsidR="00663784" w:rsidRPr="00A808AC" w:rsidRDefault="00663784" w:rsidP="00663784">
      <w:pPr>
        <w:suppressLineNumbers/>
        <w:spacing w:line="240" w:lineRule="auto"/>
        <w:jc w:val="center"/>
      </w:pPr>
    </w:p>
    <w:p w14:paraId="771E7EA5" w14:textId="77777777" w:rsidR="00663784" w:rsidRPr="00A808AC" w:rsidRDefault="00663784" w:rsidP="00663784">
      <w:pPr>
        <w:suppressLineNumbers/>
        <w:spacing w:line="240" w:lineRule="auto"/>
        <w:jc w:val="center"/>
      </w:pPr>
    </w:p>
    <w:p w14:paraId="67ED8A68" w14:textId="77777777" w:rsidR="00663784" w:rsidRPr="00A808AC" w:rsidRDefault="00663784" w:rsidP="00663784">
      <w:pPr>
        <w:suppressLineNumbers/>
        <w:spacing w:line="240" w:lineRule="auto"/>
        <w:jc w:val="center"/>
      </w:pPr>
    </w:p>
    <w:p w14:paraId="1EE3AB66" w14:textId="77777777" w:rsidR="00663784" w:rsidRPr="00A808AC" w:rsidRDefault="00663784" w:rsidP="00663784">
      <w:pPr>
        <w:suppressLineNumbers/>
        <w:spacing w:line="240" w:lineRule="auto"/>
        <w:jc w:val="center"/>
      </w:pPr>
    </w:p>
    <w:p w14:paraId="1F3325F3" w14:textId="77777777" w:rsidR="00663784" w:rsidRPr="00A808AC" w:rsidRDefault="00663784" w:rsidP="00663784">
      <w:pPr>
        <w:suppressLineNumbers/>
        <w:spacing w:line="240" w:lineRule="auto"/>
        <w:jc w:val="center"/>
      </w:pPr>
    </w:p>
    <w:p w14:paraId="0843901B" w14:textId="77777777" w:rsidR="00663784" w:rsidRPr="00A808AC" w:rsidRDefault="00663784" w:rsidP="00663784">
      <w:pPr>
        <w:suppressLineNumbers/>
        <w:spacing w:line="240" w:lineRule="auto"/>
        <w:jc w:val="center"/>
      </w:pPr>
    </w:p>
    <w:p w14:paraId="22FC1176" w14:textId="77777777" w:rsidR="00663784" w:rsidRPr="00A808AC" w:rsidRDefault="00663784" w:rsidP="00663784">
      <w:pPr>
        <w:suppressLineNumbers/>
        <w:spacing w:line="240" w:lineRule="auto"/>
        <w:jc w:val="center"/>
      </w:pPr>
    </w:p>
    <w:p w14:paraId="3B369171" w14:textId="77777777" w:rsidR="00663784" w:rsidRPr="00A808AC" w:rsidRDefault="00663784" w:rsidP="00663784">
      <w:pPr>
        <w:suppressLineNumbers/>
        <w:spacing w:line="240" w:lineRule="auto"/>
        <w:jc w:val="center"/>
      </w:pPr>
    </w:p>
    <w:p w14:paraId="37767105" w14:textId="77777777" w:rsidR="00663784" w:rsidRPr="00A808AC" w:rsidRDefault="00663784" w:rsidP="00663784">
      <w:pPr>
        <w:suppressLineNumbers/>
        <w:spacing w:line="240" w:lineRule="auto"/>
        <w:jc w:val="center"/>
      </w:pPr>
    </w:p>
    <w:p w14:paraId="55DAA5E8" w14:textId="77777777" w:rsidR="00663784" w:rsidRPr="00A808AC" w:rsidRDefault="00663784" w:rsidP="00663784">
      <w:pPr>
        <w:suppressLineNumbers/>
        <w:spacing w:line="240" w:lineRule="auto"/>
        <w:jc w:val="center"/>
      </w:pPr>
    </w:p>
    <w:p w14:paraId="401B8DFF" w14:textId="77777777" w:rsidR="00663784" w:rsidRPr="00B01606" w:rsidRDefault="00663784" w:rsidP="00663784">
      <w:pPr>
        <w:suppressLineNumbers/>
        <w:spacing w:line="240" w:lineRule="auto"/>
        <w:jc w:val="center"/>
        <w:outlineLvl w:val="0"/>
        <w:rPr>
          <w:b/>
        </w:rPr>
      </w:pPr>
    </w:p>
    <w:p w14:paraId="7C234BDF" w14:textId="77777777" w:rsidR="00663784" w:rsidRPr="00A808AC" w:rsidRDefault="00663784" w:rsidP="00663784">
      <w:pPr>
        <w:suppressLineNumbers/>
        <w:spacing w:line="240" w:lineRule="auto"/>
        <w:jc w:val="center"/>
        <w:outlineLvl w:val="0"/>
        <w:rPr>
          <w:b/>
          <w:bCs/>
        </w:rPr>
      </w:pPr>
    </w:p>
    <w:p w14:paraId="71229ADA" w14:textId="77777777" w:rsidR="00663784" w:rsidRPr="00A808AC" w:rsidRDefault="00663784" w:rsidP="00663784">
      <w:pPr>
        <w:suppressLineNumbers/>
        <w:spacing w:line="240" w:lineRule="auto"/>
        <w:jc w:val="center"/>
        <w:outlineLvl w:val="0"/>
        <w:rPr>
          <w:b/>
          <w:bCs/>
        </w:rPr>
      </w:pPr>
    </w:p>
    <w:p w14:paraId="579B8C50" w14:textId="77777777" w:rsidR="00663784" w:rsidRPr="00A808AC" w:rsidRDefault="00663784" w:rsidP="00663784">
      <w:pPr>
        <w:suppressLineNumbers/>
        <w:spacing w:line="240" w:lineRule="auto"/>
        <w:jc w:val="center"/>
        <w:outlineLvl w:val="0"/>
        <w:rPr>
          <w:b/>
          <w:bCs/>
        </w:rPr>
      </w:pPr>
    </w:p>
    <w:p w14:paraId="0562C14B" w14:textId="77777777" w:rsidR="00663784" w:rsidRPr="00A808AC" w:rsidRDefault="00663784" w:rsidP="00663784">
      <w:pPr>
        <w:suppressLineNumbers/>
        <w:spacing w:line="240" w:lineRule="auto"/>
        <w:jc w:val="center"/>
        <w:outlineLvl w:val="0"/>
        <w:rPr>
          <w:b/>
          <w:bCs/>
        </w:rPr>
      </w:pPr>
    </w:p>
    <w:p w14:paraId="389E00C3" w14:textId="77777777" w:rsidR="00663784" w:rsidRPr="00A808AC" w:rsidRDefault="00663784" w:rsidP="00663784">
      <w:pPr>
        <w:suppressLineNumbers/>
        <w:spacing w:line="240" w:lineRule="auto"/>
        <w:jc w:val="center"/>
        <w:outlineLvl w:val="0"/>
        <w:rPr>
          <w:b/>
          <w:bCs/>
        </w:rPr>
      </w:pPr>
    </w:p>
    <w:p w14:paraId="208FFA41" w14:textId="77777777" w:rsidR="00663784" w:rsidRPr="00ED1D45" w:rsidRDefault="00663784" w:rsidP="00663784">
      <w:pPr>
        <w:pStyle w:val="TitleA"/>
      </w:pPr>
    </w:p>
    <w:p w14:paraId="4E80590B" w14:textId="77777777" w:rsidR="00663784" w:rsidRDefault="00663784" w:rsidP="00663784">
      <w:pPr>
        <w:pStyle w:val="TitleA"/>
      </w:pPr>
    </w:p>
    <w:p w14:paraId="2CE4D523" w14:textId="77777777" w:rsidR="00663784" w:rsidRPr="00A808AC" w:rsidRDefault="00663784" w:rsidP="00663784">
      <w:pPr>
        <w:pStyle w:val="TitleA"/>
      </w:pPr>
    </w:p>
    <w:p w14:paraId="61D166E5" w14:textId="77777777" w:rsidR="00663784" w:rsidRPr="00A808AC" w:rsidRDefault="005A3D7D" w:rsidP="00663784">
      <w:pPr>
        <w:pStyle w:val="TitleA"/>
      </w:pPr>
      <w:r w:rsidRPr="00A808AC">
        <w:t>A. LABELLING</w:t>
      </w:r>
    </w:p>
    <w:p w14:paraId="39654E76" w14:textId="77777777" w:rsidR="00663784" w:rsidRPr="00A808AC" w:rsidRDefault="005A3D7D" w:rsidP="00663784">
      <w:pPr>
        <w:suppressLineNumbers/>
        <w:shd w:val="clear" w:color="auto" w:fill="FFFFFF"/>
        <w:spacing w:line="240" w:lineRule="auto"/>
        <w:rPr>
          <w:b/>
          <w:bCs/>
        </w:rPr>
      </w:pPr>
      <w:r w:rsidRPr="00A808AC">
        <w:br w:type="page"/>
      </w:r>
    </w:p>
    <w:p w14:paraId="7E7FD496"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r w:rsidRPr="00A808AC">
        <w:rPr>
          <w:b/>
        </w:rPr>
        <w:t>PARTICULARS TO APPEAR ON THE OUTER PACKAGING</w:t>
      </w:r>
    </w:p>
    <w:p w14:paraId="090B88E3" w14:textId="77777777" w:rsidR="00663784" w:rsidRPr="00A808AC"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14:paraId="1A8F32D3" w14:textId="77777777" w:rsidR="00663784" w:rsidRPr="00A808AC" w:rsidRDefault="005A3D7D" w:rsidP="00663784">
      <w:pPr>
        <w:pBdr>
          <w:top w:val="single" w:sz="4" w:space="1" w:color="auto"/>
          <w:left w:val="single" w:sz="4" w:space="4" w:color="auto"/>
          <w:bottom w:val="single" w:sz="4" w:space="1" w:color="auto"/>
          <w:right w:val="single" w:sz="4" w:space="4" w:color="auto"/>
        </w:pBdr>
        <w:spacing w:line="240" w:lineRule="auto"/>
      </w:pPr>
      <w:r w:rsidRPr="00A808AC">
        <w:rPr>
          <w:b/>
          <w:bCs/>
          <w:caps/>
        </w:rPr>
        <w:t>Outer carton</w:t>
      </w:r>
      <w:r w:rsidRPr="00A808AC">
        <w:rPr>
          <w:b/>
          <w:bCs/>
        </w:rPr>
        <w:t xml:space="preserve"> FOR BLISTER</w:t>
      </w:r>
      <w:r>
        <w:rPr>
          <w:b/>
          <w:bCs/>
        </w:rPr>
        <w:t xml:space="preserve"> – 56-TABLET PACK</w:t>
      </w:r>
    </w:p>
    <w:p w14:paraId="029D91A3" w14:textId="77777777" w:rsidR="00663784" w:rsidRPr="00A808AC" w:rsidRDefault="00663784" w:rsidP="00663784">
      <w:pPr>
        <w:suppressLineNumbers/>
        <w:spacing w:line="240" w:lineRule="auto"/>
      </w:pPr>
    </w:p>
    <w:p w14:paraId="71E8CA8A" w14:textId="77777777" w:rsidR="00663784" w:rsidRPr="00A808AC" w:rsidRDefault="00663784" w:rsidP="00663784">
      <w:pPr>
        <w:suppressLineNumbers/>
        <w:spacing w:line="240" w:lineRule="auto"/>
      </w:pPr>
    </w:p>
    <w:p w14:paraId="0AAF1669"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w:t>
      </w:r>
      <w:r w:rsidRPr="00A808AC">
        <w:rPr>
          <w:b/>
          <w:bCs/>
        </w:rPr>
        <w:tab/>
        <w:t>NAME OF THE MEDICINAL PRODUCT</w:t>
      </w:r>
    </w:p>
    <w:p w14:paraId="79FB7183" w14:textId="77777777" w:rsidR="00663784" w:rsidRPr="00A808AC" w:rsidRDefault="00663784" w:rsidP="00663784">
      <w:pPr>
        <w:suppressLineNumbers/>
        <w:tabs>
          <w:tab w:val="clear" w:pos="567"/>
        </w:tabs>
        <w:spacing w:line="240" w:lineRule="auto"/>
        <w:ind w:left="720" w:hanging="720"/>
      </w:pPr>
    </w:p>
    <w:p w14:paraId="3E3EB7B6" w14:textId="77777777" w:rsidR="00663784" w:rsidRPr="00A808AC" w:rsidRDefault="005A3D7D" w:rsidP="00663784">
      <w:pPr>
        <w:tabs>
          <w:tab w:val="clear" w:pos="567"/>
        </w:tabs>
        <w:spacing w:line="240" w:lineRule="auto"/>
        <w:ind w:left="720" w:hanging="720"/>
      </w:pPr>
      <w:r w:rsidRPr="00A808AC">
        <w:t>Kalydeco 150 mg film</w:t>
      </w:r>
      <w:r w:rsidRPr="00A808AC">
        <w:noBreakHyphen/>
      </w:r>
      <w:r w:rsidRPr="00A808AC">
        <w:t>coated tablets</w:t>
      </w:r>
    </w:p>
    <w:p w14:paraId="071A842F" w14:textId="77777777" w:rsidR="00663784" w:rsidRPr="00A808AC" w:rsidRDefault="005A3D7D" w:rsidP="00663784">
      <w:pPr>
        <w:tabs>
          <w:tab w:val="clear" w:pos="567"/>
        </w:tabs>
        <w:spacing w:line="240" w:lineRule="auto"/>
        <w:ind w:left="720" w:hanging="720"/>
        <w:rPr>
          <w:i/>
          <w:iCs/>
        </w:rPr>
      </w:pPr>
      <w:r>
        <w:t>i</w:t>
      </w:r>
      <w:r w:rsidRPr="00A808AC">
        <w:t>vacaftor</w:t>
      </w:r>
    </w:p>
    <w:p w14:paraId="1F4DA1FE" w14:textId="77777777" w:rsidR="00663784" w:rsidRPr="00A808AC" w:rsidRDefault="00663784" w:rsidP="00663784">
      <w:pPr>
        <w:suppressLineNumbers/>
        <w:tabs>
          <w:tab w:val="clear" w:pos="567"/>
        </w:tabs>
        <w:spacing w:line="240" w:lineRule="auto"/>
        <w:ind w:left="720" w:hanging="720"/>
      </w:pPr>
    </w:p>
    <w:p w14:paraId="004C597B" w14:textId="77777777" w:rsidR="00663784" w:rsidRPr="00A808AC" w:rsidRDefault="00663784" w:rsidP="00663784">
      <w:pPr>
        <w:suppressLineNumbers/>
        <w:tabs>
          <w:tab w:val="clear" w:pos="567"/>
        </w:tabs>
        <w:spacing w:line="240" w:lineRule="auto"/>
        <w:ind w:left="720" w:hanging="720"/>
      </w:pPr>
    </w:p>
    <w:p w14:paraId="0C116CBF"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STATEMENT OF ACTIVE SUBSTANCE(S)</w:t>
      </w:r>
    </w:p>
    <w:p w14:paraId="1385A38C" w14:textId="77777777" w:rsidR="00663784" w:rsidRPr="00A808AC" w:rsidRDefault="00663784" w:rsidP="00663784">
      <w:pPr>
        <w:suppressLineNumbers/>
        <w:tabs>
          <w:tab w:val="clear" w:pos="567"/>
        </w:tabs>
        <w:spacing w:line="240" w:lineRule="auto"/>
        <w:ind w:left="720" w:hanging="720"/>
        <w:rPr>
          <w:iCs/>
        </w:rPr>
      </w:pPr>
    </w:p>
    <w:p w14:paraId="08DFF0A5" w14:textId="77777777" w:rsidR="00663784" w:rsidRPr="00A808AC" w:rsidRDefault="005A3D7D" w:rsidP="00663784">
      <w:pPr>
        <w:tabs>
          <w:tab w:val="clear" w:pos="567"/>
        </w:tabs>
        <w:spacing w:line="240" w:lineRule="auto"/>
        <w:ind w:left="720" w:hanging="720"/>
      </w:pPr>
      <w:r w:rsidRPr="00A808AC">
        <w:t>Each tablet contains 150 mg of ivacaftor.</w:t>
      </w:r>
    </w:p>
    <w:p w14:paraId="121F966A" w14:textId="77777777" w:rsidR="00663784" w:rsidRPr="00A808AC" w:rsidRDefault="00663784" w:rsidP="00663784">
      <w:pPr>
        <w:suppressLineNumbers/>
        <w:tabs>
          <w:tab w:val="clear" w:pos="567"/>
        </w:tabs>
        <w:spacing w:line="240" w:lineRule="auto"/>
        <w:ind w:left="720" w:hanging="720"/>
      </w:pPr>
    </w:p>
    <w:p w14:paraId="60DA1FA2" w14:textId="77777777" w:rsidR="00663784" w:rsidRPr="00A808AC" w:rsidRDefault="00663784" w:rsidP="00663784">
      <w:pPr>
        <w:pStyle w:val="TitleA"/>
        <w:tabs>
          <w:tab w:val="clear" w:pos="567"/>
        </w:tabs>
        <w:ind w:left="720" w:hanging="720"/>
        <w:jc w:val="left"/>
        <w:outlineLvl w:val="9"/>
      </w:pPr>
    </w:p>
    <w:p w14:paraId="2AFC781C"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3.</w:t>
      </w:r>
      <w:r w:rsidRPr="00A808AC">
        <w:rPr>
          <w:b/>
          <w:bCs/>
        </w:rPr>
        <w:tab/>
        <w:t>LIST OF EXCIPIENTS</w:t>
      </w:r>
    </w:p>
    <w:p w14:paraId="32989BB2" w14:textId="77777777" w:rsidR="00663784" w:rsidRPr="00A808AC" w:rsidRDefault="00663784" w:rsidP="00663784">
      <w:pPr>
        <w:suppressLineNumbers/>
        <w:tabs>
          <w:tab w:val="clear" w:pos="567"/>
        </w:tabs>
        <w:spacing w:line="240" w:lineRule="auto"/>
        <w:ind w:left="720" w:hanging="720"/>
      </w:pPr>
    </w:p>
    <w:p w14:paraId="2399C71E" w14:textId="77777777" w:rsidR="00663784" w:rsidRPr="00A808AC" w:rsidRDefault="005A3D7D" w:rsidP="00663784">
      <w:pPr>
        <w:tabs>
          <w:tab w:val="clear" w:pos="567"/>
        </w:tabs>
        <w:spacing w:line="240" w:lineRule="auto"/>
        <w:ind w:left="720" w:hanging="720"/>
      </w:pPr>
      <w:r w:rsidRPr="00A808AC">
        <w:t>Contains lactose.</w:t>
      </w:r>
    </w:p>
    <w:p w14:paraId="5D78A05D" w14:textId="77777777" w:rsidR="00663784" w:rsidRPr="00A808AC" w:rsidRDefault="00663784" w:rsidP="00663784">
      <w:pPr>
        <w:tabs>
          <w:tab w:val="clear" w:pos="567"/>
        </w:tabs>
        <w:spacing w:line="240" w:lineRule="auto"/>
        <w:ind w:left="720" w:hanging="720"/>
      </w:pPr>
    </w:p>
    <w:p w14:paraId="77AD0126" w14:textId="77777777" w:rsidR="00663784" w:rsidRPr="00A808AC" w:rsidRDefault="005A3D7D" w:rsidP="00663784">
      <w:pPr>
        <w:tabs>
          <w:tab w:val="clear" w:pos="567"/>
        </w:tabs>
        <w:spacing w:line="240" w:lineRule="auto"/>
        <w:ind w:left="720" w:hanging="720"/>
      </w:pPr>
      <w:r w:rsidRPr="00695508">
        <w:rPr>
          <w:highlight w:val="lightGray"/>
        </w:rPr>
        <w:t>See leaflet for further information.</w:t>
      </w:r>
    </w:p>
    <w:p w14:paraId="43120830" w14:textId="77777777" w:rsidR="00663784" w:rsidRPr="00A808AC" w:rsidRDefault="00663784" w:rsidP="00663784">
      <w:pPr>
        <w:suppressLineNumbers/>
        <w:tabs>
          <w:tab w:val="clear" w:pos="567"/>
        </w:tabs>
        <w:spacing w:line="240" w:lineRule="auto"/>
        <w:ind w:left="720" w:hanging="720"/>
      </w:pPr>
    </w:p>
    <w:p w14:paraId="25D0FD2B" w14:textId="77777777" w:rsidR="00663784" w:rsidRPr="00A808AC" w:rsidRDefault="00663784" w:rsidP="00663784">
      <w:pPr>
        <w:suppressLineNumbers/>
        <w:tabs>
          <w:tab w:val="clear" w:pos="567"/>
        </w:tabs>
        <w:spacing w:line="240" w:lineRule="auto"/>
        <w:ind w:left="720" w:hanging="720"/>
      </w:pPr>
    </w:p>
    <w:p w14:paraId="5D8D2B64"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4.</w:t>
      </w:r>
      <w:r w:rsidRPr="00A808AC">
        <w:rPr>
          <w:b/>
          <w:bCs/>
        </w:rPr>
        <w:tab/>
        <w:t>PHARMACEUTICAL FORM AND CONTENTS</w:t>
      </w:r>
    </w:p>
    <w:p w14:paraId="0BC69431" w14:textId="77777777" w:rsidR="00663784" w:rsidRPr="00A808AC" w:rsidRDefault="00663784" w:rsidP="00663784">
      <w:pPr>
        <w:suppressLineNumbers/>
        <w:tabs>
          <w:tab w:val="clear" w:pos="567"/>
        </w:tabs>
        <w:spacing w:line="240" w:lineRule="auto"/>
        <w:ind w:left="720" w:hanging="720"/>
      </w:pPr>
    </w:p>
    <w:p w14:paraId="5C2FCEC0" w14:textId="77777777" w:rsidR="00663784" w:rsidRPr="00A808AC" w:rsidRDefault="005A3D7D" w:rsidP="00663784">
      <w:pPr>
        <w:tabs>
          <w:tab w:val="clear" w:pos="567"/>
        </w:tabs>
        <w:spacing w:line="240" w:lineRule="auto"/>
        <w:ind w:left="720" w:hanging="720"/>
      </w:pPr>
      <w:r w:rsidRPr="00A808AC">
        <w:t>56</w:t>
      </w:r>
      <w:r>
        <w:t xml:space="preserve"> </w:t>
      </w:r>
      <w:r w:rsidRPr="003F1CB4">
        <w:t>tablets</w:t>
      </w:r>
    </w:p>
    <w:p w14:paraId="311B895F" w14:textId="77777777" w:rsidR="00663784" w:rsidRPr="00A808AC" w:rsidRDefault="00663784" w:rsidP="00663784">
      <w:pPr>
        <w:suppressLineNumbers/>
        <w:tabs>
          <w:tab w:val="clear" w:pos="567"/>
        </w:tabs>
        <w:spacing w:line="240" w:lineRule="auto"/>
        <w:ind w:left="720" w:hanging="720"/>
      </w:pPr>
    </w:p>
    <w:p w14:paraId="0871D164" w14:textId="77777777" w:rsidR="00663784" w:rsidRPr="00A808AC" w:rsidRDefault="00663784" w:rsidP="00663784">
      <w:pPr>
        <w:suppressLineNumbers/>
        <w:tabs>
          <w:tab w:val="clear" w:pos="567"/>
        </w:tabs>
        <w:spacing w:line="240" w:lineRule="auto"/>
        <w:ind w:left="720" w:hanging="720"/>
      </w:pPr>
    </w:p>
    <w:p w14:paraId="117A8E92"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5.</w:t>
      </w:r>
      <w:r w:rsidRPr="00A808AC">
        <w:rPr>
          <w:b/>
          <w:bCs/>
        </w:rPr>
        <w:tab/>
        <w:t xml:space="preserve">METHOD AND </w:t>
      </w:r>
      <w:r w:rsidRPr="00A808AC">
        <w:rPr>
          <w:b/>
          <w:bCs/>
        </w:rPr>
        <w:t>ROUTE(S) OF ADMINISTRATION</w:t>
      </w:r>
    </w:p>
    <w:p w14:paraId="25BC3515" w14:textId="77777777" w:rsidR="00663784" w:rsidRPr="00A808AC" w:rsidRDefault="00663784" w:rsidP="00663784">
      <w:pPr>
        <w:suppressLineNumbers/>
        <w:tabs>
          <w:tab w:val="clear" w:pos="567"/>
        </w:tabs>
        <w:spacing w:line="240" w:lineRule="auto"/>
        <w:ind w:left="720" w:hanging="720"/>
      </w:pPr>
    </w:p>
    <w:p w14:paraId="404D2964" w14:textId="77777777" w:rsidR="00663784" w:rsidRDefault="005A3D7D" w:rsidP="00663784">
      <w:pPr>
        <w:suppressLineNumbers/>
        <w:tabs>
          <w:tab w:val="clear" w:pos="567"/>
        </w:tabs>
        <w:spacing w:line="240" w:lineRule="auto"/>
        <w:ind w:left="720" w:hanging="720"/>
      </w:pPr>
      <w:r w:rsidRPr="00A808AC">
        <w:t>Read the package leaflet before use.</w:t>
      </w:r>
    </w:p>
    <w:p w14:paraId="6B39B518" w14:textId="77777777" w:rsidR="00663784" w:rsidRPr="00A808AC" w:rsidRDefault="00663784" w:rsidP="00663784">
      <w:pPr>
        <w:suppressLineNumbers/>
        <w:tabs>
          <w:tab w:val="clear" w:pos="567"/>
        </w:tabs>
        <w:spacing w:line="240" w:lineRule="auto"/>
        <w:ind w:left="720" w:hanging="720"/>
      </w:pPr>
    </w:p>
    <w:p w14:paraId="1FE55CC5" w14:textId="77777777" w:rsidR="00663784" w:rsidRPr="00A808AC" w:rsidRDefault="005A3D7D" w:rsidP="00663784">
      <w:pPr>
        <w:tabs>
          <w:tab w:val="clear" w:pos="567"/>
        </w:tabs>
        <w:spacing w:line="240" w:lineRule="auto"/>
        <w:ind w:left="720" w:hanging="720"/>
      </w:pPr>
      <w:r w:rsidRPr="00A808AC">
        <w:t xml:space="preserve">Oral use </w:t>
      </w:r>
    </w:p>
    <w:p w14:paraId="3D24BF91" w14:textId="77777777" w:rsidR="00663784" w:rsidRPr="00E53B67" w:rsidRDefault="00663784" w:rsidP="00663784">
      <w:pPr>
        <w:suppressLineNumbers/>
        <w:tabs>
          <w:tab w:val="clear" w:pos="567"/>
        </w:tabs>
        <w:autoSpaceDE w:val="0"/>
        <w:autoSpaceDN w:val="0"/>
        <w:adjustRightInd w:val="0"/>
        <w:spacing w:line="240" w:lineRule="auto"/>
        <w:ind w:left="720" w:hanging="720"/>
      </w:pPr>
    </w:p>
    <w:p w14:paraId="45D5FAE3" w14:textId="77777777" w:rsidR="00663784" w:rsidRDefault="005A3D7D" w:rsidP="00663784">
      <w:pPr>
        <w:suppressLineNumbers/>
        <w:tabs>
          <w:tab w:val="clear" w:pos="567"/>
        </w:tabs>
        <w:autoSpaceDE w:val="0"/>
        <w:autoSpaceDN w:val="0"/>
        <w:adjustRightInd w:val="0"/>
        <w:spacing w:line="240" w:lineRule="auto"/>
        <w:ind w:left="720" w:hanging="720"/>
        <w:rPr>
          <w:b/>
          <w:bCs/>
          <w:lang w:val="en-US"/>
        </w:rPr>
      </w:pPr>
      <w:r>
        <w:rPr>
          <w:b/>
          <w:bCs/>
          <w:lang w:val="en-US"/>
        </w:rPr>
        <w:t>Instructions for use</w:t>
      </w:r>
    </w:p>
    <w:p w14:paraId="3D06AECE" w14:textId="77777777" w:rsidR="00663784" w:rsidRPr="00A808AC" w:rsidRDefault="00663784" w:rsidP="00663784">
      <w:pPr>
        <w:suppressLineNumbers/>
        <w:tabs>
          <w:tab w:val="clear" w:pos="567"/>
        </w:tabs>
        <w:autoSpaceDE w:val="0"/>
        <w:autoSpaceDN w:val="0"/>
        <w:adjustRightInd w:val="0"/>
        <w:spacing w:line="240" w:lineRule="auto"/>
        <w:ind w:left="720" w:hanging="720"/>
      </w:pPr>
    </w:p>
    <w:p w14:paraId="446CF498" w14:textId="77777777" w:rsidR="00663784" w:rsidRDefault="005A3D7D" w:rsidP="00663784">
      <w:pPr>
        <w:suppressLineNumbers/>
        <w:tabs>
          <w:tab w:val="clear" w:pos="567"/>
        </w:tabs>
        <w:autoSpaceDE w:val="0"/>
        <w:autoSpaceDN w:val="0"/>
        <w:adjustRightInd w:val="0"/>
        <w:spacing w:line="240" w:lineRule="auto"/>
        <w:ind w:left="720" w:hanging="720"/>
      </w:pPr>
      <w:r>
        <w:rPr>
          <w:lang w:val="en-US"/>
        </w:rPr>
        <w:t>T</w:t>
      </w:r>
      <w:r w:rsidRPr="00A808AC">
        <w:rPr>
          <w:lang w:val="en-US"/>
        </w:rPr>
        <w:t>ake with fat-containing food.</w:t>
      </w:r>
      <w:r w:rsidRPr="00A808AC">
        <w:t xml:space="preserve"> </w:t>
      </w:r>
    </w:p>
    <w:p w14:paraId="22F04A4E" w14:textId="77777777" w:rsidR="00663784" w:rsidRDefault="00663784" w:rsidP="00663784">
      <w:pPr>
        <w:suppressLineNumbers/>
        <w:tabs>
          <w:tab w:val="clear" w:pos="567"/>
        </w:tabs>
        <w:autoSpaceDE w:val="0"/>
        <w:autoSpaceDN w:val="0"/>
        <w:adjustRightInd w:val="0"/>
        <w:spacing w:line="240" w:lineRule="auto"/>
        <w:ind w:left="720" w:hanging="720"/>
      </w:pPr>
    </w:p>
    <w:p w14:paraId="775F5911" w14:textId="77777777" w:rsidR="00663784" w:rsidRPr="00A808AC" w:rsidRDefault="005A3D7D" w:rsidP="00663784">
      <w:pPr>
        <w:suppressLineNumbers/>
        <w:tabs>
          <w:tab w:val="clear" w:pos="567"/>
        </w:tabs>
        <w:autoSpaceDE w:val="0"/>
        <w:autoSpaceDN w:val="0"/>
        <w:adjustRightInd w:val="0"/>
        <w:spacing w:line="240" w:lineRule="auto"/>
        <w:ind w:left="720" w:hanging="720"/>
        <w:rPr>
          <w:lang w:val="en-US"/>
        </w:rPr>
      </w:pPr>
      <w:r w:rsidRPr="00A808AC">
        <w:t>Do not break, chew or dissolve the tablets.</w:t>
      </w:r>
    </w:p>
    <w:p w14:paraId="1FE8CD00" w14:textId="77777777" w:rsidR="00663784" w:rsidRPr="00A808AC" w:rsidRDefault="00663784" w:rsidP="00663784">
      <w:pPr>
        <w:suppressLineNumbers/>
        <w:tabs>
          <w:tab w:val="clear" w:pos="567"/>
        </w:tabs>
        <w:autoSpaceDE w:val="0"/>
        <w:autoSpaceDN w:val="0"/>
        <w:adjustRightInd w:val="0"/>
        <w:spacing w:line="240" w:lineRule="auto"/>
        <w:ind w:left="720" w:hanging="720"/>
        <w:rPr>
          <w:noProof/>
          <w:lang w:val="en-US"/>
        </w:rPr>
      </w:pPr>
    </w:p>
    <w:p w14:paraId="410D3B29" w14:textId="77777777" w:rsidR="00663784" w:rsidRPr="00A808AC" w:rsidRDefault="00663784" w:rsidP="00663784">
      <w:pPr>
        <w:suppressLineNumbers/>
        <w:tabs>
          <w:tab w:val="clear" w:pos="567"/>
        </w:tabs>
        <w:autoSpaceDE w:val="0"/>
        <w:autoSpaceDN w:val="0"/>
        <w:adjustRightInd w:val="0"/>
        <w:spacing w:line="240" w:lineRule="auto"/>
        <w:ind w:left="720" w:hanging="720"/>
      </w:pPr>
    </w:p>
    <w:p w14:paraId="33A37CA5"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6.</w:t>
      </w:r>
      <w:r w:rsidRPr="00A808AC">
        <w:rPr>
          <w:b/>
          <w:bCs/>
        </w:rPr>
        <w:tab/>
        <w:t xml:space="preserve">SPECIAL WARNING THAT THE MEDICINAL PRODUCT MUST BE STORED OUT OF THE </w:t>
      </w:r>
      <w:r w:rsidRPr="00A808AC">
        <w:rPr>
          <w:b/>
          <w:bCs/>
        </w:rPr>
        <w:t>SIGHT AND REACH OF CHILDREN</w:t>
      </w:r>
    </w:p>
    <w:p w14:paraId="21F19D3C" w14:textId="77777777" w:rsidR="00663784" w:rsidRPr="00A808AC" w:rsidRDefault="00663784" w:rsidP="00663784">
      <w:pPr>
        <w:suppressLineNumbers/>
        <w:tabs>
          <w:tab w:val="clear" w:pos="567"/>
        </w:tabs>
        <w:spacing w:line="240" w:lineRule="auto"/>
        <w:ind w:left="720" w:hanging="720"/>
      </w:pPr>
    </w:p>
    <w:p w14:paraId="4D29D1BA" w14:textId="77777777" w:rsidR="00663784" w:rsidRPr="00A808AC" w:rsidRDefault="005A3D7D" w:rsidP="00663784">
      <w:pPr>
        <w:suppressLineNumbers/>
        <w:tabs>
          <w:tab w:val="clear" w:pos="567"/>
        </w:tabs>
        <w:spacing w:line="240" w:lineRule="auto"/>
        <w:ind w:left="720" w:hanging="720"/>
        <w:outlineLvl w:val="0"/>
      </w:pPr>
      <w:r w:rsidRPr="00A808AC">
        <w:t>Keep out of the sight and reach of children.</w:t>
      </w:r>
    </w:p>
    <w:p w14:paraId="585F989F" w14:textId="77777777" w:rsidR="00663784" w:rsidRPr="00A808AC" w:rsidRDefault="00663784" w:rsidP="00663784">
      <w:pPr>
        <w:suppressLineNumbers/>
        <w:tabs>
          <w:tab w:val="clear" w:pos="567"/>
        </w:tabs>
        <w:spacing w:line="240" w:lineRule="auto"/>
        <w:ind w:left="720" w:hanging="720"/>
      </w:pPr>
    </w:p>
    <w:p w14:paraId="666EF39C" w14:textId="77777777" w:rsidR="00663784" w:rsidRPr="00A808AC" w:rsidRDefault="00663784" w:rsidP="00663784">
      <w:pPr>
        <w:suppressLineNumbers/>
        <w:tabs>
          <w:tab w:val="clear" w:pos="567"/>
        </w:tabs>
        <w:spacing w:line="240" w:lineRule="auto"/>
        <w:ind w:left="720" w:hanging="720"/>
      </w:pPr>
    </w:p>
    <w:p w14:paraId="49849E6F"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7.</w:t>
      </w:r>
      <w:r w:rsidRPr="00A808AC">
        <w:rPr>
          <w:b/>
          <w:bCs/>
        </w:rPr>
        <w:tab/>
        <w:t>OTHER SPECIAL WARNING(S), IF NECESSARY</w:t>
      </w:r>
    </w:p>
    <w:p w14:paraId="7FBEDE57" w14:textId="77777777" w:rsidR="00663784" w:rsidRPr="00A808AC" w:rsidRDefault="00663784" w:rsidP="00663784">
      <w:pPr>
        <w:suppressLineNumbers/>
        <w:tabs>
          <w:tab w:val="clear" w:pos="567"/>
        </w:tabs>
        <w:spacing w:line="240" w:lineRule="auto"/>
        <w:ind w:left="720" w:hanging="720"/>
      </w:pPr>
    </w:p>
    <w:p w14:paraId="58649D86" w14:textId="77777777" w:rsidR="00663784" w:rsidRPr="00A808AC" w:rsidRDefault="00663784" w:rsidP="00663784">
      <w:pPr>
        <w:suppressLineNumbers/>
        <w:tabs>
          <w:tab w:val="clear" w:pos="567"/>
          <w:tab w:val="left" w:pos="749"/>
        </w:tabs>
        <w:spacing w:line="240" w:lineRule="auto"/>
        <w:ind w:left="720" w:hanging="720"/>
      </w:pPr>
    </w:p>
    <w:p w14:paraId="26FC0981" w14:textId="77777777" w:rsidR="00663784" w:rsidRPr="00A808AC" w:rsidRDefault="005A3D7D"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8.</w:t>
      </w:r>
      <w:r w:rsidRPr="00A808AC">
        <w:rPr>
          <w:b/>
          <w:bCs/>
        </w:rPr>
        <w:tab/>
        <w:t>EXPIRY DATE</w:t>
      </w:r>
    </w:p>
    <w:p w14:paraId="2E055BF4" w14:textId="77777777" w:rsidR="00663784" w:rsidRPr="00A808AC" w:rsidRDefault="00663784" w:rsidP="00663784">
      <w:pPr>
        <w:keepNext/>
        <w:suppressLineNumbers/>
        <w:tabs>
          <w:tab w:val="clear" w:pos="567"/>
        </w:tabs>
        <w:spacing w:line="240" w:lineRule="auto"/>
        <w:ind w:left="720" w:hanging="720"/>
      </w:pPr>
    </w:p>
    <w:p w14:paraId="1EA55B10" w14:textId="77777777" w:rsidR="00663784" w:rsidRPr="00A808AC" w:rsidRDefault="005A3D7D" w:rsidP="00663784">
      <w:pPr>
        <w:suppressLineNumbers/>
        <w:tabs>
          <w:tab w:val="clear" w:pos="567"/>
        </w:tabs>
        <w:spacing w:line="240" w:lineRule="auto"/>
        <w:ind w:left="720" w:hanging="720"/>
      </w:pPr>
      <w:r w:rsidRPr="00A808AC">
        <w:t>EXP</w:t>
      </w:r>
    </w:p>
    <w:p w14:paraId="48A329DD" w14:textId="77777777" w:rsidR="00663784" w:rsidRPr="00A808AC" w:rsidRDefault="00663784" w:rsidP="00663784">
      <w:pPr>
        <w:suppressLineNumbers/>
        <w:tabs>
          <w:tab w:val="clear" w:pos="567"/>
        </w:tabs>
        <w:spacing w:line="240" w:lineRule="auto"/>
        <w:ind w:left="720" w:hanging="720"/>
      </w:pPr>
    </w:p>
    <w:p w14:paraId="3689CDD7" w14:textId="77777777" w:rsidR="00663784" w:rsidRPr="00A808AC" w:rsidRDefault="00663784" w:rsidP="00663784">
      <w:pPr>
        <w:suppressLineNumbers/>
        <w:tabs>
          <w:tab w:val="clear" w:pos="567"/>
        </w:tabs>
        <w:spacing w:line="240" w:lineRule="auto"/>
        <w:ind w:left="720" w:hanging="720"/>
      </w:pPr>
    </w:p>
    <w:p w14:paraId="5FAA80AD" w14:textId="77777777" w:rsidR="00663784" w:rsidRPr="00A808AC" w:rsidRDefault="005A3D7D"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9.</w:t>
      </w:r>
      <w:r w:rsidRPr="00A808AC">
        <w:rPr>
          <w:b/>
          <w:bCs/>
        </w:rPr>
        <w:tab/>
        <w:t>SPECIAL STORAGE CONDITIONS</w:t>
      </w:r>
    </w:p>
    <w:p w14:paraId="2B17694E" w14:textId="77777777" w:rsidR="00663784" w:rsidRPr="00A808AC" w:rsidRDefault="00663784" w:rsidP="00663784">
      <w:pPr>
        <w:suppressLineNumbers/>
        <w:tabs>
          <w:tab w:val="clear" w:pos="567"/>
        </w:tabs>
        <w:spacing w:line="240" w:lineRule="auto"/>
        <w:ind w:left="720" w:hanging="720"/>
      </w:pPr>
    </w:p>
    <w:p w14:paraId="3C2FA3DD" w14:textId="77777777" w:rsidR="00663784" w:rsidRPr="00A808AC" w:rsidRDefault="00663784" w:rsidP="00663784">
      <w:pPr>
        <w:suppressLineNumbers/>
        <w:tabs>
          <w:tab w:val="clear" w:pos="567"/>
        </w:tabs>
        <w:spacing w:line="240" w:lineRule="auto"/>
        <w:ind w:left="720" w:hanging="720"/>
      </w:pPr>
    </w:p>
    <w:p w14:paraId="0AAE168D" w14:textId="77777777" w:rsidR="00663784" w:rsidRPr="004F407E"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0"/>
        <w:rPr>
          <w:b/>
          <w:bCs/>
        </w:rPr>
      </w:pPr>
      <w:r w:rsidRPr="004F407E">
        <w:rPr>
          <w:b/>
        </w:rPr>
        <w:t>10.</w:t>
      </w:r>
      <w:r w:rsidRPr="004F407E">
        <w:rPr>
          <w:b/>
        </w:rPr>
        <w:tab/>
        <w:t xml:space="preserve">SPECIAL PRECAUTIONS FOR DISPOSAL OF UNUSED MEDICINAL PRODUCTS OR WASTE </w:t>
      </w:r>
      <w:r w:rsidRPr="004F407E">
        <w:rPr>
          <w:b/>
        </w:rPr>
        <w:t>MATERIALS DERIVED FROM SUCH MEDICINAL PRODUCTS, IF APPROPRIATE</w:t>
      </w:r>
    </w:p>
    <w:p w14:paraId="53A3DAB7" w14:textId="77777777" w:rsidR="00663784" w:rsidRPr="004F407E" w:rsidRDefault="00663784" w:rsidP="00663784">
      <w:pPr>
        <w:suppressLineNumbers/>
        <w:tabs>
          <w:tab w:val="clear" w:pos="567"/>
        </w:tabs>
        <w:spacing w:line="240" w:lineRule="auto"/>
        <w:ind w:left="720" w:hanging="720"/>
      </w:pPr>
    </w:p>
    <w:p w14:paraId="500A80DC" w14:textId="77777777" w:rsidR="00663784" w:rsidRPr="00A808AC" w:rsidRDefault="00663784" w:rsidP="00663784">
      <w:pPr>
        <w:suppressLineNumbers/>
        <w:tabs>
          <w:tab w:val="clear" w:pos="567"/>
        </w:tabs>
        <w:spacing w:line="240" w:lineRule="auto"/>
        <w:ind w:left="720" w:hanging="720"/>
      </w:pPr>
    </w:p>
    <w:p w14:paraId="3DFE64B8"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11.</w:t>
      </w:r>
      <w:r w:rsidRPr="00A808AC">
        <w:rPr>
          <w:b/>
          <w:bCs/>
        </w:rPr>
        <w:tab/>
        <w:t>NAME AND ADDRESS OF THE MARKETING AUTHORISATION HOLDER</w:t>
      </w:r>
    </w:p>
    <w:p w14:paraId="636AB6CA" w14:textId="77777777" w:rsidR="00663784" w:rsidRPr="00A808AC" w:rsidRDefault="00663784" w:rsidP="00663784">
      <w:pPr>
        <w:suppressLineNumbers/>
        <w:tabs>
          <w:tab w:val="clear" w:pos="567"/>
        </w:tabs>
        <w:spacing w:line="240" w:lineRule="auto"/>
        <w:ind w:left="720" w:hanging="720"/>
      </w:pPr>
    </w:p>
    <w:p w14:paraId="0FF35C52" w14:textId="77777777" w:rsidR="00663784" w:rsidRPr="00420287" w:rsidRDefault="005A3D7D" w:rsidP="00663784">
      <w:pPr>
        <w:rPr>
          <w:iCs/>
        </w:rPr>
      </w:pPr>
      <w:r w:rsidRPr="00420287">
        <w:rPr>
          <w:iCs/>
        </w:rPr>
        <w:t>Vertex Pharmaceuticals (Ireland) Limited</w:t>
      </w:r>
    </w:p>
    <w:p w14:paraId="06296FB6" w14:textId="77777777" w:rsidR="00663784" w:rsidRPr="00420287" w:rsidRDefault="005A3D7D" w:rsidP="00663784">
      <w:pPr>
        <w:rPr>
          <w:iCs/>
        </w:rPr>
      </w:pPr>
      <w:r w:rsidRPr="00420287">
        <w:rPr>
          <w:iCs/>
        </w:rPr>
        <w:t>28-32 Pembroke Street Upper</w:t>
      </w:r>
    </w:p>
    <w:p w14:paraId="7EAF5C40" w14:textId="77777777" w:rsidR="00663784" w:rsidRPr="00420287" w:rsidRDefault="005A3D7D" w:rsidP="00663784">
      <w:pPr>
        <w:rPr>
          <w:iCs/>
        </w:rPr>
      </w:pPr>
      <w:r w:rsidRPr="00420287">
        <w:rPr>
          <w:iCs/>
        </w:rPr>
        <w:t>Dublin 2</w:t>
      </w:r>
      <w:r>
        <w:rPr>
          <w:iCs/>
        </w:rPr>
        <w:t xml:space="preserve">, </w:t>
      </w:r>
      <w:r w:rsidRPr="00420287">
        <w:rPr>
          <w:iCs/>
        </w:rPr>
        <w:t>D02 EK84</w:t>
      </w:r>
    </w:p>
    <w:p w14:paraId="2872F9DD" w14:textId="77777777" w:rsidR="00663784" w:rsidRDefault="005A3D7D" w:rsidP="00663784">
      <w:pPr>
        <w:pStyle w:val="NormalIndent"/>
        <w:spacing w:after="0"/>
        <w:ind w:hanging="720"/>
        <w:rPr>
          <w:iCs/>
        </w:rPr>
      </w:pPr>
      <w:r w:rsidRPr="00420287">
        <w:rPr>
          <w:iCs/>
        </w:rPr>
        <w:t>Ireland</w:t>
      </w:r>
    </w:p>
    <w:p w14:paraId="5DE85B71" w14:textId="77777777" w:rsidR="00663784" w:rsidRPr="00A808AC" w:rsidRDefault="00663784" w:rsidP="00663784">
      <w:pPr>
        <w:pStyle w:val="NormalIndent"/>
        <w:spacing w:after="0"/>
        <w:ind w:hanging="720"/>
      </w:pPr>
    </w:p>
    <w:p w14:paraId="3608D4D2" w14:textId="77777777" w:rsidR="00663784" w:rsidRPr="00A808AC" w:rsidRDefault="00663784" w:rsidP="00663784">
      <w:pPr>
        <w:pStyle w:val="NormalIndent"/>
        <w:spacing w:after="0"/>
        <w:ind w:hanging="720"/>
      </w:pPr>
    </w:p>
    <w:p w14:paraId="0BD93CCE"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12.</w:t>
      </w:r>
      <w:r w:rsidRPr="00A808AC">
        <w:rPr>
          <w:b/>
          <w:bCs/>
        </w:rPr>
        <w:tab/>
        <w:t>MARKETING AUTHORISATION NUMBE</w:t>
      </w:r>
      <w:r w:rsidRPr="00A808AC">
        <w:rPr>
          <w:b/>
          <w:bCs/>
        </w:rPr>
        <w:t>R(S)</w:t>
      </w:r>
    </w:p>
    <w:p w14:paraId="27FE6D60" w14:textId="77777777" w:rsidR="00663784" w:rsidRPr="00A808AC" w:rsidRDefault="00663784" w:rsidP="00663784">
      <w:pPr>
        <w:suppressLineNumbers/>
        <w:tabs>
          <w:tab w:val="clear" w:pos="567"/>
        </w:tabs>
        <w:spacing w:line="240" w:lineRule="auto"/>
        <w:ind w:left="720" w:hanging="720"/>
      </w:pPr>
    </w:p>
    <w:p w14:paraId="66B6BABD" w14:textId="77777777" w:rsidR="00663784" w:rsidRPr="00A808AC" w:rsidRDefault="005A3D7D" w:rsidP="00663784">
      <w:pPr>
        <w:suppressLineNumbers/>
        <w:tabs>
          <w:tab w:val="clear" w:pos="567"/>
        </w:tabs>
        <w:spacing w:line="240" w:lineRule="auto"/>
        <w:ind w:left="720" w:hanging="720"/>
        <w:outlineLvl w:val="0"/>
      </w:pPr>
      <w:r w:rsidRPr="00A808AC">
        <w:t>EU/1/12/782/002</w:t>
      </w:r>
    </w:p>
    <w:p w14:paraId="0B26CDB7" w14:textId="77777777" w:rsidR="00663784" w:rsidRPr="00A808AC" w:rsidRDefault="00663784" w:rsidP="00663784">
      <w:pPr>
        <w:suppressLineNumbers/>
        <w:tabs>
          <w:tab w:val="clear" w:pos="567"/>
        </w:tabs>
        <w:spacing w:line="240" w:lineRule="auto"/>
        <w:ind w:left="720" w:hanging="720"/>
      </w:pPr>
    </w:p>
    <w:p w14:paraId="6AAE8BEB" w14:textId="77777777" w:rsidR="00663784" w:rsidRPr="00A808AC" w:rsidRDefault="00663784" w:rsidP="00663784">
      <w:pPr>
        <w:suppressLineNumbers/>
        <w:tabs>
          <w:tab w:val="clear" w:pos="567"/>
        </w:tabs>
        <w:spacing w:line="240" w:lineRule="auto"/>
        <w:ind w:left="720" w:hanging="720"/>
      </w:pPr>
    </w:p>
    <w:p w14:paraId="453A972E"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13.</w:t>
      </w:r>
      <w:r w:rsidRPr="00A808AC">
        <w:rPr>
          <w:b/>
          <w:bCs/>
        </w:rPr>
        <w:tab/>
        <w:t>BATCH NUMBER</w:t>
      </w:r>
    </w:p>
    <w:p w14:paraId="73C68D42" w14:textId="77777777" w:rsidR="00663784" w:rsidRPr="00A808AC" w:rsidRDefault="00663784" w:rsidP="00663784">
      <w:pPr>
        <w:suppressLineNumbers/>
        <w:tabs>
          <w:tab w:val="clear" w:pos="567"/>
        </w:tabs>
        <w:spacing w:line="240" w:lineRule="auto"/>
        <w:ind w:left="720" w:hanging="720"/>
        <w:rPr>
          <w:i/>
          <w:iCs/>
        </w:rPr>
      </w:pPr>
    </w:p>
    <w:p w14:paraId="23261D1B" w14:textId="77777777" w:rsidR="00663784" w:rsidRPr="00A808AC" w:rsidRDefault="005A3D7D" w:rsidP="00663784">
      <w:pPr>
        <w:suppressLineNumbers/>
        <w:tabs>
          <w:tab w:val="clear" w:pos="567"/>
        </w:tabs>
        <w:spacing w:line="240" w:lineRule="auto"/>
        <w:ind w:left="720" w:hanging="720"/>
      </w:pPr>
      <w:r w:rsidRPr="00A808AC">
        <w:t>Lot</w:t>
      </w:r>
    </w:p>
    <w:p w14:paraId="08375FAA" w14:textId="77777777" w:rsidR="00663784" w:rsidRPr="00A808AC" w:rsidRDefault="00663784" w:rsidP="00663784">
      <w:pPr>
        <w:suppressLineNumbers/>
        <w:tabs>
          <w:tab w:val="clear" w:pos="567"/>
        </w:tabs>
        <w:spacing w:line="240" w:lineRule="auto"/>
        <w:ind w:left="720" w:hanging="720"/>
      </w:pPr>
    </w:p>
    <w:p w14:paraId="4F5DC1D7" w14:textId="77777777" w:rsidR="00663784" w:rsidRPr="00A808AC" w:rsidRDefault="00663784" w:rsidP="00663784">
      <w:pPr>
        <w:suppressLineNumbers/>
        <w:tabs>
          <w:tab w:val="clear" w:pos="567"/>
        </w:tabs>
        <w:spacing w:line="240" w:lineRule="auto"/>
        <w:ind w:left="720" w:hanging="720"/>
      </w:pPr>
    </w:p>
    <w:p w14:paraId="5AE24113"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14.</w:t>
      </w:r>
      <w:r w:rsidRPr="00A808AC">
        <w:rPr>
          <w:b/>
          <w:bCs/>
        </w:rPr>
        <w:tab/>
        <w:t>GENERAL CLASSIFICATION FOR SUPPLY</w:t>
      </w:r>
    </w:p>
    <w:p w14:paraId="34E76C4A" w14:textId="77777777" w:rsidR="00663784" w:rsidRPr="00A808AC" w:rsidRDefault="00663784" w:rsidP="00663784">
      <w:pPr>
        <w:suppressLineNumbers/>
        <w:tabs>
          <w:tab w:val="clear" w:pos="567"/>
        </w:tabs>
        <w:spacing w:line="240" w:lineRule="auto"/>
        <w:ind w:left="720" w:hanging="720"/>
      </w:pPr>
    </w:p>
    <w:p w14:paraId="2D322C6C" w14:textId="77777777" w:rsidR="00663784" w:rsidRPr="00A808AC" w:rsidRDefault="00663784" w:rsidP="00663784">
      <w:pPr>
        <w:suppressLineNumbers/>
        <w:tabs>
          <w:tab w:val="clear" w:pos="567"/>
        </w:tabs>
        <w:spacing w:line="240" w:lineRule="auto"/>
        <w:ind w:left="720" w:hanging="720"/>
      </w:pPr>
    </w:p>
    <w:p w14:paraId="78DF0765" w14:textId="77777777" w:rsidR="00663784" w:rsidRPr="00A808AC" w:rsidRDefault="005A3D7D"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15.</w:t>
      </w:r>
      <w:r w:rsidRPr="00A808AC">
        <w:rPr>
          <w:b/>
          <w:bCs/>
        </w:rPr>
        <w:tab/>
        <w:t>INSTRUCTIONS ON USE</w:t>
      </w:r>
    </w:p>
    <w:p w14:paraId="1F2B9791" w14:textId="77777777" w:rsidR="00663784" w:rsidRPr="00A808AC" w:rsidRDefault="00663784" w:rsidP="00663784">
      <w:pPr>
        <w:suppressLineNumbers/>
        <w:tabs>
          <w:tab w:val="clear" w:pos="567"/>
        </w:tabs>
        <w:spacing w:line="240" w:lineRule="auto"/>
        <w:ind w:left="720" w:hanging="720"/>
      </w:pPr>
    </w:p>
    <w:p w14:paraId="6662627A" w14:textId="77777777" w:rsidR="00663784" w:rsidRPr="00A808AC" w:rsidRDefault="00663784" w:rsidP="00663784">
      <w:pPr>
        <w:suppressLineNumbers/>
        <w:tabs>
          <w:tab w:val="clear" w:pos="567"/>
        </w:tabs>
        <w:spacing w:line="240" w:lineRule="auto"/>
        <w:ind w:left="720" w:hanging="720"/>
      </w:pPr>
    </w:p>
    <w:p w14:paraId="6768C320" w14:textId="77777777" w:rsidR="00663784" w:rsidRPr="004F407E"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A13523">
        <w:rPr>
          <w:sz w:val="22"/>
        </w:rPr>
        <w:t>16.</w:t>
      </w:r>
      <w:r w:rsidRPr="00A13523">
        <w:rPr>
          <w:sz w:val="22"/>
        </w:rPr>
        <w:tab/>
        <w:t>INFORMATION IN BRAILLE</w:t>
      </w:r>
    </w:p>
    <w:p w14:paraId="3912968A" w14:textId="77777777" w:rsidR="00663784" w:rsidRPr="00A808AC" w:rsidRDefault="00663784" w:rsidP="00663784">
      <w:pPr>
        <w:suppressLineNumbers/>
        <w:tabs>
          <w:tab w:val="clear" w:pos="567"/>
        </w:tabs>
        <w:spacing w:line="240" w:lineRule="auto"/>
        <w:ind w:left="720" w:hanging="720"/>
        <w:rPr>
          <w:shd w:val="clear" w:color="auto" w:fill="CCCCCC"/>
        </w:rPr>
      </w:pPr>
    </w:p>
    <w:p w14:paraId="192605E6" w14:textId="77777777" w:rsidR="00663784" w:rsidRDefault="005A3D7D" w:rsidP="00663784">
      <w:pPr>
        <w:suppressLineNumbers/>
        <w:tabs>
          <w:tab w:val="clear" w:pos="567"/>
        </w:tabs>
        <w:spacing w:line="240" w:lineRule="auto"/>
        <w:ind w:left="720" w:hanging="720"/>
      </w:pPr>
      <w:r w:rsidRPr="00A808AC">
        <w:t>Kalydeco 150 mg tablets</w:t>
      </w:r>
    </w:p>
    <w:p w14:paraId="62BD1342" w14:textId="77777777" w:rsidR="00663784" w:rsidRDefault="00663784" w:rsidP="00663784">
      <w:pPr>
        <w:suppressLineNumbers/>
        <w:tabs>
          <w:tab w:val="clear" w:pos="567"/>
        </w:tabs>
        <w:spacing w:line="240" w:lineRule="auto"/>
        <w:ind w:left="720" w:hanging="720"/>
      </w:pPr>
    </w:p>
    <w:p w14:paraId="0A98A87E" w14:textId="77777777" w:rsidR="00663784" w:rsidRPr="002E3E1F" w:rsidRDefault="00663784" w:rsidP="00663784">
      <w:pPr>
        <w:suppressLineNumbers/>
        <w:tabs>
          <w:tab w:val="clear" w:pos="567"/>
        </w:tabs>
        <w:spacing w:line="240" w:lineRule="auto"/>
        <w:ind w:left="720" w:hanging="720"/>
      </w:pPr>
    </w:p>
    <w:p w14:paraId="1D849143" w14:textId="77777777" w:rsidR="00663784" w:rsidRPr="008640EA"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pPr>
      <w:r w:rsidRPr="00A13523">
        <w:rPr>
          <w:sz w:val="22"/>
        </w:rPr>
        <w:t>17.</w:t>
      </w:r>
      <w:r w:rsidRPr="00A13523">
        <w:rPr>
          <w:sz w:val="22"/>
        </w:rPr>
        <w:tab/>
        <w:t>UNIQUE IDENTIFIER – 2D BARCODE</w:t>
      </w:r>
    </w:p>
    <w:p w14:paraId="01C5869E" w14:textId="77777777" w:rsidR="00663784" w:rsidRPr="002E3E1F" w:rsidRDefault="00663784" w:rsidP="00663784">
      <w:pPr>
        <w:suppressLineNumbers/>
        <w:tabs>
          <w:tab w:val="clear" w:pos="567"/>
        </w:tabs>
        <w:spacing w:line="240" w:lineRule="auto"/>
        <w:ind w:left="720" w:hanging="720"/>
        <w:rPr>
          <w:bCs/>
          <w:lang w:val="en-US"/>
        </w:rPr>
      </w:pPr>
    </w:p>
    <w:p w14:paraId="11CA159F" w14:textId="77777777" w:rsidR="00663784" w:rsidRPr="00E53B67" w:rsidRDefault="005A3D7D" w:rsidP="00663784">
      <w:pPr>
        <w:tabs>
          <w:tab w:val="clear" w:pos="567"/>
        </w:tabs>
        <w:autoSpaceDE w:val="0"/>
        <w:autoSpaceDN w:val="0"/>
        <w:adjustRightInd w:val="0"/>
        <w:spacing w:line="240" w:lineRule="auto"/>
        <w:ind w:left="720" w:hanging="720"/>
        <w:rPr>
          <w:rFonts w:eastAsia="TimesNewRomanPSMT"/>
          <w:lang w:val="en-US" w:eastAsia="de-DE"/>
        </w:rPr>
      </w:pPr>
      <w:r w:rsidRPr="00E53B67">
        <w:rPr>
          <w:highlight w:val="lightGray"/>
          <w:lang w:val="en-US"/>
        </w:rPr>
        <w:t xml:space="preserve">2D barcode carrying the unique identifier </w:t>
      </w:r>
      <w:r w:rsidRPr="00E53B67">
        <w:rPr>
          <w:highlight w:val="lightGray"/>
          <w:lang w:val="en-US"/>
        </w:rPr>
        <w:t>included.</w:t>
      </w:r>
    </w:p>
    <w:p w14:paraId="10AC2D6A" w14:textId="77777777" w:rsidR="00663784" w:rsidRPr="006C662B" w:rsidRDefault="00663784" w:rsidP="00663784">
      <w:pPr>
        <w:suppressLineNumbers/>
        <w:tabs>
          <w:tab w:val="clear" w:pos="567"/>
        </w:tabs>
        <w:spacing w:line="240" w:lineRule="auto"/>
        <w:ind w:left="720" w:hanging="720"/>
        <w:rPr>
          <w:bCs/>
          <w:lang w:val="en-US"/>
        </w:rPr>
      </w:pPr>
    </w:p>
    <w:p w14:paraId="3856EBEA" w14:textId="77777777" w:rsidR="00663784" w:rsidRPr="00F2630D" w:rsidRDefault="00663784" w:rsidP="00663784">
      <w:pPr>
        <w:suppressLineNumbers/>
        <w:tabs>
          <w:tab w:val="clear" w:pos="567"/>
        </w:tabs>
        <w:spacing w:line="240" w:lineRule="auto"/>
        <w:ind w:left="720" w:hanging="720"/>
        <w:rPr>
          <w:bCs/>
          <w:lang w:val="en-US"/>
        </w:rPr>
      </w:pPr>
    </w:p>
    <w:p w14:paraId="79A53085" w14:textId="77777777" w:rsidR="00663784" w:rsidRPr="004F407E"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A13523">
        <w:rPr>
          <w:sz w:val="22"/>
        </w:rPr>
        <w:t>18.</w:t>
      </w:r>
      <w:r w:rsidRPr="00A13523">
        <w:rPr>
          <w:sz w:val="22"/>
        </w:rPr>
        <w:tab/>
        <w:t>UNIQUE IDENTIFIER – HUMAN READABLE DATA</w:t>
      </w:r>
    </w:p>
    <w:p w14:paraId="51434737" w14:textId="77777777" w:rsidR="00663784" w:rsidRPr="00E53B67" w:rsidRDefault="00663784" w:rsidP="00663784">
      <w:pPr>
        <w:suppressLineNumbers/>
        <w:tabs>
          <w:tab w:val="clear" w:pos="567"/>
        </w:tabs>
        <w:spacing w:line="240" w:lineRule="auto"/>
        <w:ind w:left="720" w:hanging="720"/>
        <w:rPr>
          <w:bCs/>
          <w:lang w:val="en-US"/>
        </w:rPr>
      </w:pPr>
    </w:p>
    <w:p w14:paraId="1D0FEE36" w14:textId="77777777" w:rsidR="00663784" w:rsidRPr="00E53B67" w:rsidRDefault="005A3D7D" w:rsidP="00663784">
      <w:pPr>
        <w:tabs>
          <w:tab w:val="clear" w:pos="567"/>
        </w:tabs>
        <w:autoSpaceDE w:val="0"/>
        <w:autoSpaceDN w:val="0"/>
        <w:adjustRightInd w:val="0"/>
        <w:spacing w:line="240" w:lineRule="auto"/>
        <w:ind w:left="720" w:hanging="720"/>
        <w:rPr>
          <w:rFonts w:eastAsia="TimesNewRomanPSMT"/>
          <w:lang w:val="en-US" w:eastAsia="de-DE"/>
        </w:rPr>
      </w:pPr>
      <w:r w:rsidRPr="00E53B67">
        <w:rPr>
          <w:rFonts w:eastAsia="TimesNewRomanPSMT"/>
          <w:lang w:val="en-US" w:eastAsia="de-DE"/>
        </w:rPr>
        <w:t>PC</w:t>
      </w:r>
    </w:p>
    <w:p w14:paraId="0732504F" w14:textId="77777777" w:rsidR="00663784" w:rsidRPr="00E53B67" w:rsidRDefault="005A3D7D" w:rsidP="00663784">
      <w:pPr>
        <w:tabs>
          <w:tab w:val="clear" w:pos="567"/>
        </w:tabs>
        <w:autoSpaceDE w:val="0"/>
        <w:autoSpaceDN w:val="0"/>
        <w:adjustRightInd w:val="0"/>
        <w:spacing w:line="240" w:lineRule="auto"/>
        <w:ind w:left="720" w:hanging="720"/>
        <w:rPr>
          <w:rFonts w:eastAsia="TimesNewRomanPSMT"/>
          <w:lang w:val="en-US" w:eastAsia="de-DE"/>
        </w:rPr>
      </w:pPr>
      <w:r w:rsidRPr="00E53B67">
        <w:rPr>
          <w:rFonts w:eastAsia="TimesNewRomanPSMT"/>
          <w:lang w:val="en-US" w:eastAsia="de-DE"/>
        </w:rPr>
        <w:t>SN</w:t>
      </w:r>
    </w:p>
    <w:p w14:paraId="303F8D24" w14:textId="77777777" w:rsidR="00663784" w:rsidRPr="00E53B67" w:rsidRDefault="005A3D7D" w:rsidP="00663784">
      <w:pPr>
        <w:suppressLineNumbers/>
        <w:tabs>
          <w:tab w:val="clear" w:pos="567"/>
        </w:tabs>
        <w:spacing w:line="240" w:lineRule="auto"/>
        <w:ind w:left="720" w:hanging="720"/>
        <w:rPr>
          <w:bCs/>
          <w:lang w:val="en-US"/>
        </w:rPr>
      </w:pPr>
      <w:r w:rsidRPr="00E53B67">
        <w:rPr>
          <w:rFonts w:eastAsia="TimesNewRomanPSMT"/>
          <w:color w:val="000000"/>
          <w:lang w:val="en-US" w:eastAsia="de-DE"/>
        </w:rPr>
        <w:t>NN</w:t>
      </w:r>
    </w:p>
    <w:p w14:paraId="11165886" w14:textId="77777777" w:rsidR="00663784" w:rsidRDefault="00663784" w:rsidP="00663784">
      <w:pPr>
        <w:tabs>
          <w:tab w:val="clear" w:pos="567"/>
        </w:tabs>
        <w:ind w:left="720" w:hanging="720"/>
        <w:rPr>
          <w:lang w:val="en-US"/>
        </w:rPr>
      </w:pPr>
    </w:p>
    <w:p w14:paraId="214EDA3C" w14:textId="77777777" w:rsidR="00663784" w:rsidRPr="004F407E" w:rsidRDefault="005A3D7D" w:rsidP="00663784">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b w:val="0"/>
          <w:bCs w:val="0"/>
          <w:sz w:val="22"/>
          <w:szCs w:val="22"/>
        </w:rPr>
      </w:pPr>
      <w:r w:rsidRPr="00A13523">
        <w:rPr>
          <w:rFonts w:ascii="Times New Roman" w:hAnsi="Times New Roman"/>
          <w:sz w:val="22"/>
          <w:lang w:val="en-US"/>
        </w:rPr>
        <w:br w:type="page"/>
      </w:r>
      <w:r w:rsidRPr="00A13523">
        <w:rPr>
          <w:rFonts w:ascii="Times New Roman" w:hAnsi="Times New Roman"/>
          <w:sz w:val="22"/>
        </w:rPr>
        <w:t>MINIMUM PARTICULARS TO APPEAR ON BLISTERS OR STRIPS</w:t>
      </w:r>
    </w:p>
    <w:p w14:paraId="6916E332" w14:textId="77777777" w:rsidR="00663784" w:rsidRPr="00A808AC"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p>
    <w:p w14:paraId="2E16E63B"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r w:rsidRPr="00A808AC">
        <w:rPr>
          <w:b/>
          <w:bCs/>
        </w:rPr>
        <w:t>BLISTERS</w:t>
      </w:r>
      <w:r>
        <w:rPr>
          <w:b/>
          <w:bCs/>
        </w:rPr>
        <w:t xml:space="preserve"> – 56</w:t>
      </w:r>
      <w:r>
        <w:rPr>
          <w:b/>
          <w:bCs/>
        </w:rPr>
        <w:noBreakHyphen/>
        <w:t>TABLET PACK</w:t>
      </w:r>
    </w:p>
    <w:p w14:paraId="3F8B42F2" w14:textId="77777777" w:rsidR="00663784" w:rsidRDefault="00663784" w:rsidP="00663784">
      <w:pPr>
        <w:suppressLineNumbers/>
        <w:spacing w:line="240" w:lineRule="auto"/>
      </w:pPr>
    </w:p>
    <w:p w14:paraId="5C940BC3" w14:textId="77777777" w:rsidR="00663784" w:rsidRPr="00A808AC" w:rsidRDefault="00663784" w:rsidP="00663784">
      <w:pPr>
        <w:suppressLineNumbers/>
        <w:spacing w:line="240" w:lineRule="auto"/>
      </w:pPr>
    </w:p>
    <w:p w14:paraId="36942D7A"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w:t>
      </w:r>
      <w:r w:rsidRPr="00A808AC">
        <w:rPr>
          <w:b/>
          <w:bCs/>
        </w:rPr>
        <w:tab/>
        <w:t>NAME OF THE MEDICINAL PRODUCT</w:t>
      </w:r>
    </w:p>
    <w:p w14:paraId="6DA181E7" w14:textId="77777777" w:rsidR="00663784" w:rsidRPr="00A808AC" w:rsidRDefault="00663784" w:rsidP="00663784">
      <w:pPr>
        <w:suppressLineNumbers/>
        <w:tabs>
          <w:tab w:val="clear" w:pos="567"/>
        </w:tabs>
        <w:spacing w:line="240" w:lineRule="auto"/>
        <w:ind w:left="720" w:hanging="720"/>
        <w:rPr>
          <w:i/>
          <w:iCs/>
        </w:rPr>
      </w:pPr>
    </w:p>
    <w:p w14:paraId="680159ED" w14:textId="77777777" w:rsidR="00663784" w:rsidRPr="00A808AC" w:rsidRDefault="005A3D7D" w:rsidP="00663784">
      <w:pPr>
        <w:tabs>
          <w:tab w:val="clear" w:pos="567"/>
        </w:tabs>
        <w:spacing w:line="240" w:lineRule="auto"/>
        <w:ind w:left="720" w:hanging="720"/>
      </w:pPr>
      <w:r w:rsidRPr="00A808AC">
        <w:t>Kalydeco 150 mg tablets</w:t>
      </w:r>
    </w:p>
    <w:p w14:paraId="16E3BF3A" w14:textId="77777777" w:rsidR="00663784" w:rsidRPr="00A808AC" w:rsidRDefault="005A3D7D" w:rsidP="00663784">
      <w:pPr>
        <w:tabs>
          <w:tab w:val="clear" w:pos="567"/>
        </w:tabs>
        <w:spacing w:line="240" w:lineRule="auto"/>
        <w:ind w:left="720" w:hanging="720"/>
        <w:rPr>
          <w:i/>
          <w:iCs/>
        </w:rPr>
      </w:pPr>
      <w:r>
        <w:t>i</w:t>
      </w:r>
      <w:r w:rsidRPr="00A808AC">
        <w:t>vacaftor</w:t>
      </w:r>
    </w:p>
    <w:p w14:paraId="3A2BDDA7" w14:textId="77777777" w:rsidR="00663784" w:rsidRPr="00A808AC" w:rsidRDefault="00663784" w:rsidP="00663784">
      <w:pPr>
        <w:suppressLineNumbers/>
        <w:tabs>
          <w:tab w:val="clear" w:pos="567"/>
        </w:tabs>
        <w:spacing w:line="240" w:lineRule="auto"/>
        <w:ind w:left="720" w:hanging="720"/>
      </w:pPr>
    </w:p>
    <w:p w14:paraId="3FE31161" w14:textId="77777777" w:rsidR="00663784" w:rsidRPr="00A808AC" w:rsidRDefault="00663784" w:rsidP="00663784">
      <w:pPr>
        <w:suppressLineNumbers/>
        <w:tabs>
          <w:tab w:val="clear" w:pos="567"/>
        </w:tabs>
        <w:spacing w:line="240" w:lineRule="auto"/>
        <w:ind w:left="720" w:hanging="720"/>
      </w:pPr>
    </w:p>
    <w:p w14:paraId="051E9B8C"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 xml:space="preserve">NAME OF THE MARKETING </w:t>
      </w:r>
      <w:r w:rsidRPr="00A808AC">
        <w:rPr>
          <w:b/>
          <w:bCs/>
        </w:rPr>
        <w:t>AUTHORISATION HOLDER</w:t>
      </w:r>
    </w:p>
    <w:p w14:paraId="0241ED28" w14:textId="77777777" w:rsidR="00663784" w:rsidRPr="00A808AC" w:rsidRDefault="00663784" w:rsidP="00663784">
      <w:pPr>
        <w:suppressLineNumbers/>
        <w:tabs>
          <w:tab w:val="clear" w:pos="567"/>
        </w:tabs>
        <w:spacing w:line="240" w:lineRule="auto"/>
        <w:ind w:left="720" w:hanging="720"/>
      </w:pPr>
    </w:p>
    <w:p w14:paraId="3633B9D9" w14:textId="77777777" w:rsidR="00663784" w:rsidRPr="00420287" w:rsidRDefault="005A3D7D" w:rsidP="00663784">
      <w:pPr>
        <w:rPr>
          <w:iCs/>
        </w:rPr>
      </w:pPr>
      <w:r w:rsidRPr="00420287">
        <w:rPr>
          <w:iCs/>
        </w:rPr>
        <w:t>Vertex Pharmaceuticals (Ireland) Limited</w:t>
      </w:r>
    </w:p>
    <w:p w14:paraId="796D9B03" w14:textId="77777777" w:rsidR="00663784" w:rsidRPr="00A808AC" w:rsidRDefault="00663784" w:rsidP="00663784">
      <w:pPr>
        <w:suppressLineNumbers/>
        <w:tabs>
          <w:tab w:val="clear" w:pos="567"/>
        </w:tabs>
        <w:spacing w:line="240" w:lineRule="auto"/>
        <w:ind w:left="720" w:hanging="720"/>
      </w:pPr>
    </w:p>
    <w:p w14:paraId="7CE0C97B" w14:textId="77777777" w:rsidR="00663784" w:rsidRPr="00A808AC" w:rsidRDefault="00663784" w:rsidP="00663784">
      <w:pPr>
        <w:suppressLineNumbers/>
        <w:tabs>
          <w:tab w:val="clear" w:pos="567"/>
        </w:tabs>
        <w:spacing w:line="240" w:lineRule="auto"/>
        <w:ind w:left="720" w:hanging="720"/>
      </w:pPr>
    </w:p>
    <w:p w14:paraId="569E7C94" w14:textId="77777777" w:rsidR="00663784" w:rsidRPr="00A808AC" w:rsidRDefault="005A3D7D" w:rsidP="00663784">
      <w:pPr>
        <w:suppressLineNumbers/>
        <w:pBdr>
          <w:top w:val="single" w:sz="4" w:space="1" w:color="auto"/>
          <w:left w:val="single" w:sz="4" w:space="4" w:color="auto"/>
          <w:bottom w:val="single" w:sz="4" w:space="2" w:color="auto"/>
          <w:right w:val="single" w:sz="4" w:space="4" w:color="auto"/>
        </w:pBdr>
        <w:tabs>
          <w:tab w:val="clear" w:pos="567"/>
        </w:tabs>
        <w:spacing w:line="240" w:lineRule="auto"/>
        <w:ind w:left="720" w:hanging="720"/>
        <w:outlineLvl w:val="1"/>
        <w:rPr>
          <w:b/>
          <w:bCs/>
        </w:rPr>
      </w:pPr>
      <w:r w:rsidRPr="00A808AC">
        <w:rPr>
          <w:b/>
          <w:bCs/>
        </w:rPr>
        <w:t>3.</w:t>
      </w:r>
      <w:r w:rsidRPr="00A808AC">
        <w:rPr>
          <w:b/>
          <w:bCs/>
        </w:rPr>
        <w:tab/>
        <w:t>EXPIRY DATE</w:t>
      </w:r>
    </w:p>
    <w:p w14:paraId="191E0E36" w14:textId="77777777" w:rsidR="00663784" w:rsidRPr="00A808AC" w:rsidRDefault="00663784" w:rsidP="00663784">
      <w:pPr>
        <w:suppressLineNumbers/>
        <w:tabs>
          <w:tab w:val="clear" w:pos="567"/>
        </w:tabs>
        <w:spacing w:line="240" w:lineRule="auto"/>
        <w:ind w:left="720" w:hanging="720"/>
      </w:pPr>
    </w:p>
    <w:p w14:paraId="3113FC4B" w14:textId="77777777" w:rsidR="00663784" w:rsidRPr="00A808AC" w:rsidRDefault="005A3D7D" w:rsidP="00663784">
      <w:pPr>
        <w:suppressLineNumbers/>
        <w:tabs>
          <w:tab w:val="clear" w:pos="567"/>
        </w:tabs>
        <w:spacing w:line="240" w:lineRule="auto"/>
        <w:ind w:left="720" w:hanging="720"/>
      </w:pPr>
      <w:r w:rsidRPr="00A808AC">
        <w:t>EXP</w:t>
      </w:r>
    </w:p>
    <w:p w14:paraId="66C29871" w14:textId="77777777" w:rsidR="00663784" w:rsidRPr="00A808AC" w:rsidRDefault="00663784" w:rsidP="00663784">
      <w:pPr>
        <w:suppressLineNumbers/>
        <w:tabs>
          <w:tab w:val="clear" w:pos="567"/>
        </w:tabs>
        <w:spacing w:line="240" w:lineRule="auto"/>
        <w:ind w:left="720" w:hanging="720"/>
      </w:pPr>
    </w:p>
    <w:p w14:paraId="525F2707" w14:textId="77777777" w:rsidR="00663784" w:rsidRPr="00A808AC" w:rsidRDefault="00663784" w:rsidP="00663784">
      <w:pPr>
        <w:suppressLineNumbers/>
        <w:tabs>
          <w:tab w:val="clear" w:pos="567"/>
        </w:tabs>
        <w:spacing w:line="240" w:lineRule="auto"/>
        <w:ind w:left="720" w:hanging="720"/>
      </w:pPr>
    </w:p>
    <w:p w14:paraId="27691AAD"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4.</w:t>
      </w:r>
      <w:r w:rsidRPr="00A808AC">
        <w:rPr>
          <w:b/>
          <w:bCs/>
        </w:rPr>
        <w:tab/>
        <w:t>BATCH NUMBER</w:t>
      </w:r>
    </w:p>
    <w:p w14:paraId="06311E3E" w14:textId="77777777" w:rsidR="00663784" w:rsidRPr="00A808AC" w:rsidRDefault="00663784" w:rsidP="00663784">
      <w:pPr>
        <w:suppressLineNumbers/>
        <w:tabs>
          <w:tab w:val="clear" w:pos="567"/>
        </w:tabs>
        <w:spacing w:line="240" w:lineRule="auto"/>
        <w:ind w:left="720" w:hanging="720"/>
      </w:pPr>
    </w:p>
    <w:p w14:paraId="2561D743" w14:textId="77777777" w:rsidR="00663784" w:rsidRPr="00A808AC" w:rsidRDefault="005A3D7D" w:rsidP="00663784">
      <w:pPr>
        <w:suppressLineNumbers/>
        <w:tabs>
          <w:tab w:val="clear" w:pos="567"/>
        </w:tabs>
        <w:spacing w:line="240" w:lineRule="auto"/>
        <w:ind w:left="720" w:hanging="720"/>
      </w:pPr>
      <w:r w:rsidRPr="00A808AC">
        <w:t>Lot</w:t>
      </w:r>
    </w:p>
    <w:p w14:paraId="358BFBA8" w14:textId="77777777" w:rsidR="00663784" w:rsidRPr="00A808AC" w:rsidRDefault="00663784" w:rsidP="00663784">
      <w:pPr>
        <w:suppressLineNumbers/>
        <w:tabs>
          <w:tab w:val="clear" w:pos="567"/>
        </w:tabs>
        <w:spacing w:line="240" w:lineRule="auto"/>
        <w:ind w:left="720" w:hanging="720"/>
      </w:pPr>
    </w:p>
    <w:p w14:paraId="56423F76" w14:textId="77777777" w:rsidR="00663784" w:rsidRPr="00A808AC" w:rsidRDefault="00663784" w:rsidP="00663784">
      <w:pPr>
        <w:suppressLineNumbers/>
        <w:tabs>
          <w:tab w:val="clear" w:pos="567"/>
        </w:tabs>
        <w:spacing w:line="240" w:lineRule="auto"/>
        <w:ind w:left="720" w:hanging="720"/>
      </w:pPr>
    </w:p>
    <w:p w14:paraId="46896D21"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5.</w:t>
      </w:r>
      <w:r w:rsidRPr="00A808AC">
        <w:rPr>
          <w:b/>
          <w:bCs/>
        </w:rPr>
        <w:tab/>
        <w:t>OTHER</w:t>
      </w:r>
    </w:p>
    <w:p w14:paraId="212C6DF9" w14:textId="77777777" w:rsidR="00663784" w:rsidRDefault="00663784" w:rsidP="00663784">
      <w:pPr>
        <w:suppressLineNumbers/>
        <w:tabs>
          <w:tab w:val="clear" w:pos="567"/>
        </w:tabs>
        <w:spacing w:line="240" w:lineRule="auto"/>
        <w:ind w:left="720" w:hanging="720"/>
      </w:pPr>
    </w:p>
    <w:p w14:paraId="40839AE9" w14:textId="77777777" w:rsidR="00663784" w:rsidRPr="00A808AC" w:rsidRDefault="00663784" w:rsidP="00663784">
      <w:pPr>
        <w:suppressLineNumbers/>
        <w:tabs>
          <w:tab w:val="clear" w:pos="567"/>
        </w:tabs>
        <w:spacing w:line="240" w:lineRule="auto"/>
        <w:ind w:left="720" w:hanging="720"/>
      </w:pPr>
    </w:p>
    <w:p w14:paraId="13DAB1FE" w14:textId="77777777" w:rsidR="00663784" w:rsidRPr="002E5713" w:rsidRDefault="005A3D7D" w:rsidP="00663784">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b w:val="0"/>
          <w:sz w:val="22"/>
          <w:szCs w:val="22"/>
        </w:rPr>
      </w:pPr>
      <w:r w:rsidRPr="00A13523">
        <w:rPr>
          <w:rFonts w:ascii="Times New Roman" w:hAnsi="Times New Roman"/>
          <w:sz w:val="22"/>
        </w:rPr>
        <w:br w:type="page"/>
      </w:r>
      <w:r w:rsidRPr="002E5713">
        <w:rPr>
          <w:rFonts w:ascii="Times New Roman" w:hAnsi="Times New Roman" w:cs="Times New Roman"/>
          <w:sz w:val="22"/>
        </w:rPr>
        <w:t>PARTICULARS TO APPEAR ON THE OUTER PACKAGING</w:t>
      </w:r>
    </w:p>
    <w:p w14:paraId="47EB0C7A" w14:textId="77777777" w:rsidR="00663784" w:rsidRPr="002E5713"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14:paraId="1F4A8ECC" w14:textId="77777777" w:rsidR="00663784" w:rsidRPr="002E5713" w:rsidRDefault="005A3D7D" w:rsidP="00663784">
      <w:pPr>
        <w:pBdr>
          <w:top w:val="single" w:sz="4" w:space="1" w:color="auto"/>
          <w:left w:val="single" w:sz="4" w:space="4" w:color="auto"/>
          <w:bottom w:val="single" w:sz="4" w:space="1" w:color="auto"/>
          <w:right w:val="single" w:sz="4" w:space="4" w:color="auto"/>
        </w:pBdr>
        <w:spacing w:line="240" w:lineRule="auto"/>
      </w:pPr>
      <w:r w:rsidRPr="002E5713">
        <w:rPr>
          <w:b/>
          <w:bCs/>
          <w:caps/>
        </w:rPr>
        <w:t>Outer carton</w:t>
      </w:r>
      <w:r w:rsidRPr="002E5713">
        <w:rPr>
          <w:b/>
          <w:bCs/>
        </w:rPr>
        <w:t xml:space="preserve"> FOR BLISTER CARD – 28</w:t>
      </w:r>
      <w:r w:rsidRPr="002E5713">
        <w:rPr>
          <w:b/>
          <w:bCs/>
        </w:rPr>
        <w:noBreakHyphen/>
        <w:t xml:space="preserve">TABLET PACK </w:t>
      </w:r>
    </w:p>
    <w:p w14:paraId="0A54DFDC" w14:textId="77777777" w:rsidR="00663784" w:rsidRPr="002E5713" w:rsidRDefault="00663784" w:rsidP="00663784">
      <w:pPr>
        <w:suppressLineNumbers/>
        <w:spacing w:line="240" w:lineRule="auto"/>
      </w:pPr>
    </w:p>
    <w:p w14:paraId="751CB3CA" w14:textId="77777777" w:rsidR="00663784" w:rsidRPr="002E5713" w:rsidRDefault="00663784" w:rsidP="00663784">
      <w:pPr>
        <w:suppressLineNumbers/>
        <w:spacing w:line="240" w:lineRule="auto"/>
      </w:pPr>
    </w:p>
    <w:p w14:paraId="692A476A" w14:textId="77777777" w:rsidR="00663784" w:rsidRPr="002E571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1.</w:t>
      </w:r>
      <w:r w:rsidRPr="002E5713">
        <w:rPr>
          <w:b/>
          <w:bCs/>
        </w:rPr>
        <w:tab/>
        <w:t xml:space="preserve">NAME OF THE MEDICINAL </w:t>
      </w:r>
      <w:r w:rsidRPr="002E5713">
        <w:rPr>
          <w:b/>
          <w:bCs/>
        </w:rPr>
        <w:t>PRODUCT</w:t>
      </w:r>
    </w:p>
    <w:p w14:paraId="1602913E" w14:textId="77777777" w:rsidR="00663784" w:rsidRPr="002E5713" w:rsidRDefault="00663784" w:rsidP="00663784">
      <w:pPr>
        <w:suppressLineNumbers/>
        <w:tabs>
          <w:tab w:val="clear" w:pos="567"/>
        </w:tabs>
        <w:spacing w:line="240" w:lineRule="auto"/>
        <w:ind w:left="720" w:hanging="720"/>
      </w:pPr>
    </w:p>
    <w:p w14:paraId="7B8AA1EE" w14:textId="77777777" w:rsidR="00663784" w:rsidRPr="002E5713" w:rsidRDefault="005A3D7D" w:rsidP="00663784">
      <w:pPr>
        <w:tabs>
          <w:tab w:val="clear" w:pos="567"/>
        </w:tabs>
        <w:spacing w:line="240" w:lineRule="auto"/>
        <w:ind w:left="720" w:hanging="720"/>
      </w:pPr>
      <w:r w:rsidRPr="002E5713">
        <w:t>Kalydeco 150 mg film</w:t>
      </w:r>
      <w:r w:rsidRPr="002E5713">
        <w:noBreakHyphen/>
        <w:t>coated tablets</w:t>
      </w:r>
    </w:p>
    <w:p w14:paraId="10732053" w14:textId="77777777" w:rsidR="00663784" w:rsidRPr="002E5713" w:rsidRDefault="005A3D7D" w:rsidP="00663784">
      <w:pPr>
        <w:tabs>
          <w:tab w:val="clear" w:pos="567"/>
        </w:tabs>
        <w:spacing w:line="240" w:lineRule="auto"/>
        <w:ind w:left="720" w:hanging="720"/>
        <w:rPr>
          <w:i/>
          <w:iCs/>
        </w:rPr>
      </w:pPr>
      <w:r w:rsidRPr="002E5713">
        <w:t>ivacaftor</w:t>
      </w:r>
    </w:p>
    <w:p w14:paraId="2BABC32E" w14:textId="77777777" w:rsidR="00663784" w:rsidRPr="002E5713" w:rsidRDefault="00663784" w:rsidP="00663784">
      <w:pPr>
        <w:suppressLineNumbers/>
        <w:tabs>
          <w:tab w:val="clear" w:pos="567"/>
        </w:tabs>
        <w:spacing w:line="240" w:lineRule="auto"/>
        <w:ind w:left="720" w:hanging="720"/>
      </w:pPr>
    </w:p>
    <w:p w14:paraId="776B89EF" w14:textId="77777777" w:rsidR="00663784" w:rsidRPr="002E5713" w:rsidRDefault="00663784" w:rsidP="00663784">
      <w:pPr>
        <w:suppressLineNumbers/>
        <w:tabs>
          <w:tab w:val="clear" w:pos="567"/>
        </w:tabs>
        <w:spacing w:line="240" w:lineRule="auto"/>
        <w:ind w:left="720" w:hanging="720"/>
      </w:pPr>
    </w:p>
    <w:p w14:paraId="739787F0" w14:textId="77777777" w:rsidR="00663784" w:rsidRPr="002E571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2E5713">
        <w:rPr>
          <w:b/>
          <w:bCs/>
        </w:rPr>
        <w:t>2.</w:t>
      </w:r>
      <w:r w:rsidRPr="002E5713">
        <w:rPr>
          <w:b/>
          <w:bCs/>
        </w:rPr>
        <w:tab/>
        <w:t>STATEMENT OF ACTIVE SUBSTANCE(S)</w:t>
      </w:r>
    </w:p>
    <w:p w14:paraId="1746F49B" w14:textId="77777777" w:rsidR="00663784" w:rsidRPr="002E5713" w:rsidRDefault="00663784" w:rsidP="00663784">
      <w:pPr>
        <w:suppressLineNumbers/>
        <w:tabs>
          <w:tab w:val="clear" w:pos="567"/>
        </w:tabs>
        <w:spacing w:line="240" w:lineRule="auto"/>
        <w:ind w:left="720" w:hanging="720"/>
        <w:rPr>
          <w:iCs/>
        </w:rPr>
      </w:pPr>
    </w:p>
    <w:p w14:paraId="18229FE0" w14:textId="77777777" w:rsidR="00663784" w:rsidRPr="002E5713" w:rsidRDefault="005A3D7D" w:rsidP="00663784">
      <w:pPr>
        <w:tabs>
          <w:tab w:val="clear" w:pos="567"/>
        </w:tabs>
        <w:spacing w:line="240" w:lineRule="auto"/>
        <w:ind w:left="720" w:hanging="720"/>
      </w:pPr>
      <w:r w:rsidRPr="002E5713">
        <w:t>Each tablet contains 150 mg of ivacaftor.</w:t>
      </w:r>
    </w:p>
    <w:p w14:paraId="035C0562" w14:textId="77777777" w:rsidR="00663784" w:rsidRPr="002E5713" w:rsidRDefault="00663784" w:rsidP="00663784">
      <w:pPr>
        <w:tabs>
          <w:tab w:val="clear" w:pos="567"/>
        </w:tabs>
        <w:spacing w:line="240" w:lineRule="auto"/>
        <w:ind w:left="720" w:hanging="720"/>
      </w:pPr>
    </w:p>
    <w:p w14:paraId="7C472C22" w14:textId="77777777" w:rsidR="00663784" w:rsidRPr="002E5713" w:rsidRDefault="00663784" w:rsidP="00663784">
      <w:pPr>
        <w:tabs>
          <w:tab w:val="clear" w:pos="567"/>
        </w:tabs>
        <w:spacing w:line="240" w:lineRule="auto"/>
        <w:ind w:left="720" w:hanging="720"/>
      </w:pPr>
    </w:p>
    <w:p w14:paraId="517502A5" w14:textId="77777777" w:rsidR="00663784" w:rsidRPr="002E571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3.</w:t>
      </w:r>
      <w:r w:rsidRPr="002E5713">
        <w:rPr>
          <w:b/>
          <w:bCs/>
        </w:rPr>
        <w:tab/>
        <w:t>LIST OF EXCIPIENTS</w:t>
      </w:r>
    </w:p>
    <w:p w14:paraId="10F35C2B" w14:textId="77777777" w:rsidR="00663784" w:rsidRPr="002E5713" w:rsidRDefault="00663784" w:rsidP="00663784">
      <w:pPr>
        <w:suppressLineNumbers/>
        <w:tabs>
          <w:tab w:val="clear" w:pos="567"/>
        </w:tabs>
        <w:spacing w:line="240" w:lineRule="auto"/>
        <w:ind w:left="720" w:hanging="720"/>
      </w:pPr>
    </w:p>
    <w:p w14:paraId="6323AA7F" w14:textId="77777777" w:rsidR="00663784" w:rsidRPr="002E5713" w:rsidRDefault="005A3D7D" w:rsidP="00663784">
      <w:pPr>
        <w:tabs>
          <w:tab w:val="clear" w:pos="567"/>
        </w:tabs>
        <w:spacing w:line="240" w:lineRule="auto"/>
        <w:ind w:left="720" w:hanging="720"/>
      </w:pPr>
      <w:r w:rsidRPr="002E5713">
        <w:t>Contains lactose.</w:t>
      </w:r>
    </w:p>
    <w:p w14:paraId="6A50B1E9" w14:textId="77777777" w:rsidR="00663784" w:rsidRPr="002E5713" w:rsidRDefault="00663784" w:rsidP="00663784">
      <w:pPr>
        <w:tabs>
          <w:tab w:val="clear" w:pos="567"/>
        </w:tabs>
        <w:spacing w:line="240" w:lineRule="auto"/>
        <w:ind w:left="720" w:hanging="720"/>
      </w:pPr>
    </w:p>
    <w:p w14:paraId="34C62770" w14:textId="77777777" w:rsidR="00663784" w:rsidRPr="002E5713" w:rsidRDefault="005A3D7D" w:rsidP="00663784">
      <w:pPr>
        <w:tabs>
          <w:tab w:val="clear" w:pos="567"/>
        </w:tabs>
        <w:spacing w:line="240" w:lineRule="auto"/>
        <w:ind w:left="720" w:hanging="720"/>
      </w:pPr>
      <w:r w:rsidRPr="002E5713">
        <w:rPr>
          <w:highlight w:val="lightGray"/>
        </w:rPr>
        <w:t>See leaflet for further information.</w:t>
      </w:r>
    </w:p>
    <w:p w14:paraId="30E3CDD4" w14:textId="77777777" w:rsidR="00663784" w:rsidRPr="002E5713" w:rsidRDefault="00663784" w:rsidP="00663784">
      <w:pPr>
        <w:tabs>
          <w:tab w:val="clear" w:pos="567"/>
        </w:tabs>
        <w:spacing w:line="240" w:lineRule="auto"/>
        <w:ind w:left="720" w:hanging="720"/>
      </w:pPr>
    </w:p>
    <w:p w14:paraId="2E5C0533" w14:textId="77777777" w:rsidR="00663784" w:rsidRPr="002E5713" w:rsidRDefault="00663784" w:rsidP="00663784">
      <w:pPr>
        <w:tabs>
          <w:tab w:val="clear" w:pos="567"/>
        </w:tabs>
        <w:spacing w:line="240" w:lineRule="auto"/>
        <w:ind w:left="720" w:hanging="720"/>
      </w:pPr>
    </w:p>
    <w:p w14:paraId="1B403E6F" w14:textId="77777777" w:rsidR="00663784" w:rsidRPr="002E571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4.</w:t>
      </w:r>
      <w:r w:rsidRPr="002E5713">
        <w:rPr>
          <w:b/>
          <w:bCs/>
        </w:rPr>
        <w:tab/>
        <w:t xml:space="preserve">PHARMACEUTICAL FORM AND </w:t>
      </w:r>
      <w:r w:rsidRPr="002E5713">
        <w:rPr>
          <w:b/>
          <w:bCs/>
        </w:rPr>
        <w:t>CONTENTS</w:t>
      </w:r>
    </w:p>
    <w:p w14:paraId="0AA7F80D" w14:textId="77777777" w:rsidR="00663784" w:rsidRPr="002E5713" w:rsidRDefault="00663784" w:rsidP="00663784">
      <w:pPr>
        <w:suppressLineNumbers/>
        <w:tabs>
          <w:tab w:val="clear" w:pos="567"/>
        </w:tabs>
        <w:spacing w:line="240" w:lineRule="auto"/>
        <w:ind w:left="720" w:hanging="720"/>
      </w:pPr>
    </w:p>
    <w:p w14:paraId="68E3C863" w14:textId="77777777" w:rsidR="00663784" w:rsidRPr="002E5713" w:rsidRDefault="005A3D7D" w:rsidP="00663784">
      <w:pPr>
        <w:tabs>
          <w:tab w:val="clear" w:pos="567"/>
        </w:tabs>
        <w:spacing w:line="240" w:lineRule="auto"/>
        <w:ind w:left="720" w:hanging="720"/>
      </w:pPr>
      <w:r w:rsidRPr="002E5713">
        <w:t>28</w:t>
      </w:r>
      <w:r>
        <w:t> </w:t>
      </w:r>
      <w:r w:rsidRPr="002E5713">
        <w:t>tablets</w:t>
      </w:r>
    </w:p>
    <w:p w14:paraId="058B6A9D" w14:textId="77777777" w:rsidR="00663784" w:rsidRPr="002E5713" w:rsidRDefault="00663784" w:rsidP="00663784">
      <w:pPr>
        <w:tabs>
          <w:tab w:val="clear" w:pos="567"/>
        </w:tabs>
        <w:spacing w:line="240" w:lineRule="auto"/>
        <w:ind w:left="720" w:hanging="720"/>
      </w:pPr>
    </w:p>
    <w:p w14:paraId="5085CB0C" w14:textId="77777777" w:rsidR="00663784" w:rsidRPr="002E5713" w:rsidRDefault="00663784" w:rsidP="00663784">
      <w:pPr>
        <w:tabs>
          <w:tab w:val="clear" w:pos="567"/>
        </w:tabs>
        <w:spacing w:line="240" w:lineRule="auto"/>
        <w:ind w:left="720" w:hanging="720"/>
      </w:pPr>
    </w:p>
    <w:p w14:paraId="37CB662C" w14:textId="77777777" w:rsidR="00663784" w:rsidRPr="002E571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5.</w:t>
      </w:r>
      <w:r w:rsidRPr="002E5713">
        <w:rPr>
          <w:b/>
          <w:bCs/>
        </w:rPr>
        <w:tab/>
        <w:t>METHOD AND ROUTE(S) OF ADMINISTRATION</w:t>
      </w:r>
    </w:p>
    <w:p w14:paraId="111B8585" w14:textId="77777777" w:rsidR="00663784" w:rsidRPr="002E5713" w:rsidRDefault="00663784" w:rsidP="00663784">
      <w:pPr>
        <w:suppressLineNumbers/>
        <w:tabs>
          <w:tab w:val="clear" w:pos="567"/>
        </w:tabs>
        <w:spacing w:line="240" w:lineRule="auto"/>
        <w:ind w:left="720" w:hanging="720"/>
      </w:pPr>
    </w:p>
    <w:p w14:paraId="67DE097E" w14:textId="77777777" w:rsidR="00663784" w:rsidRPr="002E5713" w:rsidRDefault="005A3D7D" w:rsidP="00663784">
      <w:pPr>
        <w:suppressLineNumbers/>
        <w:tabs>
          <w:tab w:val="clear" w:pos="567"/>
        </w:tabs>
        <w:spacing w:line="240" w:lineRule="auto"/>
        <w:ind w:left="720" w:hanging="720"/>
      </w:pPr>
      <w:r w:rsidRPr="002E5713">
        <w:t>Read the package leaflet before use.</w:t>
      </w:r>
    </w:p>
    <w:p w14:paraId="4C1F203B" w14:textId="77777777" w:rsidR="00663784" w:rsidRPr="002E5713" w:rsidRDefault="00663784" w:rsidP="00663784">
      <w:pPr>
        <w:suppressLineNumbers/>
        <w:tabs>
          <w:tab w:val="clear" w:pos="567"/>
        </w:tabs>
        <w:spacing w:line="240" w:lineRule="auto"/>
        <w:ind w:left="720" w:hanging="720"/>
      </w:pPr>
    </w:p>
    <w:p w14:paraId="61246221" w14:textId="77777777" w:rsidR="00663784" w:rsidRPr="002E5713" w:rsidRDefault="005A3D7D" w:rsidP="00663784">
      <w:pPr>
        <w:tabs>
          <w:tab w:val="clear" w:pos="567"/>
        </w:tabs>
        <w:spacing w:line="240" w:lineRule="auto"/>
        <w:ind w:left="720" w:hanging="720"/>
      </w:pPr>
      <w:r w:rsidRPr="002E5713">
        <w:t xml:space="preserve">Oral use </w:t>
      </w:r>
    </w:p>
    <w:p w14:paraId="4BD57F01" w14:textId="77777777" w:rsidR="00663784" w:rsidRPr="002E5713" w:rsidRDefault="00663784" w:rsidP="00663784">
      <w:pPr>
        <w:suppressLineNumbers/>
        <w:tabs>
          <w:tab w:val="clear" w:pos="567"/>
        </w:tabs>
        <w:autoSpaceDE w:val="0"/>
        <w:autoSpaceDN w:val="0"/>
        <w:adjustRightInd w:val="0"/>
        <w:spacing w:line="240" w:lineRule="auto"/>
        <w:ind w:left="720" w:hanging="720"/>
      </w:pPr>
    </w:p>
    <w:p w14:paraId="58761C3C" w14:textId="77777777" w:rsidR="00663784" w:rsidRDefault="005A3D7D" w:rsidP="00663784">
      <w:pPr>
        <w:suppressLineNumbers/>
        <w:tabs>
          <w:tab w:val="clear" w:pos="567"/>
        </w:tabs>
        <w:autoSpaceDE w:val="0"/>
        <w:autoSpaceDN w:val="0"/>
        <w:adjustRightInd w:val="0"/>
        <w:spacing w:line="240" w:lineRule="auto"/>
        <w:ind w:left="720" w:hanging="720"/>
        <w:rPr>
          <w:b/>
          <w:bCs/>
          <w:lang w:val="en-US"/>
        </w:rPr>
      </w:pPr>
      <w:r>
        <w:rPr>
          <w:b/>
          <w:bCs/>
          <w:lang w:val="en-US"/>
        </w:rPr>
        <w:t>Instructions for use</w:t>
      </w:r>
    </w:p>
    <w:p w14:paraId="4625FF97" w14:textId="77777777" w:rsidR="00663784" w:rsidRPr="002E5713" w:rsidRDefault="00663784" w:rsidP="00663784">
      <w:pPr>
        <w:suppressLineNumbers/>
        <w:tabs>
          <w:tab w:val="clear" w:pos="567"/>
        </w:tabs>
        <w:autoSpaceDE w:val="0"/>
        <w:autoSpaceDN w:val="0"/>
        <w:adjustRightInd w:val="0"/>
        <w:spacing w:line="240" w:lineRule="auto"/>
        <w:ind w:left="720" w:hanging="720"/>
      </w:pPr>
    </w:p>
    <w:p w14:paraId="3ACB1CDF" w14:textId="77777777" w:rsidR="00663784" w:rsidRPr="002E5713" w:rsidRDefault="005A3D7D" w:rsidP="00663784">
      <w:pPr>
        <w:suppressLineNumbers/>
        <w:tabs>
          <w:tab w:val="clear" w:pos="567"/>
        </w:tabs>
        <w:autoSpaceDE w:val="0"/>
        <w:autoSpaceDN w:val="0"/>
        <w:adjustRightInd w:val="0"/>
        <w:spacing w:line="240" w:lineRule="auto"/>
        <w:ind w:left="720" w:hanging="720"/>
      </w:pPr>
      <w:r w:rsidRPr="002E5713">
        <w:t>Always take this medicine exactly as your doctor has told you to.</w:t>
      </w:r>
    </w:p>
    <w:p w14:paraId="1D1F68C3" w14:textId="77777777" w:rsidR="00663784" w:rsidRPr="002E5713" w:rsidRDefault="00663784" w:rsidP="00663784">
      <w:pPr>
        <w:suppressLineNumbers/>
        <w:tabs>
          <w:tab w:val="clear" w:pos="567"/>
        </w:tabs>
        <w:autoSpaceDE w:val="0"/>
        <w:autoSpaceDN w:val="0"/>
        <w:adjustRightInd w:val="0"/>
        <w:spacing w:line="240" w:lineRule="auto"/>
        <w:ind w:left="720" w:hanging="720"/>
      </w:pPr>
    </w:p>
    <w:p w14:paraId="5902BAD5" w14:textId="77777777" w:rsidR="00663784" w:rsidRPr="002E5713" w:rsidRDefault="005A3D7D" w:rsidP="00663784">
      <w:pPr>
        <w:suppressLineNumbers/>
        <w:tabs>
          <w:tab w:val="clear" w:pos="567"/>
        </w:tabs>
        <w:autoSpaceDE w:val="0"/>
        <w:autoSpaceDN w:val="0"/>
        <w:adjustRightInd w:val="0"/>
        <w:spacing w:line="240" w:lineRule="auto"/>
        <w:ind w:left="720" w:hanging="720"/>
        <w:rPr>
          <w:lang w:val="en-US"/>
        </w:rPr>
      </w:pPr>
      <w:r w:rsidRPr="002E5713">
        <w:rPr>
          <w:lang w:val="en-US"/>
        </w:rPr>
        <w:t>Take with fat-containing food.</w:t>
      </w:r>
    </w:p>
    <w:p w14:paraId="58C66DD8" w14:textId="77777777" w:rsidR="00663784" w:rsidRPr="002E5713" w:rsidRDefault="00663784" w:rsidP="00663784">
      <w:pPr>
        <w:suppressLineNumbers/>
        <w:tabs>
          <w:tab w:val="clear" w:pos="567"/>
        </w:tabs>
        <w:autoSpaceDE w:val="0"/>
        <w:autoSpaceDN w:val="0"/>
        <w:adjustRightInd w:val="0"/>
        <w:spacing w:line="240" w:lineRule="auto"/>
        <w:ind w:left="720" w:hanging="720"/>
      </w:pPr>
    </w:p>
    <w:p w14:paraId="4F70E9F5" w14:textId="77777777" w:rsidR="00663784" w:rsidRPr="002E5713" w:rsidRDefault="005A3D7D" w:rsidP="00663784">
      <w:pPr>
        <w:suppressLineNumbers/>
        <w:tabs>
          <w:tab w:val="clear" w:pos="567"/>
        </w:tabs>
        <w:autoSpaceDE w:val="0"/>
        <w:autoSpaceDN w:val="0"/>
        <w:adjustRightInd w:val="0"/>
        <w:spacing w:line="240" w:lineRule="auto"/>
        <w:ind w:left="720" w:hanging="720"/>
      </w:pPr>
      <w:r w:rsidRPr="002E5713">
        <w:t xml:space="preserve">Do not break, </w:t>
      </w:r>
      <w:r w:rsidRPr="002E5713">
        <w:t>chew or dissolve the tablets.</w:t>
      </w:r>
    </w:p>
    <w:p w14:paraId="39CC4AD3" w14:textId="77777777" w:rsidR="00663784" w:rsidRPr="002E5713" w:rsidRDefault="00663784" w:rsidP="00663784">
      <w:pPr>
        <w:tabs>
          <w:tab w:val="clear" w:pos="567"/>
        </w:tabs>
        <w:spacing w:line="240" w:lineRule="auto"/>
        <w:ind w:left="720" w:hanging="720"/>
        <w:rPr>
          <w:noProof/>
          <w:lang w:val="en-US"/>
        </w:rPr>
      </w:pPr>
    </w:p>
    <w:p w14:paraId="6D5F4CED" w14:textId="77777777" w:rsidR="00663784" w:rsidRPr="002E5713" w:rsidRDefault="005A3D7D" w:rsidP="00663784">
      <w:pPr>
        <w:tabs>
          <w:tab w:val="clear" w:pos="567"/>
        </w:tabs>
        <w:spacing w:line="240" w:lineRule="auto"/>
        <w:ind w:left="720" w:hanging="720"/>
        <w:rPr>
          <w:noProof/>
          <w:lang w:val="en-US"/>
        </w:rPr>
      </w:pPr>
      <w:r w:rsidRPr="002E5713">
        <w:rPr>
          <w:noProof/>
          <w:lang w:val="en-US"/>
        </w:rPr>
        <w:t>Insert tab below to close</w:t>
      </w:r>
    </w:p>
    <w:p w14:paraId="7C171CDA" w14:textId="77777777" w:rsidR="00663784" w:rsidRPr="002E5713" w:rsidRDefault="00663784" w:rsidP="00663784">
      <w:pPr>
        <w:tabs>
          <w:tab w:val="clear" w:pos="567"/>
        </w:tabs>
        <w:spacing w:line="240" w:lineRule="auto"/>
        <w:ind w:left="720" w:hanging="720"/>
        <w:rPr>
          <w:noProof/>
          <w:lang w:val="en-US"/>
        </w:rPr>
      </w:pPr>
    </w:p>
    <w:p w14:paraId="1DBAC1AC" w14:textId="77777777" w:rsidR="00663784" w:rsidRPr="002E5713" w:rsidRDefault="005A3D7D" w:rsidP="00663784">
      <w:pPr>
        <w:tabs>
          <w:tab w:val="clear" w:pos="567"/>
        </w:tabs>
        <w:spacing w:line="240" w:lineRule="auto"/>
        <w:ind w:left="720" w:hanging="720"/>
        <w:rPr>
          <w:noProof/>
          <w:lang w:val="en-US"/>
        </w:rPr>
      </w:pPr>
      <w:r w:rsidRPr="002E5713">
        <w:rPr>
          <w:noProof/>
          <w:lang w:val="en-US"/>
        </w:rPr>
        <w:t>Open</w:t>
      </w:r>
    </w:p>
    <w:p w14:paraId="20A49B4F" w14:textId="77777777" w:rsidR="00663784" w:rsidRPr="002E5713" w:rsidRDefault="00663784" w:rsidP="00663784">
      <w:pPr>
        <w:tabs>
          <w:tab w:val="clear" w:pos="567"/>
        </w:tabs>
        <w:spacing w:line="240" w:lineRule="auto"/>
        <w:ind w:left="720" w:hanging="720"/>
        <w:rPr>
          <w:noProof/>
          <w:lang w:val="en-US"/>
        </w:rPr>
      </w:pPr>
    </w:p>
    <w:p w14:paraId="65E6E589" w14:textId="77777777" w:rsidR="00663784" w:rsidRPr="002E5713" w:rsidRDefault="00663784" w:rsidP="00663784">
      <w:pPr>
        <w:tabs>
          <w:tab w:val="clear" w:pos="567"/>
        </w:tabs>
        <w:spacing w:line="240" w:lineRule="auto"/>
        <w:ind w:left="720" w:hanging="720"/>
      </w:pPr>
    </w:p>
    <w:p w14:paraId="6600AFAE" w14:textId="77777777" w:rsidR="00663784" w:rsidRPr="002E571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6.</w:t>
      </w:r>
      <w:r w:rsidRPr="002E5713">
        <w:rPr>
          <w:b/>
          <w:bCs/>
        </w:rPr>
        <w:tab/>
        <w:t>SPECIAL WARNING THAT THE MEDICINAL PRODUCT MUST BE STORED OUT OF THE SIGHT AND REACH OF CHILDREN</w:t>
      </w:r>
    </w:p>
    <w:p w14:paraId="43608A2A" w14:textId="77777777" w:rsidR="00663784" w:rsidRPr="002E5713" w:rsidRDefault="00663784" w:rsidP="00663784">
      <w:pPr>
        <w:suppressLineNumbers/>
        <w:tabs>
          <w:tab w:val="clear" w:pos="567"/>
        </w:tabs>
        <w:spacing w:line="240" w:lineRule="auto"/>
        <w:ind w:left="720" w:hanging="720"/>
      </w:pPr>
    </w:p>
    <w:p w14:paraId="69A152EF" w14:textId="77777777" w:rsidR="00663784" w:rsidRPr="002E5713" w:rsidRDefault="005A3D7D" w:rsidP="00663784">
      <w:pPr>
        <w:suppressLineNumbers/>
        <w:tabs>
          <w:tab w:val="clear" w:pos="567"/>
        </w:tabs>
        <w:spacing w:line="240" w:lineRule="auto"/>
        <w:ind w:left="720" w:hanging="720"/>
        <w:outlineLvl w:val="0"/>
      </w:pPr>
      <w:r w:rsidRPr="002E5713">
        <w:t>Keep out of the sight and reach of children.</w:t>
      </w:r>
    </w:p>
    <w:p w14:paraId="6CF78751" w14:textId="77777777" w:rsidR="00663784" w:rsidRPr="002E5713" w:rsidRDefault="00663784" w:rsidP="00663784">
      <w:pPr>
        <w:tabs>
          <w:tab w:val="clear" w:pos="567"/>
        </w:tabs>
        <w:spacing w:line="240" w:lineRule="auto"/>
        <w:ind w:left="720" w:hanging="720"/>
      </w:pPr>
    </w:p>
    <w:p w14:paraId="6F0F2F3A" w14:textId="77777777" w:rsidR="00663784" w:rsidRPr="002E5713" w:rsidRDefault="00663784" w:rsidP="00663784">
      <w:pPr>
        <w:tabs>
          <w:tab w:val="clear" w:pos="567"/>
        </w:tabs>
        <w:spacing w:line="240" w:lineRule="auto"/>
        <w:ind w:left="720" w:hanging="720"/>
      </w:pPr>
    </w:p>
    <w:p w14:paraId="3493A734" w14:textId="77777777" w:rsidR="00663784" w:rsidRPr="002E571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7.</w:t>
      </w:r>
      <w:r w:rsidRPr="002E5713">
        <w:rPr>
          <w:b/>
          <w:bCs/>
        </w:rPr>
        <w:tab/>
        <w:t xml:space="preserve">OTHER SPECIAL WARNING(S), IF </w:t>
      </w:r>
      <w:r w:rsidRPr="002E5713">
        <w:rPr>
          <w:b/>
          <w:bCs/>
        </w:rPr>
        <w:t>NECESSARY</w:t>
      </w:r>
    </w:p>
    <w:p w14:paraId="1F82355B" w14:textId="77777777" w:rsidR="00663784" w:rsidRPr="002E5713" w:rsidRDefault="00663784" w:rsidP="00663784">
      <w:pPr>
        <w:tabs>
          <w:tab w:val="clear" w:pos="567"/>
        </w:tabs>
        <w:spacing w:line="240" w:lineRule="auto"/>
        <w:ind w:left="720" w:hanging="720"/>
      </w:pPr>
    </w:p>
    <w:p w14:paraId="6145B820" w14:textId="77777777" w:rsidR="00663784" w:rsidRPr="002E5713" w:rsidRDefault="00663784" w:rsidP="00663784">
      <w:pPr>
        <w:tabs>
          <w:tab w:val="clear" w:pos="567"/>
        </w:tabs>
        <w:spacing w:line="240" w:lineRule="auto"/>
        <w:ind w:left="720" w:hanging="720"/>
      </w:pPr>
    </w:p>
    <w:p w14:paraId="4AB59C2F" w14:textId="77777777" w:rsidR="00663784" w:rsidRPr="002E5713" w:rsidRDefault="005A3D7D"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8.</w:t>
      </w:r>
      <w:r w:rsidRPr="002E5713">
        <w:rPr>
          <w:b/>
          <w:bCs/>
        </w:rPr>
        <w:tab/>
        <w:t>EXPIRY DATE</w:t>
      </w:r>
    </w:p>
    <w:p w14:paraId="34359AE1" w14:textId="77777777" w:rsidR="00663784" w:rsidRPr="002E5713" w:rsidRDefault="00663784" w:rsidP="00663784">
      <w:pPr>
        <w:keepNext/>
        <w:suppressLineNumbers/>
        <w:tabs>
          <w:tab w:val="clear" w:pos="567"/>
        </w:tabs>
        <w:spacing w:line="240" w:lineRule="auto"/>
        <w:ind w:left="720" w:hanging="720"/>
      </w:pPr>
    </w:p>
    <w:p w14:paraId="0783817C" w14:textId="77777777" w:rsidR="00663784" w:rsidRPr="002E5713" w:rsidRDefault="005A3D7D" w:rsidP="00663784">
      <w:pPr>
        <w:suppressLineNumbers/>
        <w:tabs>
          <w:tab w:val="clear" w:pos="567"/>
        </w:tabs>
        <w:spacing w:line="240" w:lineRule="auto"/>
        <w:ind w:left="720" w:hanging="720"/>
      </w:pPr>
      <w:r w:rsidRPr="002E5713">
        <w:t>EXP</w:t>
      </w:r>
    </w:p>
    <w:p w14:paraId="5B0B1A0F" w14:textId="77777777" w:rsidR="00663784" w:rsidRPr="002E5713" w:rsidRDefault="00663784" w:rsidP="00663784">
      <w:pPr>
        <w:tabs>
          <w:tab w:val="clear" w:pos="567"/>
        </w:tabs>
        <w:spacing w:line="240" w:lineRule="auto"/>
        <w:ind w:left="720" w:hanging="720"/>
      </w:pPr>
    </w:p>
    <w:p w14:paraId="53F38B23" w14:textId="77777777" w:rsidR="00663784" w:rsidRPr="002E5713" w:rsidRDefault="00663784" w:rsidP="00663784">
      <w:pPr>
        <w:tabs>
          <w:tab w:val="clear" w:pos="567"/>
        </w:tabs>
        <w:spacing w:line="240" w:lineRule="auto"/>
        <w:ind w:left="720" w:hanging="720"/>
      </w:pPr>
    </w:p>
    <w:p w14:paraId="412DA7D0" w14:textId="77777777" w:rsidR="00663784" w:rsidRPr="002E5713" w:rsidRDefault="005A3D7D" w:rsidP="00663784">
      <w:pPr>
        <w:keepNext/>
        <w:keepLines/>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9.</w:t>
      </w:r>
      <w:r w:rsidRPr="002E5713">
        <w:rPr>
          <w:b/>
          <w:bCs/>
        </w:rPr>
        <w:tab/>
        <w:t>SPECIAL STORAGE CONDITIONS</w:t>
      </w:r>
    </w:p>
    <w:p w14:paraId="0F8BB833" w14:textId="77777777" w:rsidR="00663784" w:rsidRPr="002E5713" w:rsidRDefault="00663784" w:rsidP="00663784">
      <w:pPr>
        <w:tabs>
          <w:tab w:val="clear" w:pos="567"/>
        </w:tabs>
        <w:spacing w:line="240" w:lineRule="auto"/>
        <w:ind w:left="720" w:hanging="720"/>
      </w:pPr>
    </w:p>
    <w:p w14:paraId="7E2623A3" w14:textId="77777777" w:rsidR="00663784" w:rsidRPr="002E5713" w:rsidRDefault="00663784" w:rsidP="00663784">
      <w:pPr>
        <w:tabs>
          <w:tab w:val="clear" w:pos="567"/>
        </w:tabs>
        <w:spacing w:line="240" w:lineRule="auto"/>
        <w:ind w:left="720" w:hanging="720"/>
      </w:pPr>
    </w:p>
    <w:p w14:paraId="18321D60" w14:textId="77777777" w:rsidR="00663784" w:rsidRPr="002E571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2E5713">
        <w:rPr>
          <w:b/>
          <w:bCs/>
        </w:rPr>
        <w:t>10.</w:t>
      </w:r>
      <w:r w:rsidRPr="002E5713">
        <w:rPr>
          <w:b/>
          <w:bCs/>
        </w:rPr>
        <w:tab/>
        <w:t>SPECIAL PRECAUTIONS FOR DISPOSAL OF UNUSED MEDICINAL PRODUCTS OR WASTE MATERIALS DERIVED FROM SUCH MEDICINAL PRODUCTS, IF APPROPRIATE</w:t>
      </w:r>
    </w:p>
    <w:p w14:paraId="559DBAC6" w14:textId="77777777" w:rsidR="00663784" w:rsidRPr="002E5713" w:rsidRDefault="00663784" w:rsidP="00663784">
      <w:pPr>
        <w:suppressLineNumbers/>
        <w:tabs>
          <w:tab w:val="clear" w:pos="567"/>
        </w:tabs>
        <w:spacing w:line="240" w:lineRule="auto"/>
        <w:ind w:left="720" w:hanging="720"/>
      </w:pPr>
    </w:p>
    <w:p w14:paraId="1F132209" w14:textId="77777777" w:rsidR="00663784" w:rsidRPr="002E5713" w:rsidRDefault="00663784" w:rsidP="00663784">
      <w:pPr>
        <w:suppressLineNumbers/>
        <w:tabs>
          <w:tab w:val="clear" w:pos="567"/>
        </w:tabs>
        <w:spacing w:line="240" w:lineRule="auto"/>
        <w:ind w:left="720" w:hanging="720"/>
      </w:pPr>
    </w:p>
    <w:p w14:paraId="3C0D8085" w14:textId="77777777" w:rsidR="00663784" w:rsidRPr="002E571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2E5713">
        <w:rPr>
          <w:b/>
          <w:bCs/>
        </w:rPr>
        <w:t>11.</w:t>
      </w:r>
      <w:r w:rsidRPr="002E5713">
        <w:rPr>
          <w:b/>
          <w:bCs/>
        </w:rPr>
        <w:tab/>
        <w:t xml:space="preserve">NAME AND ADDRESS OF THE MARKETING </w:t>
      </w:r>
      <w:r w:rsidRPr="002E5713">
        <w:rPr>
          <w:b/>
          <w:bCs/>
        </w:rPr>
        <w:t>AUTHORISATION HOLDER</w:t>
      </w:r>
    </w:p>
    <w:p w14:paraId="6D085291" w14:textId="77777777" w:rsidR="00663784" w:rsidRPr="002E5713" w:rsidRDefault="00663784" w:rsidP="00663784">
      <w:pPr>
        <w:suppressLineNumbers/>
        <w:tabs>
          <w:tab w:val="clear" w:pos="567"/>
        </w:tabs>
        <w:spacing w:line="240" w:lineRule="auto"/>
        <w:ind w:left="720" w:hanging="720"/>
      </w:pPr>
    </w:p>
    <w:p w14:paraId="73548639" w14:textId="77777777" w:rsidR="00663784" w:rsidRPr="00420287" w:rsidRDefault="005A3D7D" w:rsidP="00663784">
      <w:pPr>
        <w:rPr>
          <w:iCs/>
        </w:rPr>
      </w:pPr>
      <w:r w:rsidRPr="00420287">
        <w:rPr>
          <w:iCs/>
        </w:rPr>
        <w:t>Vertex Pharmaceuticals (Ireland) Limited</w:t>
      </w:r>
    </w:p>
    <w:p w14:paraId="0CAE3B29" w14:textId="77777777" w:rsidR="00663784" w:rsidRPr="00420287" w:rsidRDefault="005A3D7D" w:rsidP="00663784">
      <w:pPr>
        <w:rPr>
          <w:iCs/>
        </w:rPr>
      </w:pPr>
      <w:r w:rsidRPr="00420287">
        <w:rPr>
          <w:iCs/>
        </w:rPr>
        <w:t>28-32 Pembroke Street Upper</w:t>
      </w:r>
    </w:p>
    <w:p w14:paraId="13205084" w14:textId="77777777" w:rsidR="00663784" w:rsidRPr="00420287" w:rsidRDefault="005A3D7D" w:rsidP="00663784">
      <w:pPr>
        <w:rPr>
          <w:iCs/>
        </w:rPr>
      </w:pPr>
      <w:r w:rsidRPr="00420287">
        <w:rPr>
          <w:iCs/>
        </w:rPr>
        <w:t>Dublin 2</w:t>
      </w:r>
      <w:r>
        <w:rPr>
          <w:iCs/>
        </w:rPr>
        <w:t xml:space="preserve">, </w:t>
      </w:r>
      <w:r w:rsidRPr="00420287">
        <w:rPr>
          <w:iCs/>
        </w:rPr>
        <w:t>D02 EK84</w:t>
      </w:r>
    </w:p>
    <w:p w14:paraId="59BD8968" w14:textId="77777777" w:rsidR="00663784" w:rsidRDefault="005A3D7D" w:rsidP="00663784">
      <w:pPr>
        <w:pStyle w:val="NormalIndent"/>
        <w:spacing w:after="0"/>
        <w:ind w:hanging="720"/>
        <w:rPr>
          <w:iCs/>
        </w:rPr>
      </w:pPr>
      <w:r w:rsidRPr="00420287">
        <w:rPr>
          <w:iCs/>
        </w:rPr>
        <w:t>Ireland</w:t>
      </w:r>
    </w:p>
    <w:p w14:paraId="574D3020" w14:textId="77777777" w:rsidR="00663784" w:rsidRPr="002E5713" w:rsidRDefault="00663784" w:rsidP="00663784">
      <w:pPr>
        <w:pStyle w:val="NormalIndent"/>
        <w:spacing w:after="0"/>
        <w:ind w:hanging="720"/>
      </w:pPr>
    </w:p>
    <w:p w14:paraId="473C1131" w14:textId="77777777" w:rsidR="00663784" w:rsidRPr="002E5713" w:rsidRDefault="00663784" w:rsidP="00663784">
      <w:pPr>
        <w:pStyle w:val="NormalIndent"/>
        <w:spacing w:after="0"/>
        <w:ind w:hanging="720"/>
      </w:pPr>
    </w:p>
    <w:p w14:paraId="666C6F46" w14:textId="77777777" w:rsidR="00663784" w:rsidRPr="002E571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12.</w:t>
      </w:r>
      <w:r w:rsidRPr="002E5713">
        <w:rPr>
          <w:b/>
          <w:bCs/>
        </w:rPr>
        <w:tab/>
        <w:t>MA</w:t>
      </w:r>
      <w:r>
        <w:rPr>
          <w:b/>
          <w:bCs/>
        </w:rPr>
        <w:t>RKETING AUTHORISATION NUMBER(S)</w:t>
      </w:r>
    </w:p>
    <w:p w14:paraId="68F5AE8A" w14:textId="77777777" w:rsidR="00663784" w:rsidRPr="002E5713" w:rsidRDefault="00663784" w:rsidP="00663784">
      <w:pPr>
        <w:suppressLineNumbers/>
        <w:tabs>
          <w:tab w:val="clear" w:pos="567"/>
        </w:tabs>
        <w:spacing w:line="240" w:lineRule="auto"/>
        <w:ind w:left="720" w:hanging="720"/>
      </w:pPr>
    </w:p>
    <w:p w14:paraId="3435C35E" w14:textId="77777777" w:rsidR="00663784" w:rsidRPr="002E5713" w:rsidRDefault="005A3D7D" w:rsidP="00663784">
      <w:pPr>
        <w:tabs>
          <w:tab w:val="clear" w:pos="567"/>
        </w:tabs>
        <w:spacing w:line="240" w:lineRule="auto"/>
        <w:ind w:left="720" w:hanging="720"/>
      </w:pPr>
      <w:r w:rsidRPr="002E5713">
        <w:t>EU/1/12/782/005</w:t>
      </w:r>
    </w:p>
    <w:p w14:paraId="0D94C1D2" w14:textId="77777777" w:rsidR="00663784" w:rsidRPr="002E5713" w:rsidRDefault="00663784" w:rsidP="00663784">
      <w:pPr>
        <w:suppressLineNumbers/>
        <w:tabs>
          <w:tab w:val="clear" w:pos="567"/>
        </w:tabs>
        <w:spacing w:line="240" w:lineRule="auto"/>
        <w:ind w:left="720" w:hanging="720"/>
      </w:pPr>
    </w:p>
    <w:p w14:paraId="1EDC5282" w14:textId="77777777" w:rsidR="00663784" w:rsidRPr="002E5713" w:rsidRDefault="00663784" w:rsidP="00663784">
      <w:pPr>
        <w:suppressLineNumbers/>
        <w:tabs>
          <w:tab w:val="clear" w:pos="567"/>
        </w:tabs>
        <w:spacing w:line="240" w:lineRule="auto"/>
        <w:ind w:left="720" w:hanging="720"/>
      </w:pPr>
    </w:p>
    <w:p w14:paraId="05560811" w14:textId="77777777" w:rsidR="00663784" w:rsidRPr="002E571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13.</w:t>
      </w:r>
      <w:r w:rsidRPr="002E5713">
        <w:rPr>
          <w:b/>
          <w:bCs/>
        </w:rPr>
        <w:tab/>
        <w:t>BATCH NUMBER</w:t>
      </w:r>
    </w:p>
    <w:p w14:paraId="5080288D" w14:textId="77777777" w:rsidR="00663784" w:rsidRPr="002E5713" w:rsidRDefault="00663784" w:rsidP="00663784">
      <w:pPr>
        <w:suppressLineNumbers/>
        <w:tabs>
          <w:tab w:val="clear" w:pos="567"/>
        </w:tabs>
        <w:spacing w:line="240" w:lineRule="auto"/>
        <w:ind w:left="720" w:hanging="720"/>
        <w:rPr>
          <w:i/>
          <w:iCs/>
        </w:rPr>
      </w:pPr>
    </w:p>
    <w:p w14:paraId="5FA081C9" w14:textId="77777777" w:rsidR="00663784" w:rsidRPr="002E5713" w:rsidRDefault="005A3D7D" w:rsidP="00663784">
      <w:pPr>
        <w:suppressLineNumbers/>
        <w:tabs>
          <w:tab w:val="clear" w:pos="567"/>
        </w:tabs>
        <w:spacing w:line="240" w:lineRule="auto"/>
        <w:ind w:left="720" w:hanging="720"/>
      </w:pPr>
      <w:r w:rsidRPr="002E5713">
        <w:t>Lot</w:t>
      </w:r>
    </w:p>
    <w:p w14:paraId="2B9FF0AF" w14:textId="77777777" w:rsidR="00663784" w:rsidRPr="002E5713" w:rsidRDefault="00663784" w:rsidP="00663784">
      <w:pPr>
        <w:suppressLineNumbers/>
        <w:tabs>
          <w:tab w:val="clear" w:pos="567"/>
        </w:tabs>
        <w:spacing w:line="240" w:lineRule="auto"/>
        <w:ind w:left="720" w:hanging="720"/>
      </w:pPr>
    </w:p>
    <w:p w14:paraId="31E13C4C" w14:textId="77777777" w:rsidR="00663784" w:rsidRPr="002E5713" w:rsidRDefault="00663784" w:rsidP="00663784">
      <w:pPr>
        <w:suppressLineNumbers/>
        <w:tabs>
          <w:tab w:val="clear" w:pos="567"/>
        </w:tabs>
        <w:spacing w:line="240" w:lineRule="auto"/>
        <w:ind w:left="720" w:hanging="720"/>
      </w:pPr>
    </w:p>
    <w:p w14:paraId="28D2F778" w14:textId="77777777" w:rsidR="00663784" w:rsidRPr="002E571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14.</w:t>
      </w:r>
      <w:r w:rsidRPr="002E5713">
        <w:rPr>
          <w:b/>
          <w:bCs/>
        </w:rPr>
        <w:tab/>
        <w:t>GENERAL CLASSIFICATION FOR SUPPLY</w:t>
      </w:r>
    </w:p>
    <w:p w14:paraId="406C717D" w14:textId="77777777" w:rsidR="00663784" w:rsidRPr="002E5713" w:rsidRDefault="00663784" w:rsidP="00663784">
      <w:pPr>
        <w:suppressLineNumbers/>
        <w:tabs>
          <w:tab w:val="clear" w:pos="567"/>
        </w:tabs>
        <w:spacing w:line="240" w:lineRule="auto"/>
        <w:ind w:left="720" w:hanging="720"/>
      </w:pPr>
    </w:p>
    <w:p w14:paraId="1B4A9969" w14:textId="77777777" w:rsidR="00663784" w:rsidRPr="002E5713" w:rsidRDefault="00663784" w:rsidP="00663784">
      <w:pPr>
        <w:suppressLineNumbers/>
        <w:tabs>
          <w:tab w:val="clear" w:pos="567"/>
        </w:tabs>
        <w:spacing w:line="240" w:lineRule="auto"/>
        <w:ind w:left="720" w:hanging="720"/>
      </w:pPr>
    </w:p>
    <w:p w14:paraId="17EC122F" w14:textId="77777777" w:rsidR="00663784" w:rsidRPr="002E5713" w:rsidRDefault="005A3D7D"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2E5713">
        <w:rPr>
          <w:b/>
          <w:bCs/>
        </w:rPr>
        <w:t>15.</w:t>
      </w:r>
      <w:r w:rsidRPr="002E5713">
        <w:rPr>
          <w:b/>
          <w:bCs/>
        </w:rPr>
        <w:tab/>
      </w:r>
      <w:r w:rsidRPr="002E5713">
        <w:rPr>
          <w:b/>
          <w:bCs/>
        </w:rPr>
        <w:t>INSTRUCTIONS ON USE</w:t>
      </w:r>
    </w:p>
    <w:p w14:paraId="56826206" w14:textId="77777777" w:rsidR="00663784" w:rsidRPr="002E5713" w:rsidRDefault="00663784" w:rsidP="00663784">
      <w:pPr>
        <w:suppressLineNumbers/>
        <w:tabs>
          <w:tab w:val="clear" w:pos="567"/>
        </w:tabs>
        <w:spacing w:line="240" w:lineRule="auto"/>
        <w:ind w:left="720" w:hanging="720"/>
      </w:pPr>
    </w:p>
    <w:p w14:paraId="62F76EEC" w14:textId="77777777" w:rsidR="00663784" w:rsidRPr="002E5713" w:rsidRDefault="00663784" w:rsidP="00663784">
      <w:pPr>
        <w:suppressLineNumbers/>
        <w:tabs>
          <w:tab w:val="clear" w:pos="567"/>
        </w:tabs>
        <w:spacing w:line="240" w:lineRule="auto"/>
        <w:ind w:left="720" w:hanging="720"/>
      </w:pPr>
    </w:p>
    <w:p w14:paraId="49673F68" w14:textId="77777777" w:rsidR="00663784" w:rsidRPr="002E5713"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color w:val="000000" w:themeColor="text1"/>
          <w:sz w:val="22"/>
          <w:szCs w:val="22"/>
        </w:rPr>
      </w:pPr>
      <w:r w:rsidRPr="002E5713">
        <w:rPr>
          <w:color w:val="000000" w:themeColor="text1"/>
          <w:sz w:val="22"/>
          <w:szCs w:val="22"/>
        </w:rPr>
        <w:t>16.</w:t>
      </w:r>
      <w:r w:rsidRPr="002E5713">
        <w:rPr>
          <w:color w:val="000000" w:themeColor="text1"/>
          <w:sz w:val="22"/>
          <w:szCs w:val="22"/>
        </w:rPr>
        <w:tab/>
        <w:t>INFORMATION IN BRAILLE</w:t>
      </w:r>
    </w:p>
    <w:p w14:paraId="18F8534C" w14:textId="77777777" w:rsidR="00663784" w:rsidRPr="002E5713" w:rsidRDefault="00663784" w:rsidP="00663784">
      <w:pPr>
        <w:suppressLineNumbers/>
        <w:tabs>
          <w:tab w:val="clear" w:pos="567"/>
        </w:tabs>
        <w:spacing w:line="240" w:lineRule="auto"/>
        <w:ind w:left="720" w:hanging="720"/>
        <w:rPr>
          <w:shd w:val="clear" w:color="auto" w:fill="CCCCCC"/>
        </w:rPr>
      </w:pPr>
    </w:p>
    <w:p w14:paraId="09A04E46" w14:textId="77777777" w:rsidR="00663784" w:rsidRPr="002E5713" w:rsidRDefault="005A3D7D" w:rsidP="00663784">
      <w:pPr>
        <w:suppressLineNumbers/>
        <w:tabs>
          <w:tab w:val="clear" w:pos="567"/>
        </w:tabs>
        <w:spacing w:line="240" w:lineRule="auto"/>
        <w:ind w:left="720" w:hanging="720"/>
      </w:pPr>
      <w:r w:rsidRPr="002E5713">
        <w:t>Kalydeco 150 mg tablets</w:t>
      </w:r>
    </w:p>
    <w:p w14:paraId="65E787BA" w14:textId="77777777" w:rsidR="00663784" w:rsidRPr="002E5713" w:rsidRDefault="00663784" w:rsidP="00663784">
      <w:pPr>
        <w:suppressLineNumbers/>
        <w:tabs>
          <w:tab w:val="clear" w:pos="567"/>
        </w:tabs>
        <w:spacing w:line="240" w:lineRule="auto"/>
        <w:ind w:left="720" w:hanging="720"/>
      </w:pPr>
    </w:p>
    <w:p w14:paraId="7E4EE287" w14:textId="77777777" w:rsidR="00663784" w:rsidRPr="002E5713" w:rsidRDefault="00663784" w:rsidP="00663784">
      <w:pPr>
        <w:suppressLineNumbers/>
        <w:tabs>
          <w:tab w:val="clear" w:pos="567"/>
        </w:tabs>
        <w:spacing w:line="240" w:lineRule="auto"/>
        <w:ind w:left="720" w:hanging="720"/>
      </w:pPr>
    </w:p>
    <w:p w14:paraId="33554DD4" w14:textId="77777777" w:rsidR="00663784" w:rsidRPr="002E5713"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2E5713">
        <w:rPr>
          <w:sz w:val="22"/>
          <w:szCs w:val="22"/>
        </w:rPr>
        <w:t>17.</w:t>
      </w:r>
      <w:r w:rsidRPr="002E5713">
        <w:rPr>
          <w:sz w:val="22"/>
          <w:szCs w:val="22"/>
        </w:rPr>
        <w:tab/>
        <w:t>UNIQUE IDENTIFIER – 2D BARCODE</w:t>
      </w:r>
    </w:p>
    <w:p w14:paraId="6A97905C" w14:textId="77777777" w:rsidR="00663784" w:rsidRPr="002E5713" w:rsidRDefault="00663784" w:rsidP="00663784">
      <w:pPr>
        <w:suppressLineNumbers/>
        <w:tabs>
          <w:tab w:val="clear" w:pos="567"/>
        </w:tabs>
        <w:spacing w:line="240" w:lineRule="auto"/>
        <w:ind w:left="720" w:hanging="720"/>
        <w:rPr>
          <w:bCs/>
          <w:lang w:val="en-US"/>
        </w:rPr>
      </w:pPr>
    </w:p>
    <w:p w14:paraId="538A0B2A" w14:textId="77777777" w:rsidR="00663784" w:rsidRPr="002E5713" w:rsidRDefault="005A3D7D" w:rsidP="00663784">
      <w:pPr>
        <w:suppressLineNumbers/>
        <w:tabs>
          <w:tab w:val="clear" w:pos="567"/>
        </w:tabs>
        <w:spacing w:line="240" w:lineRule="auto"/>
        <w:ind w:left="720" w:hanging="720"/>
        <w:rPr>
          <w:color w:val="000000" w:themeColor="text1"/>
        </w:rPr>
      </w:pPr>
      <w:r w:rsidRPr="002E5713">
        <w:rPr>
          <w:color w:val="000000" w:themeColor="text1"/>
          <w:highlight w:val="lightGray"/>
        </w:rPr>
        <w:t>2D barcode carrying the unique identifier included.</w:t>
      </w:r>
    </w:p>
    <w:p w14:paraId="71DB19C1" w14:textId="77777777" w:rsidR="00663784" w:rsidRPr="002E5713" w:rsidRDefault="00663784" w:rsidP="00663784">
      <w:pPr>
        <w:suppressLineNumbers/>
        <w:tabs>
          <w:tab w:val="clear" w:pos="567"/>
        </w:tabs>
        <w:spacing w:line="240" w:lineRule="auto"/>
        <w:ind w:left="720" w:hanging="720"/>
        <w:rPr>
          <w:bCs/>
          <w:color w:val="000000" w:themeColor="text1"/>
          <w:lang w:val="en-US"/>
        </w:rPr>
      </w:pPr>
    </w:p>
    <w:p w14:paraId="7D77F699" w14:textId="77777777" w:rsidR="00663784" w:rsidRPr="00415F35" w:rsidRDefault="00663784" w:rsidP="00663784">
      <w:pPr>
        <w:suppressLineNumbers/>
        <w:tabs>
          <w:tab w:val="clear" w:pos="567"/>
        </w:tabs>
        <w:spacing w:line="240" w:lineRule="auto"/>
        <w:ind w:left="720" w:hanging="720"/>
        <w:rPr>
          <w:bCs/>
          <w:color w:val="000000" w:themeColor="text1"/>
          <w:lang w:val="en-US"/>
        </w:rPr>
      </w:pPr>
    </w:p>
    <w:p w14:paraId="7E3C4496" w14:textId="77777777" w:rsidR="00663784" w:rsidRPr="00415F35"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color w:val="000000" w:themeColor="text1"/>
          <w:sz w:val="22"/>
          <w:szCs w:val="22"/>
        </w:rPr>
      </w:pPr>
      <w:r w:rsidRPr="00415F35">
        <w:rPr>
          <w:color w:val="000000" w:themeColor="text1"/>
          <w:sz w:val="22"/>
          <w:szCs w:val="22"/>
        </w:rPr>
        <w:t>18.</w:t>
      </w:r>
      <w:r w:rsidRPr="00415F35">
        <w:rPr>
          <w:color w:val="000000" w:themeColor="text1"/>
          <w:sz w:val="22"/>
          <w:szCs w:val="22"/>
        </w:rPr>
        <w:tab/>
        <w:t>UNIQUE IDENTIFIER – HUMAN READABLE DATA</w:t>
      </w:r>
    </w:p>
    <w:p w14:paraId="69203C2E" w14:textId="77777777" w:rsidR="00663784" w:rsidRPr="00415F35" w:rsidRDefault="00663784" w:rsidP="00663784">
      <w:pPr>
        <w:suppressLineNumbers/>
        <w:tabs>
          <w:tab w:val="clear" w:pos="567"/>
        </w:tabs>
        <w:spacing w:line="240" w:lineRule="auto"/>
        <w:ind w:left="720" w:hanging="720"/>
        <w:rPr>
          <w:bCs/>
          <w:color w:val="000000" w:themeColor="text1"/>
          <w:lang w:val="en-US"/>
        </w:rPr>
      </w:pPr>
    </w:p>
    <w:p w14:paraId="14B19D23" w14:textId="77777777" w:rsidR="00663784" w:rsidRPr="00415F35" w:rsidRDefault="005A3D7D" w:rsidP="00663784">
      <w:pPr>
        <w:suppressLineNumbers/>
        <w:tabs>
          <w:tab w:val="clear" w:pos="567"/>
        </w:tabs>
        <w:spacing w:line="240" w:lineRule="auto"/>
        <w:ind w:left="720" w:hanging="720"/>
        <w:rPr>
          <w:color w:val="000000" w:themeColor="text1"/>
        </w:rPr>
      </w:pPr>
      <w:r w:rsidRPr="00415F35">
        <w:rPr>
          <w:color w:val="000000" w:themeColor="text1"/>
        </w:rPr>
        <w:t>PC</w:t>
      </w:r>
    </w:p>
    <w:p w14:paraId="7CE5F4D1" w14:textId="77777777" w:rsidR="00663784" w:rsidRPr="00415F35" w:rsidRDefault="005A3D7D" w:rsidP="00663784">
      <w:pPr>
        <w:suppressLineNumbers/>
        <w:tabs>
          <w:tab w:val="clear" w:pos="567"/>
        </w:tabs>
        <w:spacing w:line="240" w:lineRule="auto"/>
        <w:ind w:left="720" w:hanging="720"/>
        <w:rPr>
          <w:color w:val="000000" w:themeColor="text1"/>
        </w:rPr>
      </w:pPr>
      <w:r w:rsidRPr="00415F35">
        <w:rPr>
          <w:color w:val="000000" w:themeColor="text1"/>
        </w:rPr>
        <w:t>SN</w:t>
      </w:r>
    </w:p>
    <w:p w14:paraId="1CEE0378" w14:textId="77777777" w:rsidR="00663784" w:rsidRPr="00415F35" w:rsidRDefault="005A3D7D" w:rsidP="00663784">
      <w:pPr>
        <w:suppressLineNumbers/>
        <w:tabs>
          <w:tab w:val="clear" w:pos="567"/>
        </w:tabs>
        <w:spacing w:line="240" w:lineRule="auto"/>
        <w:ind w:left="720" w:hanging="720"/>
      </w:pPr>
      <w:r w:rsidRPr="00415F35">
        <w:t>NN</w:t>
      </w:r>
    </w:p>
    <w:p w14:paraId="7207CAB6" w14:textId="77777777" w:rsidR="00663784" w:rsidRPr="00FA5083" w:rsidRDefault="005A3D7D" w:rsidP="00663784">
      <w:pPr>
        <w:pStyle w:val="Heading1"/>
        <w:pBdr>
          <w:top w:val="single" w:sz="4" w:space="1" w:color="auto"/>
          <w:left w:val="single" w:sz="4" w:space="4" w:color="auto"/>
          <w:bottom w:val="single" w:sz="4" w:space="1" w:color="auto"/>
          <w:right w:val="single" w:sz="4" w:space="4" w:color="auto"/>
        </w:pBdr>
        <w:tabs>
          <w:tab w:val="clear" w:pos="567"/>
        </w:tabs>
        <w:spacing w:before="0" w:after="0" w:line="240" w:lineRule="auto"/>
        <w:rPr>
          <w:rFonts w:ascii="Times New Roman" w:hAnsi="Times New Roman" w:cs="Times New Roman"/>
          <w:b w:val="0"/>
          <w:color w:val="000000" w:themeColor="text1"/>
          <w:sz w:val="22"/>
          <w:szCs w:val="22"/>
        </w:rPr>
      </w:pPr>
      <w:r w:rsidRPr="00A13523">
        <w:rPr>
          <w:rFonts w:ascii="Times New Roman" w:hAnsi="Times New Roman"/>
          <w:sz w:val="22"/>
          <w:lang w:val="en-US"/>
        </w:rPr>
        <w:br w:type="page"/>
      </w:r>
      <w:r w:rsidRPr="00FA5083">
        <w:rPr>
          <w:rFonts w:ascii="Times New Roman" w:hAnsi="Times New Roman" w:cs="Times New Roman"/>
          <w:caps/>
          <w:color w:val="000000" w:themeColor="text1"/>
          <w:sz w:val="22"/>
          <w:szCs w:val="22"/>
        </w:rPr>
        <w:t xml:space="preserve">PARTICULARS TO APPEAR ON THE </w:t>
      </w:r>
      <w:r w:rsidRPr="00FA5083">
        <w:rPr>
          <w:rFonts w:ascii="Times New Roman" w:hAnsi="Times New Roman" w:cs="Times New Roman"/>
          <w:caps/>
          <w:color w:val="000000" w:themeColor="text1"/>
          <w:sz w:val="22"/>
          <w:szCs w:val="22"/>
        </w:rPr>
        <w:t>IMMEDIATE PACKAGING</w:t>
      </w:r>
    </w:p>
    <w:p w14:paraId="2FF8AA32" w14:textId="77777777" w:rsidR="00663784" w:rsidRPr="00FA5083"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color w:val="000000" w:themeColor="text1"/>
        </w:rPr>
      </w:pPr>
    </w:p>
    <w:p w14:paraId="71A6003A" w14:textId="77777777" w:rsidR="00663784" w:rsidRPr="00FA5083" w:rsidRDefault="005A3D7D" w:rsidP="00663784">
      <w:pPr>
        <w:pBdr>
          <w:top w:val="single" w:sz="4" w:space="1" w:color="auto"/>
          <w:left w:val="single" w:sz="4" w:space="4" w:color="auto"/>
          <w:bottom w:val="single" w:sz="4" w:space="1" w:color="auto"/>
          <w:right w:val="single" w:sz="4" w:space="4" w:color="auto"/>
        </w:pBdr>
        <w:spacing w:line="240" w:lineRule="auto"/>
        <w:rPr>
          <w:color w:val="000000" w:themeColor="text1"/>
        </w:rPr>
      </w:pPr>
      <w:r w:rsidRPr="00FA5083">
        <w:rPr>
          <w:b/>
          <w:bCs/>
          <w:caps/>
          <w:color w:val="000000" w:themeColor="text1"/>
        </w:rPr>
        <w:t>BLISTER</w:t>
      </w:r>
      <w:r w:rsidRPr="00FA5083">
        <w:rPr>
          <w:b/>
          <w:bCs/>
          <w:color w:val="000000" w:themeColor="text1"/>
        </w:rPr>
        <w:t xml:space="preserve"> CARD – 28-TABLET PACK </w:t>
      </w:r>
    </w:p>
    <w:p w14:paraId="08639687" w14:textId="77777777" w:rsidR="00663784" w:rsidRPr="00FA5083" w:rsidRDefault="00663784" w:rsidP="00663784">
      <w:pPr>
        <w:suppressLineNumbers/>
        <w:spacing w:line="240" w:lineRule="auto"/>
        <w:rPr>
          <w:color w:val="000000" w:themeColor="text1"/>
        </w:rPr>
      </w:pPr>
    </w:p>
    <w:p w14:paraId="6F926A6B" w14:textId="77777777" w:rsidR="00663784" w:rsidRPr="00FA5083" w:rsidRDefault="00663784" w:rsidP="00663784">
      <w:pPr>
        <w:suppressLineNumbers/>
        <w:spacing w:line="240" w:lineRule="auto"/>
        <w:rPr>
          <w:color w:val="000000" w:themeColor="text1"/>
        </w:rPr>
      </w:pPr>
    </w:p>
    <w:p w14:paraId="5F097F9C" w14:textId="77777777" w:rsidR="00663784" w:rsidRPr="00FA508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color w:val="000000" w:themeColor="text1"/>
        </w:rPr>
      </w:pPr>
      <w:r w:rsidRPr="00FA5083">
        <w:rPr>
          <w:b/>
          <w:bCs/>
          <w:color w:val="000000" w:themeColor="text1"/>
        </w:rPr>
        <w:t>1.</w:t>
      </w:r>
      <w:r w:rsidRPr="00FA5083">
        <w:rPr>
          <w:b/>
          <w:bCs/>
          <w:color w:val="000000" w:themeColor="text1"/>
        </w:rPr>
        <w:tab/>
        <w:t>NAME OF THE MEDICINAL PRODUCT</w:t>
      </w:r>
    </w:p>
    <w:p w14:paraId="0A715D84" w14:textId="77777777" w:rsidR="00663784" w:rsidRPr="00FA5083" w:rsidRDefault="00663784" w:rsidP="00663784">
      <w:pPr>
        <w:suppressLineNumbers/>
        <w:tabs>
          <w:tab w:val="clear" w:pos="567"/>
        </w:tabs>
        <w:spacing w:line="240" w:lineRule="auto"/>
        <w:ind w:left="720" w:hanging="720"/>
        <w:rPr>
          <w:color w:val="000000" w:themeColor="text1"/>
        </w:rPr>
      </w:pPr>
    </w:p>
    <w:p w14:paraId="3A1D3C43" w14:textId="77777777" w:rsidR="00663784" w:rsidRPr="00FA5083" w:rsidRDefault="005A3D7D" w:rsidP="00663784">
      <w:pPr>
        <w:tabs>
          <w:tab w:val="clear" w:pos="567"/>
        </w:tabs>
        <w:spacing w:line="240" w:lineRule="auto"/>
        <w:ind w:left="720" w:hanging="720"/>
        <w:rPr>
          <w:color w:val="000000" w:themeColor="text1"/>
        </w:rPr>
      </w:pPr>
      <w:r w:rsidRPr="00FA5083">
        <w:rPr>
          <w:color w:val="000000" w:themeColor="text1"/>
        </w:rPr>
        <w:t>Kalydeco 150 mg film</w:t>
      </w:r>
      <w:r w:rsidRPr="00FA5083">
        <w:rPr>
          <w:color w:val="000000" w:themeColor="text1"/>
        </w:rPr>
        <w:noBreakHyphen/>
        <w:t>coated tablets</w:t>
      </w:r>
    </w:p>
    <w:p w14:paraId="0E9DAFBC" w14:textId="77777777" w:rsidR="00663784" w:rsidRPr="00FA5083" w:rsidRDefault="005A3D7D" w:rsidP="00663784">
      <w:pPr>
        <w:tabs>
          <w:tab w:val="clear" w:pos="567"/>
        </w:tabs>
        <w:spacing w:line="240" w:lineRule="auto"/>
        <w:ind w:left="720" w:hanging="720"/>
        <w:rPr>
          <w:i/>
          <w:iCs/>
          <w:color w:val="000000" w:themeColor="text1"/>
        </w:rPr>
      </w:pPr>
      <w:r w:rsidRPr="00FA5083">
        <w:rPr>
          <w:color w:val="000000" w:themeColor="text1"/>
        </w:rPr>
        <w:t>ivacaftor</w:t>
      </w:r>
    </w:p>
    <w:p w14:paraId="526B6728" w14:textId="77777777" w:rsidR="00663784" w:rsidRPr="00FA5083" w:rsidRDefault="00663784" w:rsidP="00663784">
      <w:pPr>
        <w:suppressLineNumbers/>
        <w:tabs>
          <w:tab w:val="clear" w:pos="567"/>
        </w:tabs>
        <w:spacing w:line="240" w:lineRule="auto"/>
        <w:ind w:left="720" w:hanging="720"/>
        <w:rPr>
          <w:color w:val="000000" w:themeColor="text1"/>
        </w:rPr>
      </w:pPr>
    </w:p>
    <w:p w14:paraId="7D615BA5" w14:textId="77777777" w:rsidR="00663784" w:rsidRPr="00FA5083" w:rsidRDefault="00663784" w:rsidP="00663784">
      <w:pPr>
        <w:suppressLineNumbers/>
        <w:tabs>
          <w:tab w:val="clear" w:pos="567"/>
        </w:tabs>
        <w:spacing w:line="240" w:lineRule="auto"/>
        <w:ind w:left="720" w:hanging="720"/>
        <w:rPr>
          <w:color w:val="000000" w:themeColor="text1"/>
        </w:rPr>
      </w:pPr>
    </w:p>
    <w:p w14:paraId="1B05BB49" w14:textId="77777777" w:rsidR="00663784" w:rsidRPr="00FA508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color w:val="000000" w:themeColor="text1"/>
        </w:rPr>
      </w:pPr>
      <w:r w:rsidRPr="00FA5083">
        <w:rPr>
          <w:b/>
          <w:bCs/>
          <w:color w:val="000000" w:themeColor="text1"/>
        </w:rPr>
        <w:t>2.</w:t>
      </w:r>
      <w:r w:rsidRPr="00FA5083">
        <w:rPr>
          <w:b/>
          <w:bCs/>
          <w:color w:val="000000" w:themeColor="text1"/>
        </w:rPr>
        <w:tab/>
        <w:t>STATEMENT OF ACTIVE SUBSTANCE(S)</w:t>
      </w:r>
    </w:p>
    <w:p w14:paraId="45EE9A30" w14:textId="77777777" w:rsidR="00663784" w:rsidRPr="00FA5083" w:rsidRDefault="00663784" w:rsidP="00663784">
      <w:pPr>
        <w:suppressLineNumbers/>
        <w:tabs>
          <w:tab w:val="clear" w:pos="567"/>
        </w:tabs>
        <w:spacing w:line="240" w:lineRule="auto"/>
        <w:ind w:left="720" w:hanging="720"/>
        <w:rPr>
          <w:iCs/>
          <w:color w:val="000000" w:themeColor="text1"/>
        </w:rPr>
      </w:pPr>
    </w:p>
    <w:p w14:paraId="6D9E05E4" w14:textId="77777777" w:rsidR="00663784" w:rsidRPr="00FA5083" w:rsidRDefault="005A3D7D" w:rsidP="00663784">
      <w:pPr>
        <w:tabs>
          <w:tab w:val="clear" w:pos="567"/>
        </w:tabs>
        <w:spacing w:line="240" w:lineRule="auto"/>
        <w:ind w:left="720" w:hanging="720"/>
        <w:rPr>
          <w:color w:val="000000" w:themeColor="text1"/>
        </w:rPr>
      </w:pPr>
      <w:r w:rsidRPr="00FA5083">
        <w:rPr>
          <w:color w:val="000000" w:themeColor="text1"/>
        </w:rPr>
        <w:t>Each Kalydeco tablet contains 150 mg of ivacaftor.</w:t>
      </w:r>
    </w:p>
    <w:p w14:paraId="6254EF97" w14:textId="77777777" w:rsidR="00663784" w:rsidRPr="00FA5083" w:rsidRDefault="00663784" w:rsidP="00663784">
      <w:pPr>
        <w:suppressLineNumbers/>
        <w:tabs>
          <w:tab w:val="clear" w:pos="567"/>
        </w:tabs>
        <w:spacing w:line="240" w:lineRule="auto"/>
        <w:ind w:left="720" w:hanging="720"/>
        <w:rPr>
          <w:color w:val="000000" w:themeColor="text1"/>
        </w:rPr>
      </w:pPr>
    </w:p>
    <w:p w14:paraId="6F78661E" w14:textId="77777777" w:rsidR="00663784" w:rsidRPr="00FA5083" w:rsidRDefault="00663784" w:rsidP="00663784">
      <w:pPr>
        <w:pStyle w:val="TitleA"/>
        <w:tabs>
          <w:tab w:val="clear" w:pos="567"/>
        </w:tabs>
        <w:ind w:left="720" w:hanging="720"/>
        <w:jc w:val="left"/>
        <w:outlineLvl w:val="9"/>
        <w:rPr>
          <w:color w:val="000000" w:themeColor="text1"/>
        </w:rPr>
      </w:pPr>
    </w:p>
    <w:p w14:paraId="78F28D2C" w14:textId="77777777" w:rsidR="00663784" w:rsidRPr="00FA508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color w:val="000000" w:themeColor="text1"/>
        </w:rPr>
      </w:pPr>
      <w:r w:rsidRPr="00FA5083">
        <w:rPr>
          <w:b/>
          <w:bCs/>
          <w:color w:val="000000" w:themeColor="text1"/>
        </w:rPr>
        <w:t>3.</w:t>
      </w:r>
      <w:r w:rsidRPr="00FA5083">
        <w:rPr>
          <w:b/>
          <w:bCs/>
          <w:color w:val="000000" w:themeColor="text1"/>
        </w:rPr>
        <w:tab/>
        <w:t xml:space="preserve">LIST OF </w:t>
      </w:r>
      <w:r w:rsidRPr="00FA5083">
        <w:rPr>
          <w:b/>
          <w:bCs/>
          <w:color w:val="000000" w:themeColor="text1"/>
        </w:rPr>
        <w:t>EXCIPIENTS</w:t>
      </w:r>
    </w:p>
    <w:p w14:paraId="0C1ECFFE" w14:textId="77777777" w:rsidR="00663784" w:rsidRPr="00FA5083" w:rsidRDefault="00663784" w:rsidP="00663784">
      <w:pPr>
        <w:suppressLineNumbers/>
        <w:tabs>
          <w:tab w:val="clear" w:pos="567"/>
        </w:tabs>
        <w:spacing w:line="240" w:lineRule="auto"/>
        <w:ind w:left="720" w:hanging="720"/>
        <w:rPr>
          <w:color w:val="000000" w:themeColor="text1"/>
        </w:rPr>
      </w:pPr>
    </w:p>
    <w:p w14:paraId="151DF242" w14:textId="77777777" w:rsidR="00663784" w:rsidRPr="00FA5083" w:rsidRDefault="005A3D7D" w:rsidP="00663784">
      <w:pPr>
        <w:tabs>
          <w:tab w:val="clear" w:pos="567"/>
        </w:tabs>
        <w:spacing w:line="240" w:lineRule="auto"/>
        <w:ind w:left="720" w:hanging="720"/>
        <w:rPr>
          <w:color w:val="000000" w:themeColor="text1"/>
        </w:rPr>
      </w:pPr>
      <w:r w:rsidRPr="00FA5083">
        <w:rPr>
          <w:color w:val="000000" w:themeColor="text1"/>
        </w:rPr>
        <w:t>Contains lactose.</w:t>
      </w:r>
    </w:p>
    <w:p w14:paraId="38E37D2F" w14:textId="77777777" w:rsidR="00663784" w:rsidRPr="00FA5083" w:rsidRDefault="00663784" w:rsidP="00663784">
      <w:pPr>
        <w:tabs>
          <w:tab w:val="clear" w:pos="567"/>
        </w:tabs>
        <w:spacing w:line="240" w:lineRule="auto"/>
        <w:ind w:left="720" w:hanging="720"/>
        <w:rPr>
          <w:color w:val="000000" w:themeColor="text1"/>
        </w:rPr>
      </w:pPr>
    </w:p>
    <w:p w14:paraId="0A463830" w14:textId="77777777" w:rsidR="00663784" w:rsidRPr="00FA5083" w:rsidRDefault="005A3D7D" w:rsidP="00663784">
      <w:pPr>
        <w:tabs>
          <w:tab w:val="clear" w:pos="567"/>
        </w:tabs>
        <w:spacing w:line="240" w:lineRule="auto"/>
        <w:ind w:left="720" w:hanging="720"/>
        <w:rPr>
          <w:color w:val="000000" w:themeColor="text1"/>
        </w:rPr>
      </w:pPr>
      <w:r w:rsidRPr="00FA5083">
        <w:rPr>
          <w:color w:val="000000" w:themeColor="text1"/>
          <w:highlight w:val="lightGray"/>
        </w:rPr>
        <w:t>See leaflet for further information.</w:t>
      </w:r>
    </w:p>
    <w:p w14:paraId="42E6412F" w14:textId="77777777" w:rsidR="00663784" w:rsidRPr="00FA5083" w:rsidRDefault="00663784" w:rsidP="00663784">
      <w:pPr>
        <w:suppressLineNumbers/>
        <w:tabs>
          <w:tab w:val="clear" w:pos="567"/>
        </w:tabs>
        <w:spacing w:line="240" w:lineRule="auto"/>
        <w:ind w:left="720" w:hanging="720"/>
        <w:rPr>
          <w:color w:val="000000" w:themeColor="text1"/>
        </w:rPr>
      </w:pPr>
    </w:p>
    <w:p w14:paraId="165F8750" w14:textId="77777777" w:rsidR="00663784" w:rsidRPr="00FA5083" w:rsidRDefault="00663784" w:rsidP="00663784">
      <w:pPr>
        <w:suppressLineNumbers/>
        <w:tabs>
          <w:tab w:val="clear" w:pos="567"/>
        </w:tabs>
        <w:spacing w:line="240" w:lineRule="auto"/>
        <w:ind w:left="720" w:hanging="720"/>
        <w:rPr>
          <w:color w:val="000000" w:themeColor="text1"/>
        </w:rPr>
      </w:pPr>
    </w:p>
    <w:p w14:paraId="69D6B65E" w14:textId="77777777" w:rsidR="00663784" w:rsidRPr="00FA508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color w:val="000000" w:themeColor="text1"/>
        </w:rPr>
      </w:pPr>
      <w:r w:rsidRPr="00FA5083">
        <w:rPr>
          <w:b/>
          <w:bCs/>
          <w:color w:val="000000" w:themeColor="text1"/>
        </w:rPr>
        <w:t>4.</w:t>
      </w:r>
      <w:r w:rsidRPr="00FA5083">
        <w:rPr>
          <w:b/>
          <w:bCs/>
          <w:color w:val="000000" w:themeColor="text1"/>
        </w:rPr>
        <w:tab/>
        <w:t>PHARMACEUTICAL FORM AND CONTENTS</w:t>
      </w:r>
    </w:p>
    <w:p w14:paraId="6D1F17BA" w14:textId="77777777" w:rsidR="00663784" w:rsidRPr="00FA5083" w:rsidRDefault="00663784" w:rsidP="00663784">
      <w:pPr>
        <w:suppressLineNumbers/>
        <w:tabs>
          <w:tab w:val="clear" w:pos="567"/>
        </w:tabs>
        <w:spacing w:line="240" w:lineRule="auto"/>
        <w:ind w:left="720" w:hanging="720"/>
        <w:rPr>
          <w:color w:val="000000" w:themeColor="text1"/>
        </w:rPr>
      </w:pPr>
    </w:p>
    <w:p w14:paraId="5CDE23C5" w14:textId="77777777" w:rsidR="00663784" w:rsidRPr="00FA5083" w:rsidRDefault="005A3D7D" w:rsidP="00663784">
      <w:pPr>
        <w:tabs>
          <w:tab w:val="clear" w:pos="567"/>
        </w:tabs>
        <w:spacing w:line="240" w:lineRule="auto"/>
        <w:ind w:left="720" w:hanging="720"/>
        <w:rPr>
          <w:color w:val="000000" w:themeColor="text1"/>
        </w:rPr>
      </w:pPr>
      <w:r w:rsidRPr="00FA5083">
        <w:rPr>
          <w:color w:val="000000" w:themeColor="text1"/>
        </w:rPr>
        <w:t>7 tablets</w:t>
      </w:r>
    </w:p>
    <w:p w14:paraId="510F174E" w14:textId="77777777" w:rsidR="00663784" w:rsidRPr="00FA5083" w:rsidRDefault="00663784" w:rsidP="00663784">
      <w:pPr>
        <w:suppressLineNumbers/>
        <w:tabs>
          <w:tab w:val="clear" w:pos="567"/>
        </w:tabs>
        <w:spacing w:line="240" w:lineRule="auto"/>
        <w:ind w:left="720" w:hanging="720"/>
        <w:rPr>
          <w:color w:val="000000" w:themeColor="text1"/>
        </w:rPr>
      </w:pPr>
    </w:p>
    <w:p w14:paraId="4AFDE3E7" w14:textId="77777777" w:rsidR="00663784" w:rsidRPr="00FA5083" w:rsidRDefault="00663784" w:rsidP="00663784">
      <w:pPr>
        <w:suppressLineNumbers/>
        <w:tabs>
          <w:tab w:val="clear" w:pos="567"/>
        </w:tabs>
        <w:spacing w:line="240" w:lineRule="auto"/>
        <w:ind w:left="720" w:hanging="720"/>
        <w:rPr>
          <w:color w:val="000000" w:themeColor="text1"/>
        </w:rPr>
      </w:pPr>
    </w:p>
    <w:p w14:paraId="091CE339" w14:textId="77777777" w:rsidR="00663784" w:rsidRPr="00FA508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color w:val="000000" w:themeColor="text1"/>
        </w:rPr>
      </w:pPr>
      <w:r w:rsidRPr="00FA5083">
        <w:rPr>
          <w:b/>
          <w:bCs/>
          <w:color w:val="000000" w:themeColor="text1"/>
        </w:rPr>
        <w:t>5.</w:t>
      </w:r>
      <w:r w:rsidRPr="00FA5083">
        <w:rPr>
          <w:b/>
          <w:bCs/>
          <w:color w:val="000000" w:themeColor="text1"/>
        </w:rPr>
        <w:tab/>
        <w:t>METHOD AND ROUTE(S) OF ADMINISTRATION</w:t>
      </w:r>
    </w:p>
    <w:p w14:paraId="3445AE11" w14:textId="77777777" w:rsidR="00663784" w:rsidRPr="00FA5083" w:rsidRDefault="00663784" w:rsidP="00663784">
      <w:pPr>
        <w:suppressLineNumbers/>
        <w:tabs>
          <w:tab w:val="clear" w:pos="567"/>
        </w:tabs>
        <w:spacing w:line="240" w:lineRule="auto"/>
        <w:ind w:left="720" w:hanging="720"/>
        <w:rPr>
          <w:color w:val="000000" w:themeColor="text1"/>
        </w:rPr>
      </w:pPr>
    </w:p>
    <w:p w14:paraId="70338A08" w14:textId="77777777" w:rsidR="00663784" w:rsidRPr="00FA5083" w:rsidRDefault="005A3D7D" w:rsidP="00663784">
      <w:pPr>
        <w:suppressLineNumbers/>
        <w:tabs>
          <w:tab w:val="clear" w:pos="567"/>
        </w:tabs>
        <w:spacing w:line="240" w:lineRule="auto"/>
        <w:ind w:left="720" w:hanging="720"/>
        <w:rPr>
          <w:color w:val="000000" w:themeColor="text1"/>
        </w:rPr>
      </w:pPr>
      <w:r w:rsidRPr="00FA5083">
        <w:rPr>
          <w:color w:val="000000" w:themeColor="text1"/>
        </w:rPr>
        <w:t>Read the package leaflet before use.</w:t>
      </w:r>
    </w:p>
    <w:p w14:paraId="0443362B" w14:textId="77777777" w:rsidR="00663784" w:rsidRPr="00FA5083" w:rsidRDefault="00663784" w:rsidP="00663784">
      <w:pPr>
        <w:suppressLineNumbers/>
        <w:tabs>
          <w:tab w:val="clear" w:pos="567"/>
        </w:tabs>
        <w:spacing w:line="240" w:lineRule="auto"/>
        <w:ind w:left="720" w:hanging="720"/>
      </w:pPr>
    </w:p>
    <w:p w14:paraId="2181BA68" w14:textId="77777777" w:rsidR="00663784" w:rsidRPr="00FA5083" w:rsidRDefault="005A3D7D" w:rsidP="00663784">
      <w:pPr>
        <w:tabs>
          <w:tab w:val="clear" w:pos="567"/>
        </w:tabs>
        <w:spacing w:line="240" w:lineRule="auto"/>
        <w:ind w:left="720" w:hanging="720"/>
      </w:pPr>
      <w:r w:rsidRPr="00FA5083">
        <w:t xml:space="preserve">Oral use </w:t>
      </w:r>
    </w:p>
    <w:p w14:paraId="08D8F6C2" w14:textId="77777777" w:rsidR="00663784" w:rsidRPr="00B70611" w:rsidRDefault="00663784" w:rsidP="00663784">
      <w:pPr>
        <w:suppressLineNumbers/>
        <w:tabs>
          <w:tab w:val="clear" w:pos="567"/>
        </w:tabs>
        <w:autoSpaceDE w:val="0"/>
        <w:autoSpaceDN w:val="0"/>
        <w:adjustRightInd w:val="0"/>
        <w:spacing w:line="240" w:lineRule="auto"/>
        <w:ind w:left="720" w:hanging="720"/>
        <w:rPr>
          <w:b/>
        </w:rPr>
      </w:pPr>
    </w:p>
    <w:p w14:paraId="067F3531" w14:textId="77777777" w:rsidR="00663784" w:rsidRDefault="005A3D7D" w:rsidP="00663784">
      <w:pPr>
        <w:suppressLineNumbers/>
        <w:tabs>
          <w:tab w:val="clear" w:pos="567"/>
        </w:tabs>
        <w:autoSpaceDE w:val="0"/>
        <w:autoSpaceDN w:val="0"/>
        <w:adjustRightInd w:val="0"/>
        <w:spacing w:line="240" w:lineRule="auto"/>
        <w:ind w:left="720" w:hanging="720"/>
        <w:rPr>
          <w:b/>
          <w:bCs/>
          <w:lang w:val="en-US"/>
        </w:rPr>
      </w:pPr>
      <w:r>
        <w:rPr>
          <w:b/>
          <w:bCs/>
          <w:lang w:val="en-US"/>
        </w:rPr>
        <w:t>Instructions for use</w:t>
      </w:r>
    </w:p>
    <w:p w14:paraId="59283B91" w14:textId="77777777" w:rsidR="00663784" w:rsidRPr="00FA5083" w:rsidRDefault="00663784" w:rsidP="00663784">
      <w:pPr>
        <w:suppressLineNumbers/>
        <w:tabs>
          <w:tab w:val="clear" w:pos="567"/>
        </w:tabs>
        <w:autoSpaceDE w:val="0"/>
        <w:autoSpaceDN w:val="0"/>
        <w:adjustRightInd w:val="0"/>
        <w:spacing w:line="240" w:lineRule="auto"/>
        <w:ind w:left="720" w:hanging="720"/>
      </w:pPr>
    </w:p>
    <w:p w14:paraId="77820E4D" w14:textId="77777777" w:rsidR="00663784" w:rsidRPr="00FA5083" w:rsidRDefault="005A3D7D" w:rsidP="00663784">
      <w:pPr>
        <w:suppressLineNumbers/>
        <w:tabs>
          <w:tab w:val="clear" w:pos="567"/>
        </w:tabs>
        <w:autoSpaceDE w:val="0"/>
        <w:autoSpaceDN w:val="0"/>
        <w:adjustRightInd w:val="0"/>
        <w:spacing w:line="240" w:lineRule="auto"/>
        <w:ind w:left="720" w:hanging="720"/>
      </w:pPr>
      <w:r w:rsidRPr="00FA5083">
        <w:t xml:space="preserve">Always take this </w:t>
      </w:r>
      <w:r w:rsidRPr="00FA5083">
        <w:t>medicine exactly as your doctor has told you to.</w:t>
      </w:r>
    </w:p>
    <w:p w14:paraId="536B9E00" w14:textId="77777777" w:rsidR="00663784" w:rsidRPr="00FA5083" w:rsidRDefault="00663784" w:rsidP="00663784">
      <w:pPr>
        <w:suppressLineNumbers/>
        <w:tabs>
          <w:tab w:val="clear" w:pos="567"/>
        </w:tabs>
        <w:autoSpaceDE w:val="0"/>
        <w:autoSpaceDN w:val="0"/>
        <w:adjustRightInd w:val="0"/>
        <w:spacing w:line="240" w:lineRule="auto"/>
        <w:ind w:left="720" w:hanging="720"/>
      </w:pPr>
    </w:p>
    <w:p w14:paraId="629953EB" w14:textId="77777777" w:rsidR="00663784" w:rsidRPr="00FA5083" w:rsidRDefault="005A3D7D" w:rsidP="00663784">
      <w:pPr>
        <w:suppressLineNumbers/>
        <w:tabs>
          <w:tab w:val="clear" w:pos="567"/>
        </w:tabs>
        <w:autoSpaceDE w:val="0"/>
        <w:autoSpaceDN w:val="0"/>
        <w:adjustRightInd w:val="0"/>
        <w:spacing w:line="240" w:lineRule="auto"/>
        <w:ind w:left="720" w:hanging="720"/>
        <w:rPr>
          <w:lang w:val="en-US"/>
        </w:rPr>
      </w:pPr>
      <w:r w:rsidRPr="00FA5083">
        <w:rPr>
          <w:lang w:val="en-US"/>
        </w:rPr>
        <w:t>Take with fat-containing food.</w:t>
      </w:r>
    </w:p>
    <w:p w14:paraId="2F354A1F" w14:textId="77777777" w:rsidR="00663784" w:rsidRPr="00FA5083" w:rsidRDefault="00663784" w:rsidP="00663784">
      <w:pPr>
        <w:suppressLineNumbers/>
        <w:tabs>
          <w:tab w:val="clear" w:pos="567"/>
        </w:tabs>
        <w:autoSpaceDE w:val="0"/>
        <w:autoSpaceDN w:val="0"/>
        <w:adjustRightInd w:val="0"/>
        <w:spacing w:line="240" w:lineRule="auto"/>
        <w:ind w:left="720" w:hanging="720"/>
      </w:pPr>
    </w:p>
    <w:p w14:paraId="2A694262" w14:textId="77777777" w:rsidR="00663784" w:rsidRPr="00FA5083" w:rsidRDefault="005A3D7D" w:rsidP="00663784">
      <w:pPr>
        <w:suppressLineNumbers/>
        <w:tabs>
          <w:tab w:val="clear" w:pos="567"/>
        </w:tabs>
        <w:autoSpaceDE w:val="0"/>
        <w:autoSpaceDN w:val="0"/>
        <w:adjustRightInd w:val="0"/>
        <w:spacing w:line="240" w:lineRule="auto"/>
        <w:ind w:left="720" w:hanging="720"/>
      </w:pPr>
      <w:r w:rsidRPr="00FA5083">
        <w:t>Do not break, chew or dissolve the tablets.</w:t>
      </w:r>
    </w:p>
    <w:p w14:paraId="23246925" w14:textId="77777777" w:rsidR="00663784" w:rsidRPr="00FA5083" w:rsidRDefault="00663784" w:rsidP="00663784">
      <w:pPr>
        <w:tabs>
          <w:tab w:val="clear" w:pos="567"/>
        </w:tabs>
        <w:spacing w:line="240" w:lineRule="auto"/>
        <w:ind w:left="720" w:hanging="720"/>
        <w:outlineLvl w:val="0"/>
        <w:rPr>
          <w:bCs/>
        </w:rPr>
      </w:pPr>
    </w:p>
    <w:p w14:paraId="46E2651E" w14:textId="77777777" w:rsidR="00663784" w:rsidRPr="00FA5083" w:rsidRDefault="005A3D7D" w:rsidP="00663784">
      <w:pPr>
        <w:suppressLineNumbers/>
        <w:tabs>
          <w:tab w:val="clear" w:pos="567"/>
        </w:tabs>
        <w:autoSpaceDE w:val="0"/>
        <w:autoSpaceDN w:val="0"/>
        <w:adjustRightInd w:val="0"/>
        <w:spacing w:line="240" w:lineRule="auto"/>
        <w:ind w:left="720" w:hanging="720"/>
        <w:rPr>
          <w:noProof/>
          <w:lang w:val="en-US"/>
        </w:rPr>
      </w:pPr>
      <w:r w:rsidRPr="00FA5083">
        <w:rPr>
          <w:bCs/>
        </w:rPr>
        <w:t>Mon. Tue. Wed. Thu. Fri. Sat. Sun.</w:t>
      </w:r>
    </w:p>
    <w:p w14:paraId="764DFDF9" w14:textId="77777777" w:rsidR="00663784" w:rsidRPr="00FA5083" w:rsidRDefault="00663784" w:rsidP="00663784">
      <w:pPr>
        <w:suppressLineNumbers/>
        <w:tabs>
          <w:tab w:val="clear" w:pos="567"/>
        </w:tabs>
        <w:autoSpaceDE w:val="0"/>
        <w:autoSpaceDN w:val="0"/>
        <w:adjustRightInd w:val="0"/>
        <w:spacing w:line="240" w:lineRule="auto"/>
        <w:ind w:left="720" w:hanging="720"/>
      </w:pPr>
    </w:p>
    <w:p w14:paraId="29151DA3" w14:textId="77777777" w:rsidR="00663784" w:rsidRPr="00FA5083" w:rsidRDefault="00663784" w:rsidP="00663784">
      <w:pPr>
        <w:suppressLineNumbers/>
        <w:tabs>
          <w:tab w:val="clear" w:pos="567"/>
        </w:tabs>
        <w:autoSpaceDE w:val="0"/>
        <w:autoSpaceDN w:val="0"/>
        <w:adjustRightInd w:val="0"/>
        <w:spacing w:line="240" w:lineRule="auto"/>
        <w:ind w:left="720" w:hanging="720"/>
      </w:pPr>
    </w:p>
    <w:p w14:paraId="2A1ECA83" w14:textId="77777777" w:rsidR="00663784" w:rsidRPr="00FA508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6.</w:t>
      </w:r>
      <w:r w:rsidRPr="00FA5083">
        <w:rPr>
          <w:b/>
          <w:bCs/>
        </w:rPr>
        <w:tab/>
        <w:t xml:space="preserve">SPECIAL WARNING THAT THE MEDICINAL PRODUCT MUST BE STORED OUT OF THE SIGHT AND REACH OF </w:t>
      </w:r>
      <w:r w:rsidRPr="00FA5083">
        <w:rPr>
          <w:b/>
          <w:bCs/>
        </w:rPr>
        <w:t>CHILDREN</w:t>
      </w:r>
    </w:p>
    <w:p w14:paraId="7A4BC453" w14:textId="77777777" w:rsidR="00663784" w:rsidRPr="00FA5083" w:rsidRDefault="00663784" w:rsidP="00663784">
      <w:pPr>
        <w:suppressLineNumbers/>
        <w:tabs>
          <w:tab w:val="clear" w:pos="567"/>
        </w:tabs>
        <w:spacing w:line="240" w:lineRule="auto"/>
        <w:ind w:left="720" w:hanging="720"/>
      </w:pPr>
    </w:p>
    <w:p w14:paraId="47B7A1F5" w14:textId="77777777" w:rsidR="00663784" w:rsidRPr="00FA5083" w:rsidRDefault="005A3D7D" w:rsidP="00663784">
      <w:pPr>
        <w:suppressLineNumbers/>
        <w:tabs>
          <w:tab w:val="clear" w:pos="567"/>
        </w:tabs>
        <w:spacing w:line="240" w:lineRule="auto"/>
        <w:ind w:left="720" w:hanging="720"/>
        <w:outlineLvl w:val="0"/>
      </w:pPr>
      <w:r w:rsidRPr="00FA5083">
        <w:t>Keep out of the sight and reach of children.</w:t>
      </w:r>
    </w:p>
    <w:p w14:paraId="6ACD0CF1" w14:textId="77777777" w:rsidR="00663784" w:rsidRPr="00FA5083" w:rsidRDefault="00663784" w:rsidP="00663784">
      <w:pPr>
        <w:suppressLineNumbers/>
        <w:tabs>
          <w:tab w:val="clear" w:pos="567"/>
        </w:tabs>
        <w:spacing w:line="240" w:lineRule="auto"/>
        <w:ind w:left="720" w:hanging="720"/>
      </w:pPr>
    </w:p>
    <w:p w14:paraId="57766AB1" w14:textId="77777777" w:rsidR="00663784" w:rsidRPr="00FA5083" w:rsidRDefault="00663784" w:rsidP="00663784">
      <w:pPr>
        <w:suppressLineNumbers/>
        <w:tabs>
          <w:tab w:val="clear" w:pos="567"/>
        </w:tabs>
        <w:spacing w:line="240" w:lineRule="auto"/>
        <w:ind w:left="720" w:hanging="720"/>
      </w:pPr>
    </w:p>
    <w:p w14:paraId="74E7ECED" w14:textId="77777777" w:rsidR="00663784" w:rsidRPr="00FA508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7.</w:t>
      </w:r>
      <w:r w:rsidRPr="00FA5083">
        <w:rPr>
          <w:b/>
          <w:bCs/>
        </w:rPr>
        <w:tab/>
        <w:t>OTHER SPECIAL WARNING(S), IF NECESSARY</w:t>
      </w:r>
    </w:p>
    <w:p w14:paraId="00793E22" w14:textId="77777777" w:rsidR="00663784" w:rsidRPr="00FA5083" w:rsidRDefault="00663784" w:rsidP="00663784">
      <w:pPr>
        <w:suppressLineNumbers/>
        <w:tabs>
          <w:tab w:val="clear" w:pos="567"/>
        </w:tabs>
        <w:spacing w:line="240" w:lineRule="auto"/>
        <w:ind w:left="720" w:hanging="720"/>
      </w:pPr>
    </w:p>
    <w:p w14:paraId="46513F8B" w14:textId="77777777" w:rsidR="00663784" w:rsidRPr="00FA5083" w:rsidRDefault="00663784" w:rsidP="00663784">
      <w:pPr>
        <w:tabs>
          <w:tab w:val="clear" w:pos="567"/>
        </w:tabs>
        <w:spacing w:line="240" w:lineRule="auto"/>
        <w:ind w:left="720" w:hanging="720"/>
      </w:pPr>
    </w:p>
    <w:p w14:paraId="35FFA33F" w14:textId="77777777" w:rsidR="00663784" w:rsidRPr="00FA5083" w:rsidRDefault="005A3D7D"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8.</w:t>
      </w:r>
      <w:r w:rsidRPr="00FA5083">
        <w:rPr>
          <w:b/>
          <w:bCs/>
        </w:rPr>
        <w:tab/>
        <w:t>EXPIRY DATE</w:t>
      </w:r>
    </w:p>
    <w:p w14:paraId="2B266E79" w14:textId="77777777" w:rsidR="00663784" w:rsidRPr="00FA5083" w:rsidRDefault="00663784" w:rsidP="00663784">
      <w:pPr>
        <w:keepNext/>
        <w:suppressLineNumbers/>
        <w:tabs>
          <w:tab w:val="clear" w:pos="567"/>
        </w:tabs>
        <w:spacing w:line="240" w:lineRule="auto"/>
        <w:ind w:left="720" w:hanging="720"/>
      </w:pPr>
    </w:p>
    <w:p w14:paraId="7C68CF7A" w14:textId="77777777" w:rsidR="00663784" w:rsidRPr="00FA5083" w:rsidRDefault="005A3D7D" w:rsidP="00663784">
      <w:pPr>
        <w:suppressLineNumbers/>
        <w:tabs>
          <w:tab w:val="clear" w:pos="567"/>
        </w:tabs>
        <w:spacing w:line="240" w:lineRule="auto"/>
        <w:ind w:left="720" w:hanging="720"/>
      </w:pPr>
      <w:r w:rsidRPr="00FA5083">
        <w:t>EXP</w:t>
      </w:r>
    </w:p>
    <w:p w14:paraId="5BEC6C03" w14:textId="77777777" w:rsidR="00663784" w:rsidRPr="00FA5083" w:rsidRDefault="00663784" w:rsidP="00663784">
      <w:pPr>
        <w:suppressLineNumbers/>
        <w:tabs>
          <w:tab w:val="clear" w:pos="567"/>
        </w:tabs>
        <w:spacing w:line="240" w:lineRule="auto"/>
        <w:ind w:left="720" w:hanging="720"/>
      </w:pPr>
    </w:p>
    <w:p w14:paraId="17F89020" w14:textId="77777777" w:rsidR="00663784" w:rsidRPr="00FA5083" w:rsidRDefault="00663784" w:rsidP="00663784">
      <w:pPr>
        <w:suppressLineNumbers/>
        <w:tabs>
          <w:tab w:val="clear" w:pos="567"/>
        </w:tabs>
        <w:spacing w:line="240" w:lineRule="auto"/>
        <w:ind w:left="720" w:hanging="720"/>
      </w:pPr>
    </w:p>
    <w:p w14:paraId="35BDD7B8" w14:textId="77777777" w:rsidR="00663784" w:rsidRPr="00FA5083" w:rsidRDefault="005A3D7D"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9.</w:t>
      </w:r>
      <w:r w:rsidRPr="00FA5083">
        <w:rPr>
          <w:b/>
          <w:bCs/>
        </w:rPr>
        <w:tab/>
        <w:t>SPECIAL STORAGE CONDITIONS</w:t>
      </w:r>
    </w:p>
    <w:p w14:paraId="4F097B3E" w14:textId="77777777" w:rsidR="00663784" w:rsidRPr="00FA5083" w:rsidRDefault="00663784" w:rsidP="00663784">
      <w:pPr>
        <w:suppressLineNumbers/>
        <w:tabs>
          <w:tab w:val="clear" w:pos="567"/>
        </w:tabs>
        <w:spacing w:line="240" w:lineRule="auto"/>
        <w:ind w:left="720" w:hanging="720"/>
      </w:pPr>
    </w:p>
    <w:p w14:paraId="39C9EBB7" w14:textId="77777777" w:rsidR="00663784" w:rsidRPr="00FA5083" w:rsidRDefault="00663784" w:rsidP="00663784">
      <w:pPr>
        <w:tabs>
          <w:tab w:val="clear" w:pos="567"/>
        </w:tabs>
        <w:spacing w:line="240" w:lineRule="auto"/>
        <w:ind w:left="720" w:hanging="720"/>
      </w:pPr>
    </w:p>
    <w:p w14:paraId="12649E6E" w14:textId="77777777" w:rsidR="00663784" w:rsidRPr="00FA508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FA5083">
        <w:rPr>
          <w:b/>
          <w:bCs/>
        </w:rPr>
        <w:t>10.</w:t>
      </w:r>
      <w:r w:rsidRPr="00FA5083">
        <w:rPr>
          <w:b/>
          <w:bCs/>
        </w:rPr>
        <w:tab/>
        <w:t xml:space="preserve">SPECIAL PRECAUTIONS FOR DISPOSAL OF UNUSED MEDICINAL PRODUCTS OR WASTE MATERIALS DERIVED FROM </w:t>
      </w:r>
      <w:r w:rsidRPr="00FA5083">
        <w:rPr>
          <w:b/>
          <w:bCs/>
        </w:rPr>
        <w:t>SUCH MEDICINAL PRODUCTS, IF APPROPRIATE</w:t>
      </w:r>
    </w:p>
    <w:p w14:paraId="391E985C" w14:textId="77777777" w:rsidR="00663784" w:rsidRPr="00FA5083" w:rsidRDefault="00663784" w:rsidP="00663784">
      <w:pPr>
        <w:suppressLineNumbers/>
        <w:tabs>
          <w:tab w:val="clear" w:pos="567"/>
        </w:tabs>
        <w:spacing w:line="240" w:lineRule="auto"/>
        <w:ind w:left="720" w:hanging="720"/>
      </w:pPr>
    </w:p>
    <w:p w14:paraId="65C7D650" w14:textId="77777777" w:rsidR="00663784" w:rsidRPr="00FA5083" w:rsidRDefault="00663784" w:rsidP="00663784">
      <w:pPr>
        <w:suppressLineNumbers/>
        <w:tabs>
          <w:tab w:val="clear" w:pos="567"/>
        </w:tabs>
        <w:spacing w:line="240" w:lineRule="auto"/>
        <w:ind w:left="720" w:hanging="720"/>
      </w:pPr>
    </w:p>
    <w:p w14:paraId="3E75B38C" w14:textId="77777777" w:rsidR="00663784" w:rsidRPr="00FA508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FA5083">
        <w:rPr>
          <w:b/>
          <w:bCs/>
        </w:rPr>
        <w:t>11.</w:t>
      </w:r>
      <w:r w:rsidRPr="00FA5083">
        <w:rPr>
          <w:b/>
          <w:bCs/>
        </w:rPr>
        <w:tab/>
        <w:t>NAME AND ADDRESS OF THE MARKETING AUTHORISATION HOLDER</w:t>
      </w:r>
    </w:p>
    <w:p w14:paraId="4475DEB2" w14:textId="77777777" w:rsidR="00663784" w:rsidRPr="00FA5083" w:rsidRDefault="00663784" w:rsidP="00663784">
      <w:pPr>
        <w:suppressLineNumbers/>
        <w:tabs>
          <w:tab w:val="clear" w:pos="567"/>
        </w:tabs>
        <w:spacing w:line="240" w:lineRule="auto"/>
        <w:ind w:left="720" w:hanging="720"/>
      </w:pPr>
    </w:p>
    <w:p w14:paraId="78ED2E86" w14:textId="77777777" w:rsidR="00663784" w:rsidRPr="00420287" w:rsidRDefault="005A3D7D" w:rsidP="00663784">
      <w:pPr>
        <w:rPr>
          <w:iCs/>
        </w:rPr>
      </w:pPr>
      <w:r w:rsidRPr="00420287">
        <w:rPr>
          <w:iCs/>
        </w:rPr>
        <w:t>Vertex Pharmaceuticals (Ireland) Limited</w:t>
      </w:r>
    </w:p>
    <w:p w14:paraId="3E1EBF0B" w14:textId="77777777" w:rsidR="00663784" w:rsidRPr="007762E4" w:rsidRDefault="005A3D7D" w:rsidP="00663784">
      <w:pPr>
        <w:rPr>
          <w:iCs/>
          <w:highlight w:val="lightGray"/>
        </w:rPr>
      </w:pPr>
      <w:r w:rsidRPr="007762E4">
        <w:rPr>
          <w:iCs/>
          <w:highlight w:val="lightGray"/>
        </w:rPr>
        <w:t>28-32 Pembroke Street Upper</w:t>
      </w:r>
    </w:p>
    <w:p w14:paraId="3C93E648" w14:textId="77777777" w:rsidR="00663784" w:rsidRPr="007762E4" w:rsidRDefault="005A3D7D" w:rsidP="00663784">
      <w:pPr>
        <w:rPr>
          <w:iCs/>
          <w:highlight w:val="lightGray"/>
        </w:rPr>
      </w:pPr>
      <w:r w:rsidRPr="007762E4">
        <w:rPr>
          <w:iCs/>
          <w:highlight w:val="lightGray"/>
        </w:rPr>
        <w:t>Dublin 2, D02 EK84</w:t>
      </w:r>
    </w:p>
    <w:p w14:paraId="10F63778" w14:textId="77777777" w:rsidR="00663784" w:rsidRDefault="005A3D7D" w:rsidP="00663784">
      <w:pPr>
        <w:pStyle w:val="NormalIndent"/>
        <w:spacing w:after="0"/>
        <w:ind w:hanging="720"/>
        <w:rPr>
          <w:iCs/>
        </w:rPr>
      </w:pPr>
      <w:r w:rsidRPr="007762E4">
        <w:rPr>
          <w:iCs/>
          <w:highlight w:val="lightGray"/>
        </w:rPr>
        <w:t>Ireland</w:t>
      </w:r>
    </w:p>
    <w:p w14:paraId="50BAABDE" w14:textId="77777777" w:rsidR="00663784" w:rsidRPr="00FA5083" w:rsidRDefault="00663784" w:rsidP="00663784">
      <w:pPr>
        <w:pStyle w:val="NormalIndent"/>
        <w:spacing w:after="0"/>
        <w:ind w:hanging="720"/>
      </w:pPr>
    </w:p>
    <w:p w14:paraId="2460431C" w14:textId="77777777" w:rsidR="00663784" w:rsidRPr="00FA5083" w:rsidRDefault="00663784" w:rsidP="00663784">
      <w:pPr>
        <w:pStyle w:val="NormalIndent"/>
        <w:spacing w:after="0"/>
        <w:ind w:hanging="720"/>
      </w:pPr>
    </w:p>
    <w:p w14:paraId="1BFB4C63" w14:textId="77777777" w:rsidR="00663784" w:rsidRPr="00FA508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12.</w:t>
      </w:r>
      <w:r w:rsidRPr="00FA5083">
        <w:rPr>
          <w:b/>
          <w:bCs/>
        </w:rPr>
        <w:tab/>
      </w:r>
      <w:r w:rsidRPr="00FA5083">
        <w:rPr>
          <w:b/>
          <w:bCs/>
        </w:rPr>
        <w:t xml:space="preserve">MARKETING AUTHORISATION NUMBER(S) </w:t>
      </w:r>
    </w:p>
    <w:p w14:paraId="12AE22D2" w14:textId="77777777" w:rsidR="00663784" w:rsidRPr="00FA5083" w:rsidRDefault="00663784" w:rsidP="00663784">
      <w:pPr>
        <w:suppressLineNumbers/>
        <w:tabs>
          <w:tab w:val="clear" w:pos="567"/>
        </w:tabs>
        <w:spacing w:line="240" w:lineRule="auto"/>
        <w:ind w:left="720" w:hanging="720"/>
      </w:pPr>
    </w:p>
    <w:p w14:paraId="3D7A9640" w14:textId="77777777" w:rsidR="00663784" w:rsidRPr="00FA5083" w:rsidRDefault="005A3D7D" w:rsidP="00663784">
      <w:pPr>
        <w:tabs>
          <w:tab w:val="clear" w:pos="567"/>
        </w:tabs>
        <w:spacing w:line="240" w:lineRule="auto"/>
        <w:ind w:left="720" w:hanging="720"/>
      </w:pPr>
      <w:r w:rsidRPr="00FA5083">
        <w:t>EU/1/12/782/005</w:t>
      </w:r>
    </w:p>
    <w:p w14:paraId="22E2E56D" w14:textId="77777777" w:rsidR="00663784" w:rsidRPr="00FA5083" w:rsidRDefault="00663784" w:rsidP="00663784">
      <w:pPr>
        <w:suppressLineNumbers/>
        <w:tabs>
          <w:tab w:val="clear" w:pos="567"/>
        </w:tabs>
        <w:spacing w:line="240" w:lineRule="auto"/>
        <w:ind w:left="720" w:hanging="720"/>
      </w:pPr>
    </w:p>
    <w:p w14:paraId="758847B5" w14:textId="77777777" w:rsidR="00663784" w:rsidRPr="00FA5083" w:rsidRDefault="00663784" w:rsidP="00663784">
      <w:pPr>
        <w:suppressLineNumbers/>
        <w:tabs>
          <w:tab w:val="clear" w:pos="567"/>
        </w:tabs>
        <w:spacing w:line="240" w:lineRule="auto"/>
        <w:ind w:left="720" w:hanging="720"/>
      </w:pPr>
    </w:p>
    <w:p w14:paraId="0833E50A" w14:textId="77777777" w:rsidR="00663784" w:rsidRPr="00FA508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13.</w:t>
      </w:r>
      <w:r w:rsidRPr="00FA5083">
        <w:rPr>
          <w:b/>
          <w:bCs/>
        </w:rPr>
        <w:tab/>
        <w:t>BATCH NUMBER</w:t>
      </w:r>
    </w:p>
    <w:p w14:paraId="49E674E4" w14:textId="77777777" w:rsidR="00663784" w:rsidRPr="00FA5083" w:rsidRDefault="00663784" w:rsidP="00663784">
      <w:pPr>
        <w:suppressLineNumbers/>
        <w:tabs>
          <w:tab w:val="clear" w:pos="567"/>
        </w:tabs>
        <w:spacing w:line="240" w:lineRule="auto"/>
        <w:ind w:left="720" w:hanging="720"/>
        <w:rPr>
          <w:i/>
          <w:iCs/>
        </w:rPr>
      </w:pPr>
    </w:p>
    <w:p w14:paraId="291F3AE0" w14:textId="77777777" w:rsidR="00663784" w:rsidRPr="00FA5083" w:rsidRDefault="005A3D7D" w:rsidP="00663784">
      <w:pPr>
        <w:suppressLineNumbers/>
        <w:tabs>
          <w:tab w:val="clear" w:pos="567"/>
        </w:tabs>
        <w:spacing w:line="240" w:lineRule="auto"/>
        <w:ind w:left="720" w:hanging="720"/>
      </w:pPr>
      <w:r w:rsidRPr="00FA5083">
        <w:t>Lot</w:t>
      </w:r>
    </w:p>
    <w:p w14:paraId="2E227A5E" w14:textId="77777777" w:rsidR="00663784" w:rsidRPr="00FA5083" w:rsidRDefault="00663784" w:rsidP="00663784">
      <w:pPr>
        <w:suppressLineNumbers/>
        <w:tabs>
          <w:tab w:val="clear" w:pos="567"/>
        </w:tabs>
        <w:spacing w:line="240" w:lineRule="auto"/>
        <w:ind w:left="720" w:hanging="720"/>
      </w:pPr>
    </w:p>
    <w:p w14:paraId="7BBD3D90" w14:textId="77777777" w:rsidR="00663784" w:rsidRPr="00FA5083" w:rsidRDefault="00663784" w:rsidP="00663784">
      <w:pPr>
        <w:suppressLineNumbers/>
        <w:tabs>
          <w:tab w:val="clear" w:pos="567"/>
        </w:tabs>
        <w:spacing w:line="240" w:lineRule="auto"/>
        <w:ind w:left="720" w:hanging="720"/>
      </w:pPr>
    </w:p>
    <w:p w14:paraId="25EFC037" w14:textId="77777777" w:rsidR="00663784" w:rsidRPr="00FA5083"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14.</w:t>
      </w:r>
      <w:r w:rsidRPr="00FA5083">
        <w:rPr>
          <w:b/>
          <w:bCs/>
        </w:rPr>
        <w:tab/>
        <w:t>GENERAL CLASSIFICATION FOR SUPPLY</w:t>
      </w:r>
    </w:p>
    <w:p w14:paraId="79ADBE0A" w14:textId="77777777" w:rsidR="00663784" w:rsidRPr="00FA5083" w:rsidRDefault="00663784" w:rsidP="00663784">
      <w:pPr>
        <w:suppressLineNumbers/>
        <w:tabs>
          <w:tab w:val="clear" w:pos="567"/>
        </w:tabs>
        <w:spacing w:line="240" w:lineRule="auto"/>
        <w:ind w:left="720" w:hanging="720"/>
      </w:pPr>
    </w:p>
    <w:p w14:paraId="19609174" w14:textId="77777777" w:rsidR="00663784" w:rsidRPr="00FA5083" w:rsidRDefault="00663784" w:rsidP="00663784">
      <w:pPr>
        <w:suppressLineNumbers/>
        <w:tabs>
          <w:tab w:val="clear" w:pos="567"/>
        </w:tabs>
        <w:spacing w:line="240" w:lineRule="auto"/>
        <w:ind w:left="720" w:hanging="720"/>
      </w:pPr>
    </w:p>
    <w:p w14:paraId="28B8C085" w14:textId="77777777" w:rsidR="00663784" w:rsidRPr="00FA5083" w:rsidRDefault="005A3D7D"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FA5083">
        <w:rPr>
          <w:b/>
          <w:bCs/>
        </w:rPr>
        <w:t>15.</w:t>
      </w:r>
      <w:r w:rsidRPr="00FA5083">
        <w:rPr>
          <w:b/>
          <w:bCs/>
        </w:rPr>
        <w:tab/>
        <w:t>INSTRUCTIONS ON USE</w:t>
      </w:r>
    </w:p>
    <w:p w14:paraId="52BE7CB1" w14:textId="77777777" w:rsidR="00663784" w:rsidRPr="00FA5083" w:rsidRDefault="00663784" w:rsidP="00663784">
      <w:pPr>
        <w:suppressLineNumbers/>
        <w:tabs>
          <w:tab w:val="clear" w:pos="567"/>
        </w:tabs>
        <w:spacing w:line="240" w:lineRule="auto"/>
        <w:ind w:left="720" w:hanging="720"/>
      </w:pPr>
    </w:p>
    <w:p w14:paraId="70C26BFD" w14:textId="77777777" w:rsidR="00663784" w:rsidRPr="00FA5083" w:rsidRDefault="00663784" w:rsidP="00663784">
      <w:pPr>
        <w:suppressLineNumbers/>
        <w:tabs>
          <w:tab w:val="clear" w:pos="567"/>
        </w:tabs>
        <w:spacing w:line="240" w:lineRule="auto"/>
        <w:ind w:left="720" w:hanging="720"/>
      </w:pPr>
    </w:p>
    <w:p w14:paraId="6DB5B302" w14:textId="77777777" w:rsidR="00663784" w:rsidRPr="00FA5083"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FA5083">
        <w:rPr>
          <w:sz w:val="22"/>
          <w:szCs w:val="22"/>
        </w:rPr>
        <w:t>16.</w:t>
      </w:r>
      <w:r w:rsidRPr="00FA5083">
        <w:rPr>
          <w:sz w:val="22"/>
          <w:szCs w:val="22"/>
        </w:rPr>
        <w:tab/>
        <w:t>INFORMATION IN BRAILLE</w:t>
      </w:r>
    </w:p>
    <w:p w14:paraId="6EA1355B" w14:textId="77777777" w:rsidR="00663784" w:rsidRPr="00FA5083" w:rsidRDefault="00663784" w:rsidP="00663784">
      <w:pPr>
        <w:suppressLineNumbers/>
        <w:tabs>
          <w:tab w:val="clear" w:pos="567"/>
        </w:tabs>
        <w:spacing w:line="240" w:lineRule="auto"/>
        <w:ind w:left="720" w:hanging="720"/>
        <w:rPr>
          <w:shd w:val="clear" w:color="auto" w:fill="CCCCCC"/>
        </w:rPr>
      </w:pPr>
    </w:p>
    <w:p w14:paraId="3988D7F9" w14:textId="77777777" w:rsidR="00663784" w:rsidRPr="00FA5083" w:rsidRDefault="00663784" w:rsidP="00663784">
      <w:pPr>
        <w:suppressLineNumbers/>
        <w:tabs>
          <w:tab w:val="clear" w:pos="567"/>
        </w:tabs>
        <w:spacing w:line="240" w:lineRule="auto"/>
        <w:ind w:left="720" w:hanging="720"/>
      </w:pPr>
    </w:p>
    <w:p w14:paraId="51D2454C" w14:textId="77777777" w:rsidR="00663784" w:rsidRPr="00FA5083"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FA5083">
        <w:rPr>
          <w:sz w:val="22"/>
          <w:szCs w:val="22"/>
        </w:rPr>
        <w:t>17.</w:t>
      </w:r>
      <w:r w:rsidRPr="00FA5083">
        <w:rPr>
          <w:sz w:val="22"/>
          <w:szCs w:val="22"/>
        </w:rPr>
        <w:tab/>
        <w:t>UNIQUE IDENTIFIER – 2D BARCODE</w:t>
      </w:r>
    </w:p>
    <w:p w14:paraId="0AB94649" w14:textId="77777777" w:rsidR="00663784" w:rsidRPr="00FA5083" w:rsidRDefault="00663784" w:rsidP="00663784">
      <w:pPr>
        <w:tabs>
          <w:tab w:val="clear" w:pos="567"/>
        </w:tabs>
        <w:spacing w:line="240" w:lineRule="auto"/>
        <w:ind w:left="720" w:hanging="720"/>
        <w:rPr>
          <w:lang w:val="en-US"/>
        </w:rPr>
      </w:pPr>
    </w:p>
    <w:p w14:paraId="00CA118D" w14:textId="77777777" w:rsidR="00663784" w:rsidRPr="00FA5083" w:rsidRDefault="00663784" w:rsidP="00663784">
      <w:pPr>
        <w:tabs>
          <w:tab w:val="clear" w:pos="567"/>
        </w:tabs>
        <w:spacing w:line="240" w:lineRule="auto"/>
        <w:ind w:left="720" w:hanging="720"/>
        <w:rPr>
          <w:lang w:val="en-US"/>
        </w:rPr>
      </w:pPr>
    </w:p>
    <w:p w14:paraId="630FF615" w14:textId="77777777" w:rsidR="00663784" w:rsidRPr="00FA5083"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FA5083">
        <w:rPr>
          <w:sz w:val="22"/>
          <w:szCs w:val="22"/>
        </w:rPr>
        <w:t>18.</w:t>
      </w:r>
      <w:r w:rsidRPr="00FA5083">
        <w:rPr>
          <w:sz w:val="22"/>
          <w:szCs w:val="22"/>
        </w:rPr>
        <w:tab/>
        <w:t xml:space="preserve">UNIQUE IDENTIFIER – HUMAN READABLE </w:t>
      </w:r>
      <w:r w:rsidRPr="00FA5083">
        <w:rPr>
          <w:sz w:val="22"/>
          <w:szCs w:val="22"/>
        </w:rPr>
        <w:t>DATA</w:t>
      </w:r>
    </w:p>
    <w:p w14:paraId="766075BE" w14:textId="77777777" w:rsidR="00663784" w:rsidRPr="00FA5083" w:rsidRDefault="00663784" w:rsidP="00663784">
      <w:pPr>
        <w:spacing w:line="240" w:lineRule="auto"/>
        <w:ind w:left="720" w:hanging="720"/>
        <w:rPr>
          <w:lang w:val="en-US"/>
        </w:rPr>
      </w:pPr>
    </w:p>
    <w:p w14:paraId="6D91F7D3" w14:textId="77777777" w:rsidR="00663784" w:rsidRPr="00FA5083" w:rsidRDefault="00663784" w:rsidP="00663784">
      <w:pPr>
        <w:spacing w:line="240" w:lineRule="auto"/>
        <w:ind w:left="720" w:hanging="720"/>
        <w:rPr>
          <w:lang w:val="en-US"/>
        </w:rPr>
      </w:pPr>
    </w:p>
    <w:p w14:paraId="13DD58F5" w14:textId="77777777" w:rsidR="00663784" w:rsidRPr="008A5F4A" w:rsidRDefault="005A3D7D" w:rsidP="00663784">
      <w:pPr>
        <w:pBdr>
          <w:top w:val="single" w:sz="4" w:space="1" w:color="auto"/>
          <w:left w:val="single" w:sz="4" w:space="4" w:color="auto"/>
          <w:bottom w:val="single" w:sz="4" w:space="1" w:color="auto"/>
          <w:right w:val="single" w:sz="4" w:space="4" w:color="auto"/>
        </w:pBdr>
        <w:spacing w:line="240" w:lineRule="auto"/>
        <w:rPr>
          <w:b/>
        </w:rPr>
      </w:pPr>
      <w:r>
        <w:rPr>
          <w:lang w:val="en-US"/>
        </w:rPr>
        <w:br w:type="page"/>
      </w:r>
      <w:r w:rsidRPr="008A5F4A">
        <w:rPr>
          <w:b/>
        </w:rPr>
        <w:t>MINIMUM PARTICULARS TO APPEAR ON BLISTERS OR STRIPS</w:t>
      </w:r>
    </w:p>
    <w:p w14:paraId="2DAA79DC" w14:textId="77777777" w:rsidR="00663784" w:rsidRPr="008A5F4A"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p>
    <w:p w14:paraId="0011B203"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r w:rsidRPr="008A5F4A">
        <w:rPr>
          <w:b/>
          <w:bCs/>
        </w:rPr>
        <w:t>BLISTERS – 28-TABLET PACK</w:t>
      </w:r>
    </w:p>
    <w:p w14:paraId="41E6BC56" w14:textId="77777777" w:rsidR="00663784" w:rsidRDefault="00663784" w:rsidP="00663784">
      <w:pPr>
        <w:suppressLineNumbers/>
        <w:spacing w:line="240" w:lineRule="auto"/>
      </w:pPr>
    </w:p>
    <w:p w14:paraId="4BD3FF44" w14:textId="77777777" w:rsidR="00663784" w:rsidRPr="008A5F4A" w:rsidRDefault="00663784" w:rsidP="00663784">
      <w:pPr>
        <w:suppressLineNumbers/>
        <w:spacing w:line="240" w:lineRule="auto"/>
      </w:pPr>
    </w:p>
    <w:p w14:paraId="1EF4BAE2"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outlineLvl w:val="1"/>
        <w:rPr>
          <w:b/>
          <w:bCs/>
        </w:rPr>
      </w:pPr>
      <w:r w:rsidRPr="008A5F4A">
        <w:rPr>
          <w:b/>
          <w:bCs/>
        </w:rPr>
        <w:t>1.</w:t>
      </w:r>
      <w:r w:rsidRPr="008A5F4A">
        <w:rPr>
          <w:b/>
          <w:bCs/>
        </w:rPr>
        <w:tab/>
        <w:t>NAME OF THE MEDICINAL PRODUCT</w:t>
      </w:r>
    </w:p>
    <w:p w14:paraId="2DB22826" w14:textId="77777777" w:rsidR="00663784" w:rsidRPr="008A5F4A" w:rsidRDefault="00663784" w:rsidP="00663784">
      <w:pPr>
        <w:suppressLineNumbers/>
        <w:tabs>
          <w:tab w:val="clear" w:pos="567"/>
        </w:tabs>
        <w:spacing w:line="240" w:lineRule="auto"/>
        <w:rPr>
          <w:i/>
          <w:iCs/>
        </w:rPr>
      </w:pPr>
    </w:p>
    <w:p w14:paraId="26BB0E8D" w14:textId="77777777" w:rsidR="00663784" w:rsidRPr="008A5F4A" w:rsidRDefault="005A3D7D" w:rsidP="00663784">
      <w:pPr>
        <w:tabs>
          <w:tab w:val="clear" w:pos="567"/>
        </w:tabs>
        <w:spacing w:line="240" w:lineRule="auto"/>
      </w:pPr>
      <w:r w:rsidRPr="008A5F4A">
        <w:t>Kalydeco 150 mg tablets</w:t>
      </w:r>
    </w:p>
    <w:p w14:paraId="7129FB68" w14:textId="77777777" w:rsidR="00663784" w:rsidRPr="008A5F4A" w:rsidRDefault="005A3D7D" w:rsidP="00663784">
      <w:pPr>
        <w:tabs>
          <w:tab w:val="clear" w:pos="567"/>
        </w:tabs>
        <w:spacing w:line="240" w:lineRule="auto"/>
        <w:rPr>
          <w:i/>
          <w:iCs/>
        </w:rPr>
      </w:pPr>
      <w:r w:rsidRPr="008A5F4A">
        <w:t>ivacaftor</w:t>
      </w:r>
    </w:p>
    <w:p w14:paraId="729EA9DB" w14:textId="77777777" w:rsidR="00663784" w:rsidRPr="008A5F4A" w:rsidRDefault="00663784" w:rsidP="00663784">
      <w:pPr>
        <w:suppressLineNumbers/>
        <w:tabs>
          <w:tab w:val="clear" w:pos="567"/>
        </w:tabs>
        <w:spacing w:line="240" w:lineRule="auto"/>
      </w:pPr>
    </w:p>
    <w:p w14:paraId="4BE7381C" w14:textId="77777777" w:rsidR="00663784" w:rsidRPr="008A5F4A" w:rsidRDefault="00663784" w:rsidP="00663784">
      <w:pPr>
        <w:suppressLineNumbers/>
        <w:tabs>
          <w:tab w:val="clear" w:pos="567"/>
        </w:tabs>
        <w:spacing w:line="240" w:lineRule="auto"/>
      </w:pPr>
    </w:p>
    <w:p w14:paraId="00606643"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outlineLvl w:val="1"/>
        <w:rPr>
          <w:b/>
          <w:bCs/>
        </w:rPr>
      </w:pPr>
      <w:r w:rsidRPr="008A5F4A">
        <w:rPr>
          <w:b/>
          <w:bCs/>
        </w:rPr>
        <w:t>2.</w:t>
      </w:r>
      <w:r w:rsidRPr="008A5F4A">
        <w:rPr>
          <w:b/>
          <w:bCs/>
        </w:rPr>
        <w:tab/>
        <w:t>NAME OF THE MARKETING AUTHORISATION HOLDER</w:t>
      </w:r>
    </w:p>
    <w:p w14:paraId="0D3FD4E3" w14:textId="77777777" w:rsidR="00663784" w:rsidRPr="008A5F4A" w:rsidRDefault="00663784" w:rsidP="00663784">
      <w:pPr>
        <w:suppressLineNumbers/>
        <w:tabs>
          <w:tab w:val="clear" w:pos="567"/>
        </w:tabs>
        <w:spacing w:line="240" w:lineRule="auto"/>
      </w:pPr>
    </w:p>
    <w:p w14:paraId="64D6B2F3" w14:textId="77777777" w:rsidR="00663784" w:rsidRPr="008A5F4A" w:rsidRDefault="005A3D7D" w:rsidP="00663784">
      <w:pPr>
        <w:tabs>
          <w:tab w:val="clear" w:pos="567"/>
        </w:tabs>
        <w:spacing w:line="240" w:lineRule="auto"/>
      </w:pPr>
      <w:r w:rsidRPr="008A5F4A">
        <w:t>Vertex</w:t>
      </w:r>
    </w:p>
    <w:p w14:paraId="1B9BFC1F" w14:textId="77777777" w:rsidR="00663784" w:rsidRPr="008A5F4A" w:rsidRDefault="00663784" w:rsidP="00663784">
      <w:pPr>
        <w:suppressLineNumbers/>
        <w:tabs>
          <w:tab w:val="clear" w:pos="567"/>
        </w:tabs>
        <w:spacing w:line="240" w:lineRule="auto"/>
      </w:pPr>
    </w:p>
    <w:p w14:paraId="4A23F260" w14:textId="77777777" w:rsidR="00663784" w:rsidRPr="008A5F4A" w:rsidRDefault="00663784" w:rsidP="00663784">
      <w:pPr>
        <w:suppressLineNumbers/>
        <w:tabs>
          <w:tab w:val="clear" w:pos="567"/>
        </w:tabs>
        <w:spacing w:line="240" w:lineRule="auto"/>
      </w:pPr>
    </w:p>
    <w:p w14:paraId="601620CB" w14:textId="77777777" w:rsidR="00663784" w:rsidRPr="008A5F4A" w:rsidRDefault="005A3D7D" w:rsidP="00663784">
      <w:pPr>
        <w:suppressLineNumbers/>
        <w:pBdr>
          <w:top w:val="single" w:sz="4" w:space="1" w:color="auto"/>
          <w:left w:val="single" w:sz="4" w:space="4" w:color="auto"/>
          <w:bottom w:val="single" w:sz="4" w:space="2" w:color="auto"/>
          <w:right w:val="single" w:sz="4" w:space="4" w:color="auto"/>
        </w:pBdr>
        <w:tabs>
          <w:tab w:val="clear" w:pos="567"/>
        </w:tabs>
        <w:spacing w:line="240" w:lineRule="auto"/>
        <w:outlineLvl w:val="1"/>
        <w:rPr>
          <w:b/>
          <w:bCs/>
        </w:rPr>
      </w:pPr>
      <w:r w:rsidRPr="008A5F4A">
        <w:rPr>
          <w:b/>
          <w:bCs/>
        </w:rPr>
        <w:t>3.</w:t>
      </w:r>
      <w:r w:rsidRPr="008A5F4A">
        <w:rPr>
          <w:b/>
          <w:bCs/>
        </w:rPr>
        <w:tab/>
        <w:t>EXPIRY DATE</w:t>
      </w:r>
    </w:p>
    <w:p w14:paraId="4BF4F65E" w14:textId="77777777" w:rsidR="00663784" w:rsidRPr="008A5F4A" w:rsidRDefault="00663784" w:rsidP="00663784">
      <w:pPr>
        <w:suppressLineNumbers/>
        <w:tabs>
          <w:tab w:val="clear" w:pos="567"/>
        </w:tabs>
        <w:spacing w:line="240" w:lineRule="auto"/>
      </w:pPr>
    </w:p>
    <w:p w14:paraId="0F9C6033" w14:textId="77777777" w:rsidR="00663784" w:rsidRPr="008A5F4A" w:rsidRDefault="005A3D7D" w:rsidP="00663784">
      <w:pPr>
        <w:suppressLineNumbers/>
        <w:tabs>
          <w:tab w:val="clear" w:pos="567"/>
        </w:tabs>
        <w:spacing w:line="240" w:lineRule="auto"/>
      </w:pPr>
      <w:r w:rsidRPr="008A5F4A">
        <w:t>EXP</w:t>
      </w:r>
    </w:p>
    <w:p w14:paraId="7D233527" w14:textId="77777777" w:rsidR="00663784" w:rsidRPr="008A5F4A" w:rsidRDefault="00663784" w:rsidP="00663784">
      <w:pPr>
        <w:suppressLineNumbers/>
        <w:tabs>
          <w:tab w:val="clear" w:pos="567"/>
        </w:tabs>
        <w:spacing w:line="240" w:lineRule="auto"/>
      </w:pPr>
    </w:p>
    <w:p w14:paraId="4ABB14F3" w14:textId="77777777" w:rsidR="00663784" w:rsidRPr="008A5F4A" w:rsidRDefault="00663784" w:rsidP="00663784">
      <w:pPr>
        <w:suppressLineNumbers/>
        <w:tabs>
          <w:tab w:val="clear" w:pos="567"/>
        </w:tabs>
        <w:spacing w:line="240" w:lineRule="auto"/>
      </w:pPr>
    </w:p>
    <w:p w14:paraId="061F8AD1"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outlineLvl w:val="1"/>
        <w:rPr>
          <w:b/>
          <w:bCs/>
        </w:rPr>
      </w:pPr>
      <w:r w:rsidRPr="008A5F4A">
        <w:rPr>
          <w:b/>
          <w:bCs/>
        </w:rPr>
        <w:t>4.</w:t>
      </w:r>
      <w:r w:rsidRPr="008A5F4A">
        <w:rPr>
          <w:b/>
          <w:bCs/>
        </w:rPr>
        <w:tab/>
        <w:t xml:space="preserve">BATCH </w:t>
      </w:r>
      <w:r w:rsidRPr="008A5F4A">
        <w:rPr>
          <w:b/>
          <w:bCs/>
        </w:rPr>
        <w:t>NUMBER</w:t>
      </w:r>
    </w:p>
    <w:p w14:paraId="031D33EB" w14:textId="77777777" w:rsidR="00663784" w:rsidRPr="008A5F4A" w:rsidRDefault="00663784" w:rsidP="00663784">
      <w:pPr>
        <w:suppressLineNumbers/>
        <w:tabs>
          <w:tab w:val="clear" w:pos="567"/>
        </w:tabs>
        <w:spacing w:line="240" w:lineRule="auto"/>
      </w:pPr>
    </w:p>
    <w:p w14:paraId="125D767F" w14:textId="77777777" w:rsidR="00663784" w:rsidRPr="008A5F4A" w:rsidRDefault="005A3D7D" w:rsidP="00663784">
      <w:pPr>
        <w:suppressLineNumbers/>
        <w:tabs>
          <w:tab w:val="clear" w:pos="567"/>
        </w:tabs>
        <w:spacing w:line="240" w:lineRule="auto"/>
      </w:pPr>
      <w:r w:rsidRPr="008A5F4A">
        <w:t>Lot</w:t>
      </w:r>
    </w:p>
    <w:p w14:paraId="26979B7D" w14:textId="77777777" w:rsidR="00663784" w:rsidRPr="008A5F4A" w:rsidRDefault="00663784" w:rsidP="00663784">
      <w:pPr>
        <w:suppressLineNumbers/>
        <w:tabs>
          <w:tab w:val="clear" w:pos="567"/>
        </w:tabs>
        <w:spacing w:line="240" w:lineRule="auto"/>
      </w:pPr>
    </w:p>
    <w:p w14:paraId="2134E17B" w14:textId="77777777" w:rsidR="00663784" w:rsidRPr="008A5F4A" w:rsidRDefault="00663784" w:rsidP="00663784">
      <w:pPr>
        <w:suppressLineNumbers/>
        <w:tabs>
          <w:tab w:val="clear" w:pos="567"/>
        </w:tabs>
        <w:spacing w:line="240" w:lineRule="auto"/>
      </w:pPr>
    </w:p>
    <w:p w14:paraId="04BAE1B6"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outlineLvl w:val="1"/>
        <w:rPr>
          <w:b/>
          <w:bCs/>
        </w:rPr>
      </w:pPr>
      <w:r w:rsidRPr="008A5F4A">
        <w:rPr>
          <w:b/>
          <w:bCs/>
        </w:rPr>
        <w:t>5.</w:t>
      </w:r>
      <w:r w:rsidRPr="008A5F4A">
        <w:rPr>
          <w:b/>
          <w:bCs/>
        </w:rPr>
        <w:tab/>
        <w:t>OTHER</w:t>
      </w:r>
    </w:p>
    <w:p w14:paraId="1071B52C" w14:textId="77777777" w:rsidR="00663784" w:rsidRPr="008A5F4A" w:rsidRDefault="00663784" w:rsidP="00663784">
      <w:pPr>
        <w:suppressLineNumbers/>
        <w:spacing w:line="240" w:lineRule="auto"/>
      </w:pPr>
    </w:p>
    <w:p w14:paraId="75401958" w14:textId="77777777" w:rsidR="00663784" w:rsidRPr="008A5F4A" w:rsidRDefault="00663784" w:rsidP="00663784">
      <w:pPr>
        <w:suppressLineNumbers/>
        <w:spacing w:line="240" w:lineRule="auto"/>
      </w:pPr>
    </w:p>
    <w:p w14:paraId="3719464C" w14:textId="77777777" w:rsidR="00663784" w:rsidRPr="008A5F4A" w:rsidRDefault="005A3D7D" w:rsidP="00663784">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b w:val="0"/>
          <w:bCs w:val="0"/>
          <w:sz w:val="22"/>
          <w:szCs w:val="22"/>
        </w:rPr>
      </w:pPr>
      <w:r w:rsidRPr="008A5F4A">
        <w:rPr>
          <w:rFonts w:ascii="Times New Roman" w:hAnsi="Times New Roman" w:cs="Times New Roman"/>
          <w:sz w:val="22"/>
          <w:szCs w:val="22"/>
        </w:rPr>
        <w:br w:type="column"/>
        <w:t>PARTICULARS TO APPEAR ON THE OUTER PACKAGING</w:t>
      </w:r>
    </w:p>
    <w:p w14:paraId="5FAA98DD" w14:textId="77777777" w:rsidR="00663784" w:rsidRPr="008A5F4A"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pPr>
    </w:p>
    <w:p w14:paraId="2EB74C86" w14:textId="77777777" w:rsidR="00663784" w:rsidRPr="008A5F4A" w:rsidRDefault="005A3D7D" w:rsidP="00663784">
      <w:pPr>
        <w:pBdr>
          <w:top w:val="single" w:sz="4" w:space="1" w:color="auto"/>
          <w:left w:val="single" w:sz="4" w:space="4" w:color="auto"/>
          <w:bottom w:val="single" w:sz="4" w:space="1" w:color="auto"/>
          <w:right w:val="single" w:sz="4" w:space="4" w:color="auto"/>
        </w:pBdr>
        <w:spacing w:line="240" w:lineRule="auto"/>
      </w:pPr>
      <w:r w:rsidRPr="008A5F4A">
        <w:rPr>
          <w:b/>
          <w:bCs/>
          <w:caps/>
        </w:rPr>
        <w:t>Outer carton</w:t>
      </w:r>
      <w:r w:rsidRPr="008A5F4A">
        <w:rPr>
          <w:b/>
          <w:bCs/>
        </w:rPr>
        <w:t xml:space="preserve"> FOR BOTTLE</w:t>
      </w:r>
    </w:p>
    <w:p w14:paraId="48FF7C48" w14:textId="77777777" w:rsidR="00663784" w:rsidRPr="008A5F4A" w:rsidRDefault="00663784" w:rsidP="00663784">
      <w:pPr>
        <w:suppressLineNumbers/>
        <w:spacing w:line="240" w:lineRule="auto"/>
      </w:pPr>
    </w:p>
    <w:p w14:paraId="0C4FBA90" w14:textId="77777777" w:rsidR="00663784" w:rsidRPr="008A5F4A" w:rsidRDefault="00663784" w:rsidP="00663784">
      <w:pPr>
        <w:suppressLineNumbers/>
        <w:spacing w:line="240" w:lineRule="auto"/>
      </w:pPr>
    </w:p>
    <w:p w14:paraId="69B4E912" w14:textId="77777777" w:rsidR="00663784" w:rsidRPr="008A5F4A" w:rsidRDefault="005A3D7D" w:rsidP="00663784">
      <w:pPr>
        <w:suppressLineNumbers/>
        <w:pBdr>
          <w:top w:val="single" w:sz="4" w:space="1" w:color="auto"/>
          <w:left w:val="single" w:sz="4" w:space="4" w:color="auto"/>
          <w:bottom w:val="single" w:sz="4" w:space="0" w:color="auto"/>
          <w:right w:val="single" w:sz="4" w:space="4" w:color="auto"/>
        </w:pBdr>
        <w:tabs>
          <w:tab w:val="clear" w:pos="567"/>
        </w:tabs>
        <w:spacing w:line="240" w:lineRule="auto"/>
        <w:ind w:left="720" w:hanging="720"/>
        <w:outlineLvl w:val="1"/>
      </w:pPr>
      <w:r w:rsidRPr="008A5F4A">
        <w:rPr>
          <w:b/>
          <w:bCs/>
        </w:rPr>
        <w:t>1.</w:t>
      </w:r>
      <w:r w:rsidRPr="008A5F4A">
        <w:rPr>
          <w:b/>
          <w:bCs/>
        </w:rPr>
        <w:tab/>
        <w:t>NAME OF THE MEDICINAL PRODUCT</w:t>
      </w:r>
    </w:p>
    <w:p w14:paraId="5C5E51AC" w14:textId="77777777" w:rsidR="00663784" w:rsidRPr="008A5F4A" w:rsidRDefault="00663784" w:rsidP="00663784">
      <w:pPr>
        <w:suppressLineNumbers/>
        <w:tabs>
          <w:tab w:val="clear" w:pos="567"/>
        </w:tabs>
        <w:spacing w:line="240" w:lineRule="auto"/>
        <w:ind w:left="720" w:hanging="720"/>
      </w:pPr>
    </w:p>
    <w:p w14:paraId="2970102C" w14:textId="77777777" w:rsidR="00663784" w:rsidRPr="008A5F4A" w:rsidRDefault="005A3D7D" w:rsidP="00663784">
      <w:pPr>
        <w:tabs>
          <w:tab w:val="clear" w:pos="567"/>
        </w:tabs>
        <w:spacing w:line="240" w:lineRule="auto"/>
        <w:ind w:left="720" w:hanging="720"/>
      </w:pPr>
      <w:r w:rsidRPr="008A5F4A">
        <w:t>Kalydeco 150 mg film</w:t>
      </w:r>
      <w:r w:rsidRPr="008A5F4A">
        <w:noBreakHyphen/>
        <w:t>coated tablets</w:t>
      </w:r>
    </w:p>
    <w:p w14:paraId="4B2935E9" w14:textId="77777777" w:rsidR="00663784" w:rsidRPr="008A5F4A" w:rsidRDefault="005A3D7D" w:rsidP="00663784">
      <w:pPr>
        <w:tabs>
          <w:tab w:val="clear" w:pos="567"/>
        </w:tabs>
        <w:spacing w:line="240" w:lineRule="auto"/>
        <w:ind w:left="720" w:hanging="720"/>
        <w:rPr>
          <w:i/>
          <w:iCs/>
        </w:rPr>
      </w:pPr>
      <w:r w:rsidRPr="008A5F4A">
        <w:t>ivacaftor</w:t>
      </w:r>
    </w:p>
    <w:p w14:paraId="070601E4" w14:textId="77777777" w:rsidR="00663784" w:rsidRPr="008A5F4A" w:rsidRDefault="00663784" w:rsidP="00663784">
      <w:pPr>
        <w:suppressLineNumbers/>
        <w:tabs>
          <w:tab w:val="clear" w:pos="567"/>
        </w:tabs>
        <w:spacing w:line="240" w:lineRule="auto"/>
        <w:ind w:left="720" w:hanging="720"/>
      </w:pPr>
    </w:p>
    <w:p w14:paraId="0C833DEE" w14:textId="77777777" w:rsidR="00663784" w:rsidRPr="008A5F4A" w:rsidRDefault="00663784" w:rsidP="00663784">
      <w:pPr>
        <w:suppressLineNumbers/>
        <w:tabs>
          <w:tab w:val="clear" w:pos="567"/>
        </w:tabs>
        <w:spacing w:line="240" w:lineRule="auto"/>
        <w:ind w:left="720" w:hanging="720"/>
      </w:pPr>
    </w:p>
    <w:p w14:paraId="21EB8C7C"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8A5F4A">
        <w:rPr>
          <w:b/>
          <w:bCs/>
        </w:rPr>
        <w:t>2.</w:t>
      </w:r>
      <w:r w:rsidRPr="008A5F4A">
        <w:rPr>
          <w:b/>
          <w:bCs/>
        </w:rPr>
        <w:tab/>
        <w:t>STATEMENT OF ACTIVE SUBSTANCE(S)</w:t>
      </w:r>
    </w:p>
    <w:p w14:paraId="64792D4A" w14:textId="77777777" w:rsidR="00663784" w:rsidRPr="008A5F4A" w:rsidRDefault="00663784" w:rsidP="00663784">
      <w:pPr>
        <w:suppressLineNumbers/>
        <w:tabs>
          <w:tab w:val="clear" w:pos="567"/>
        </w:tabs>
        <w:spacing w:line="240" w:lineRule="auto"/>
        <w:ind w:left="720" w:hanging="720"/>
        <w:rPr>
          <w:iCs/>
        </w:rPr>
      </w:pPr>
    </w:p>
    <w:p w14:paraId="17CB4B39" w14:textId="77777777" w:rsidR="00663784" w:rsidRPr="008A5F4A" w:rsidRDefault="005A3D7D" w:rsidP="00663784">
      <w:pPr>
        <w:tabs>
          <w:tab w:val="clear" w:pos="567"/>
        </w:tabs>
        <w:spacing w:line="240" w:lineRule="auto"/>
        <w:ind w:left="720" w:hanging="720"/>
      </w:pPr>
      <w:r w:rsidRPr="008A5F4A">
        <w:t xml:space="preserve">Each tablet contains 150 mg of </w:t>
      </w:r>
      <w:r w:rsidRPr="008A5F4A">
        <w:t>ivacaftor.</w:t>
      </w:r>
    </w:p>
    <w:p w14:paraId="6D118D4A" w14:textId="77777777" w:rsidR="00663784" w:rsidRPr="008A5F4A" w:rsidRDefault="00663784" w:rsidP="00663784">
      <w:pPr>
        <w:suppressLineNumbers/>
        <w:tabs>
          <w:tab w:val="clear" w:pos="567"/>
        </w:tabs>
        <w:spacing w:line="240" w:lineRule="auto"/>
        <w:ind w:left="720" w:hanging="720"/>
      </w:pPr>
    </w:p>
    <w:p w14:paraId="556649F1" w14:textId="77777777" w:rsidR="00663784" w:rsidRPr="008A5F4A" w:rsidRDefault="00663784" w:rsidP="00663784">
      <w:pPr>
        <w:suppressLineNumbers/>
        <w:tabs>
          <w:tab w:val="clear" w:pos="567"/>
        </w:tabs>
        <w:spacing w:line="240" w:lineRule="auto"/>
        <w:ind w:left="720" w:hanging="720"/>
      </w:pPr>
    </w:p>
    <w:p w14:paraId="502F7858"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3.</w:t>
      </w:r>
      <w:r w:rsidRPr="008A5F4A">
        <w:rPr>
          <w:b/>
          <w:bCs/>
        </w:rPr>
        <w:tab/>
        <w:t>LIST OF EXCIPIENTS</w:t>
      </w:r>
    </w:p>
    <w:p w14:paraId="4828A0FC" w14:textId="77777777" w:rsidR="00663784" w:rsidRPr="008A5F4A" w:rsidRDefault="00663784" w:rsidP="00663784">
      <w:pPr>
        <w:suppressLineNumbers/>
        <w:spacing w:line="240" w:lineRule="auto"/>
        <w:ind w:left="720" w:hanging="720"/>
      </w:pPr>
    </w:p>
    <w:p w14:paraId="59B4B54B" w14:textId="77777777" w:rsidR="00663784" w:rsidRPr="008A5F4A" w:rsidRDefault="005A3D7D" w:rsidP="00663784">
      <w:pPr>
        <w:tabs>
          <w:tab w:val="clear" w:pos="567"/>
        </w:tabs>
        <w:spacing w:line="240" w:lineRule="auto"/>
        <w:ind w:left="720" w:hanging="720"/>
      </w:pPr>
      <w:r w:rsidRPr="008A5F4A">
        <w:t>Contains lactose.</w:t>
      </w:r>
    </w:p>
    <w:p w14:paraId="049BDE9C" w14:textId="77777777" w:rsidR="00663784" w:rsidRPr="008A5F4A" w:rsidRDefault="00663784" w:rsidP="00663784">
      <w:pPr>
        <w:tabs>
          <w:tab w:val="clear" w:pos="567"/>
        </w:tabs>
        <w:spacing w:line="240" w:lineRule="auto"/>
        <w:ind w:left="720" w:hanging="720"/>
      </w:pPr>
    </w:p>
    <w:p w14:paraId="6AB7AA69" w14:textId="77777777" w:rsidR="00663784" w:rsidRPr="008A5F4A" w:rsidRDefault="005A3D7D" w:rsidP="00663784">
      <w:pPr>
        <w:tabs>
          <w:tab w:val="clear" w:pos="567"/>
        </w:tabs>
        <w:spacing w:line="240" w:lineRule="auto"/>
        <w:ind w:left="720" w:hanging="720"/>
      </w:pPr>
      <w:r w:rsidRPr="008A5F4A">
        <w:rPr>
          <w:highlight w:val="lightGray"/>
        </w:rPr>
        <w:t>See leaflet for further information.</w:t>
      </w:r>
    </w:p>
    <w:p w14:paraId="231170A3" w14:textId="77777777" w:rsidR="00663784" w:rsidRPr="008A5F4A" w:rsidRDefault="00663784" w:rsidP="00663784">
      <w:pPr>
        <w:suppressLineNumbers/>
        <w:tabs>
          <w:tab w:val="clear" w:pos="567"/>
        </w:tabs>
        <w:spacing w:line="240" w:lineRule="auto"/>
        <w:ind w:left="720" w:hanging="720"/>
      </w:pPr>
    </w:p>
    <w:p w14:paraId="6F1AE5AB" w14:textId="77777777" w:rsidR="00663784" w:rsidRPr="008A5F4A" w:rsidRDefault="00663784" w:rsidP="00663784">
      <w:pPr>
        <w:suppressLineNumbers/>
        <w:tabs>
          <w:tab w:val="clear" w:pos="567"/>
        </w:tabs>
        <w:spacing w:line="240" w:lineRule="auto"/>
        <w:ind w:left="720" w:hanging="720"/>
      </w:pPr>
    </w:p>
    <w:p w14:paraId="75E9C3C2"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4.</w:t>
      </w:r>
      <w:r w:rsidRPr="008A5F4A">
        <w:rPr>
          <w:b/>
          <w:bCs/>
        </w:rPr>
        <w:tab/>
        <w:t>PHARMACEUTICAL FORM AND CONTENTS</w:t>
      </w:r>
    </w:p>
    <w:p w14:paraId="2407E662" w14:textId="77777777" w:rsidR="00663784" w:rsidRPr="008A5F4A" w:rsidRDefault="00663784" w:rsidP="00663784">
      <w:pPr>
        <w:suppressLineNumbers/>
        <w:tabs>
          <w:tab w:val="clear" w:pos="567"/>
        </w:tabs>
        <w:spacing w:line="240" w:lineRule="auto"/>
        <w:ind w:left="720" w:hanging="720"/>
      </w:pPr>
    </w:p>
    <w:p w14:paraId="5E1E0FA6" w14:textId="77777777" w:rsidR="00663784" w:rsidRPr="008A5F4A" w:rsidRDefault="005A3D7D" w:rsidP="00663784">
      <w:pPr>
        <w:tabs>
          <w:tab w:val="clear" w:pos="567"/>
        </w:tabs>
        <w:spacing w:line="240" w:lineRule="auto"/>
        <w:ind w:left="720" w:hanging="720"/>
      </w:pPr>
      <w:r w:rsidRPr="008A5F4A">
        <w:t>56 tablets</w:t>
      </w:r>
    </w:p>
    <w:p w14:paraId="424B292C" w14:textId="77777777" w:rsidR="00663784" w:rsidRPr="008A5F4A" w:rsidRDefault="00663784" w:rsidP="00663784">
      <w:pPr>
        <w:suppressLineNumbers/>
        <w:tabs>
          <w:tab w:val="clear" w:pos="567"/>
        </w:tabs>
        <w:spacing w:line="240" w:lineRule="auto"/>
        <w:ind w:left="720" w:hanging="720"/>
      </w:pPr>
    </w:p>
    <w:p w14:paraId="58775CF7" w14:textId="77777777" w:rsidR="00663784" w:rsidRPr="008A5F4A" w:rsidRDefault="00663784" w:rsidP="00663784">
      <w:pPr>
        <w:suppressLineNumbers/>
        <w:tabs>
          <w:tab w:val="clear" w:pos="567"/>
        </w:tabs>
        <w:spacing w:line="240" w:lineRule="auto"/>
        <w:ind w:left="720" w:hanging="720"/>
      </w:pPr>
    </w:p>
    <w:p w14:paraId="763663B7"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5.</w:t>
      </w:r>
      <w:r w:rsidRPr="008A5F4A">
        <w:rPr>
          <w:b/>
          <w:bCs/>
        </w:rPr>
        <w:tab/>
        <w:t>METHOD AND ROUTE(S) OF ADMINISTRATION</w:t>
      </w:r>
    </w:p>
    <w:p w14:paraId="1F9C6A94" w14:textId="77777777" w:rsidR="00663784" w:rsidRPr="008A5F4A" w:rsidRDefault="00663784" w:rsidP="00663784">
      <w:pPr>
        <w:suppressLineNumbers/>
        <w:tabs>
          <w:tab w:val="clear" w:pos="567"/>
        </w:tabs>
        <w:spacing w:line="240" w:lineRule="auto"/>
        <w:ind w:left="720" w:hanging="720"/>
      </w:pPr>
    </w:p>
    <w:p w14:paraId="4EB1766C" w14:textId="77777777" w:rsidR="00663784" w:rsidRPr="008A5F4A" w:rsidRDefault="005A3D7D" w:rsidP="00663784">
      <w:pPr>
        <w:suppressLineNumbers/>
        <w:tabs>
          <w:tab w:val="clear" w:pos="567"/>
        </w:tabs>
        <w:spacing w:line="240" w:lineRule="auto"/>
        <w:ind w:left="720" w:hanging="720"/>
      </w:pPr>
      <w:r w:rsidRPr="008A5F4A">
        <w:t>Read the package leaflet before use.</w:t>
      </w:r>
    </w:p>
    <w:p w14:paraId="0918F217" w14:textId="77777777" w:rsidR="00663784" w:rsidRPr="008A5F4A" w:rsidRDefault="00663784" w:rsidP="00663784">
      <w:pPr>
        <w:suppressLineNumbers/>
        <w:tabs>
          <w:tab w:val="clear" w:pos="567"/>
        </w:tabs>
        <w:spacing w:line="240" w:lineRule="auto"/>
        <w:ind w:left="720" w:hanging="720"/>
      </w:pPr>
    </w:p>
    <w:p w14:paraId="1D0C2291" w14:textId="77777777" w:rsidR="00663784" w:rsidRPr="008A5F4A" w:rsidRDefault="005A3D7D" w:rsidP="00663784">
      <w:pPr>
        <w:tabs>
          <w:tab w:val="clear" w:pos="567"/>
        </w:tabs>
        <w:spacing w:line="240" w:lineRule="auto"/>
        <w:ind w:left="720" w:hanging="720"/>
      </w:pPr>
      <w:r w:rsidRPr="008A5F4A">
        <w:t>Oral use</w:t>
      </w:r>
    </w:p>
    <w:p w14:paraId="7596CFB7" w14:textId="77777777" w:rsidR="00663784" w:rsidRPr="008A5F4A" w:rsidRDefault="00663784" w:rsidP="00663784">
      <w:pPr>
        <w:suppressLineNumbers/>
        <w:tabs>
          <w:tab w:val="clear" w:pos="567"/>
        </w:tabs>
        <w:autoSpaceDE w:val="0"/>
        <w:autoSpaceDN w:val="0"/>
        <w:adjustRightInd w:val="0"/>
        <w:spacing w:line="240" w:lineRule="auto"/>
        <w:ind w:left="720" w:hanging="720"/>
      </w:pPr>
    </w:p>
    <w:p w14:paraId="35ABA4C7" w14:textId="77777777" w:rsidR="00663784" w:rsidRDefault="005A3D7D" w:rsidP="00663784">
      <w:pPr>
        <w:suppressLineNumbers/>
        <w:tabs>
          <w:tab w:val="clear" w:pos="567"/>
        </w:tabs>
        <w:autoSpaceDE w:val="0"/>
        <w:autoSpaceDN w:val="0"/>
        <w:adjustRightInd w:val="0"/>
        <w:spacing w:line="240" w:lineRule="auto"/>
        <w:ind w:left="720" w:hanging="720"/>
        <w:rPr>
          <w:b/>
          <w:bCs/>
          <w:lang w:val="en-US"/>
        </w:rPr>
      </w:pPr>
      <w:r>
        <w:rPr>
          <w:b/>
          <w:bCs/>
          <w:lang w:val="en-US"/>
        </w:rPr>
        <w:t>Instructions for use</w:t>
      </w:r>
    </w:p>
    <w:p w14:paraId="14DD4588" w14:textId="77777777" w:rsidR="00663784" w:rsidRPr="008A5F4A" w:rsidRDefault="00663784" w:rsidP="00663784">
      <w:pPr>
        <w:suppressLineNumbers/>
        <w:tabs>
          <w:tab w:val="clear" w:pos="567"/>
        </w:tabs>
        <w:autoSpaceDE w:val="0"/>
        <w:autoSpaceDN w:val="0"/>
        <w:adjustRightInd w:val="0"/>
        <w:spacing w:line="240" w:lineRule="auto"/>
        <w:ind w:left="720" w:hanging="720"/>
        <w:rPr>
          <w:b/>
          <w:bCs/>
          <w:lang w:val="en-US"/>
        </w:rPr>
      </w:pPr>
    </w:p>
    <w:p w14:paraId="07C120B7" w14:textId="77777777" w:rsidR="00663784" w:rsidRPr="008A5F4A" w:rsidRDefault="005A3D7D" w:rsidP="00663784">
      <w:pPr>
        <w:suppressLineNumbers/>
        <w:tabs>
          <w:tab w:val="clear" w:pos="567"/>
        </w:tabs>
        <w:autoSpaceDE w:val="0"/>
        <w:autoSpaceDN w:val="0"/>
        <w:adjustRightInd w:val="0"/>
        <w:spacing w:line="240" w:lineRule="auto"/>
        <w:ind w:left="720" w:hanging="720"/>
        <w:rPr>
          <w:lang w:val="en-US"/>
        </w:rPr>
      </w:pPr>
      <w:r w:rsidRPr="008A5F4A">
        <w:rPr>
          <w:lang w:val="en-US"/>
        </w:rPr>
        <w:t>Take with fat-containing food.</w:t>
      </w:r>
    </w:p>
    <w:p w14:paraId="1710C9B3" w14:textId="77777777" w:rsidR="00663784" w:rsidRPr="008A5F4A" w:rsidRDefault="00663784" w:rsidP="00663784">
      <w:pPr>
        <w:suppressLineNumbers/>
        <w:tabs>
          <w:tab w:val="clear" w:pos="567"/>
        </w:tabs>
        <w:autoSpaceDE w:val="0"/>
        <w:autoSpaceDN w:val="0"/>
        <w:adjustRightInd w:val="0"/>
        <w:spacing w:line="240" w:lineRule="auto"/>
        <w:ind w:left="720" w:hanging="720"/>
      </w:pPr>
    </w:p>
    <w:p w14:paraId="7A169ADC" w14:textId="77777777" w:rsidR="00663784" w:rsidRPr="008A5F4A" w:rsidRDefault="005A3D7D" w:rsidP="00663784">
      <w:pPr>
        <w:suppressLineNumbers/>
        <w:tabs>
          <w:tab w:val="clear" w:pos="567"/>
        </w:tabs>
        <w:autoSpaceDE w:val="0"/>
        <w:autoSpaceDN w:val="0"/>
        <w:adjustRightInd w:val="0"/>
        <w:spacing w:line="240" w:lineRule="auto"/>
        <w:ind w:left="720" w:hanging="720"/>
        <w:rPr>
          <w:lang w:val="en-US"/>
        </w:rPr>
      </w:pPr>
      <w:r w:rsidRPr="008A5F4A">
        <w:t>Do not break, chew or dissolve the tablets.</w:t>
      </w:r>
    </w:p>
    <w:p w14:paraId="503FEB06" w14:textId="77777777" w:rsidR="00663784" w:rsidRPr="008A5F4A" w:rsidRDefault="00663784" w:rsidP="00663784">
      <w:pPr>
        <w:suppressLineNumbers/>
        <w:tabs>
          <w:tab w:val="clear" w:pos="567"/>
        </w:tabs>
        <w:autoSpaceDE w:val="0"/>
        <w:autoSpaceDN w:val="0"/>
        <w:adjustRightInd w:val="0"/>
        <w:spacing w:line="240" w:lineRule="auto"/>
        <w:ind w:left="720" w:hanging="720"/>
      </w:pPr>
    </w:p>
    <w:p w14:paraId="3F281DD2" w14:textId="77777777" w:rsidR="00663784" w:rsidRPr="008A5F4A" w:rsidRDefault="00663784" w:rsidP="00663784">
      <w:pPr>
        <w:suppressLineNumbers/>
        <w:tabs>
          <w:tab w:val="clear" w:pos="567"/>
        </w:tabs>
        <w:autoSpaceDE w:val="0"/>
        <w:autoSpaceDN w:val="0"/>
        <w:adjustRightInd w:val="0"/>
        <w:spacing w:line="240" w:lineRule="auto"/>
        <w:ind w:left="720" w:hanging="720"/>
      </w:pPr>
    </w:p>
    <w:p w14:paraId="010CD690"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6.</w:t>
      </w:r>
      <w:r w:rsidRPr="008A5F4A">
        <w:rPr>
          <w:b/>
          <w:bCs/>
        </w:rPr>
        <w:tab/>
        <w:t>SPECIAL WARNING THAT THE MEDICINAL PRODUCT MUST BE STORED OUT OF THE SIGHT AND REACH OF CHILDREN</w:t>
      </w:r>
    </w:p>
    <w:p w14:paraId="648FFA8C" w14:textId="77777777" w:rsidR="00663784" w:rsidRPr="008A5F4A" w:rsidRDefault="00663784" w:rsidP="00663784">
      <w:pPr>
        <w:suppressLineNumbers/>
        <w:tabs>
          <w:tab w:val="clear" w:pos="567"/>
        </w:tabs>
        <w:spacing w:line="240" w:lineRule="auto"/>
        <w:ind w:left="720" w:hanging="720"/>
      </w:pPr>
    </w:p>
    <w:p w14:paraId="028BBB75" w14:textId="77777777" w:rsidR="00663784" w:rsidRPr="008A5F4A" w:rsidRDefault="005A3D7D" w:rsidP="00663784">
      <w:pPr>
        <w:suppressLineNumbers/>
        <w:tabs>
          <w:tab w:val="clear" w:pos="567"/>
        </w:tabs>
        <w:spacing w:line="240" w:lineRule="auto"/>
        <w:ind w:left="720" w:hanging="720"/>
        <w:outlineLvl w:val="0"/>
      </w:pPr>
      <w:r w:rsidRPr="008A5F4A">
        <w:t>Keep out of the sight and reach of children.</w:t>
      </w:r>
    </w:p>
    <w:p w14:paraId="45A33A57" w14:textId="77777777" w:rsidR="00663784" w:rsidRPr="008A5F4A" w:rsidRDefault="00663784" w:rsidP="00663784">
      <w:pPr>
        <w:suppressLineNumbers/>
        <w:tabs>
          <w:tab w:val="clear" w:pos="567"/>
        </w:tabs>
        <w:spacing w:line="240" w:lineRule="auto"/>
        <w:ind w:left="720" w:hanging="720"/>
      </w:pPr>
    </w:p>
    <w:p w14:paraId="2201F659" w14:textId="77777777" w:rsidR="00663784" w:rsidRPr="008A5F4A" w:rsidRDefault="00663784" w:rsidP="00663784">
      <w:pPr>
        <w:suppressLineNumbers/>
        <w:tabs>
          <w:tab w:val="clear" w:pos="567"/>
        </w:tabs>
        <w:spacing w:line="240" w:lineRule="auto"/>
        <w:ind w:left="720" w:hanging="720"/>
      </w:pPr>
    </w:p>
    <w:p w14:paraId="40547D8A"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7.</w:t>
      </w:r>
      <w:r w:rsidRPr="008A5F4A">
        <w:rPr>
          <w:b/>
          <w:bCs/>
        </w:rPr>
        <w:tab/>
      </w:r>
      <w:r w:rsidRPr="008A5F4A">
        <w:rPr>
          <w:b/>
          <w:bCs/>
        </w:rPr>
        <w:t>OTHER SPECIAL WARNING(S), IF NECESSARY</w:t>
      </w:r>
    </w:p>
    <w:p w14:paraId="0460DC5F" w14:textId="77777777" w:rsidR="00663784" w:rsidRPr="008A5F4A" w:rsidRDefault="00663784" w:rsidP="00663784">
      <w:pPr>
        <w:suppressLineNumbers/>
        <w:tabs>
          <w:tab w:val="clear" w:pos="567"/>
        </w:tabs>
        <w:spacing w:line="240" w:lineRule="auto"/>
        <w:ind w:left="720" w:hanging="720"/>
      </w:pPr>
    </w:p>
    <w:p w14:paraId="12F2D5B2" w14:textId="77777777" w:rsidR="00663784" w:rsidRPr="008A5F4A" w:rsidRDefault="00663784" w:rsidP="00663784">
      <w:pPr>
        <w:suppressLineNumbers/>
        <w:tabs>
          <w:tab w:val="clear" w:pos="567"/>
          <w:tab w:val="left" w:pos="749"/>
        </w:tabs>
        <w:spacing w:line="240" w:lineRule="auto"/>
        <w:ind w:left="720" w:hanging="720"/>
      </w:pPr>
    </w:p>
    <w:p w14:paraId="08FCD573"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8.</w:t>
      </w:r>
      <w:r w:rsidRPr="008A5F4A">
        <w:rPr>
          <w:b/>
          <w:bCs/>
        </w:rPr>
        <w:tab/>
        <w:t>EXPIRY DATE</w:t>
      </w:r>
    </w:p>
    <w:p w14:paraId="669550B3" w14:textId="77777777" w:rsidR="00663784" w:rsidRPr="008A5F4A" w:rsidRDefault="00663784" w:rsidP="00663784">
      <w:pPr>
        <w:suppressLineNumbers/>
        <w:spacing w:line="240" w:lineRule="auto"/>
        <w:ind w:left="720" w:hanging="720"/>
      </w:pPr>
    </w:p>
    <w:p w14:paraId="0945DE83" w14:textId="77777777" w:rsidR="00663784" w:rsidRPr="008A5F4A" w:rsidRDefault="005A3D7D" w:rsidP="00663784">
      <w:pPr>
        <w:suppressLineNumbers/>
        <w:spacing w:line="240" w:lineRule="auto"/>
        <w:ind w:left="720" w:hanging="720"/>
      </w:pPr>
      <w:r w:rsidRPr="008A5F4A">
        <w:t>EXP</w:t>
      </w:r>
    </w:p>
    <w:p w14:paraId="58760840" w14:textId="77777777" w:rsidR="00663784" w:rsidRPr="008A5F4A" w:rsidRDefault="00663784" w:rsidP="00663784">
      <w:pPr>
        <w:spacing w:line="240" w:lineRule="auto"/>
        <w:ind w:left="720" w:hanging="720"/>
      </w:pPr>
    </w:p>
    <w:p w14:paraId="43277616" w14:textId="77777777" w:rsidR="00663784" w:rsidRPr="008A5F4A" w:rsidRDefault="00663784" w:rsidP="00663784">
      <w:pPr>
        <w:spacing w:line="240" w:lineRule="auto"/>
        <w:ind w:left="720" w:hanging="720"/>
      </w:pPr>
    </w:p>
    <w:p w14:paraId="5BEA06FA" w14:textId="77777777" w:rsidR="00663784" w:rsidRPr="008A5F4A" w:rsidRDefault="005A3D7D" w:rsidP="00663784">
      <w:pPr>
        <w:keepNext/>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8A5F4A">
        <w:rPr>
          <w:b/>
          <w:bCs/>
        </w:rPr>
        <w:t>9.</w:t>
      </w:r>
      <w:r w:rsidRPr="008A5F4A">
        <w:rPr>
          <w:b/>
          <w:bCs/>
        </w:rPr>
        <w:tab/>
        <w:t>SPECIAL STORAGE CONDITIONS</w:t>
      </w:r>
    </w:p>
    <w:p w14:paraId="3C1A8E9F" w14:textId="77777777" w:rsidR="00663784" w:rsidRPr="008A5F4A" w:rsidRDefault="00663784" w:rsidP="00663784">
      <w:pPr>
        <w:keepNext/>
        <w:suppressLineNumbers/>
        <w:spacing w:line="240" w:lineRule="auto"/>
        <w:ind w:left="720" w:hanging="720"/>
      </w:pPr>
    </w:p>
    <w:p w14:paraId="61DE2F85" w14:textId="77777777" w:rsidR="00663784" w:rsidRPr="008A5F4A" w:rsidRDefault="00663784" w:rsidP="00663784">
      <w:pPr>
        <w:suppressLineNumbers/>
        <w:spacing w:line="240" w:lineRule="auto"/>
        <w:ind w:left="720" w:hanging="720"/>
      </w:pPr>
    </w:p>
    <w:p w14:paraId="23D1DF47" w14:textId="77777777" w:rsidR="00663784" w:rsidRPr="008A5F4A" w:rsidRDefault="005A3D7D"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8A5F4A">
        <w:rPr>
          <w:b/>
          <w:bCs/>
        </w:rPr>
        <w:t>10.</w:t>
      </w:r>
      <w:r w:rsidRPr="008A5F4A">
        <w:rPr>
          <w:b/>
          <w:bCs/>
        </w:rPr>
        <w:tab/>
        <w:t>SPECIAL PRECAUTIONS FOR DISPOSAL OF UNUSED MEDICINAL PRODUCTS OR WASTE MATERIALS DERIVED FROM SUCH MEDICINAL PRODUCTS, IF APPROPRIATE</w:t>
      </w:r>
    </w:p>
    <w:p w14:paraId="456F7817" w14:textId="77777777" w:rsidR="00663784" w:rsidRPr="008A5F4A" w:rsidRDefault="00663784" w:rsidP="00663784">
      <w:pPr>
        <w:suppressLineNumbers/>
        <w:spacing w:line="240" w:lineRule="auto"/>
        <w:ind w:left="720" w:hanging="720"/>
      </w:pPr>
    </w:p>
    <w:p w14:paraId="605EE744" w14:textId="77777777" w:rsidR="00663784" w:rsidRPr="008A5F4A" w:rsidRDefault="00663784" w:rsidP="00663784">
      <w:pPr>
        <w:suppressLineNumbers/>
        <w:spacing w:line="240" w:lineRule="auto"/>
        <w:ind w:left="720" w:hanging="720"/>
      </w:pPr>
    </w:p>
    <w:p w14:paraId="33DAFE89"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8A5F4A">
        <w:rPr>
          <w:b/>
          <w:bCs/>
        </w:rPr>
        <w:t>11.</w:t>
      </w:r>
      <w:r w:rsidRPr="008A5F4A">
        <w:rPr>
          <w:b/>
          <w:bCs/>
        </w:rPr>
        <w:tab/>
        <w:t xml:space="preserve">NAME AND </w:t>
      </w:r>
      <w:r w:rsidRPr="008A5F4A">
        <w:rPr>
          <w:b/>
          <w:bCs/>
        </w:rPr>
        <w:t>ADDRESS OF THE MARKETING AUTHORISATION HOLDER</w:t>
      </w:r>
    </w:p>
    <w:p w14:paraId="736397A5" w14:textId="77777777" w:rsidR="00663784" w:rsidRPr="008A5F4A" w:rsidRDefault="00663784" w:rsidP="00663784">
      <w:pPr>
        <w:suppressLineNumbers/>
        <w:spacing w:line="240" w:lineRule="auto"/>
        <w:ind w:left="720" w:hanging="720"/>
      </w:pPr>
    </w:p>
    <w:p w14:paraId="4EBD98E4" w14:textId="77777777" w:rsidR="00663784" w:rsidRPr="00420287" w:rsidRDefault="005A3D7D" w:rsidP="00663784">
      <w:pPr>
        <w:rPr>
          <w:iCs/>
        </w:rPr>
      </w:pPr>
      <w:r w:rsidRPr="00420287">
        <w:rPr>
          <w:iCs/>
        </w:rPr>
        <w:t>Vertex Pharmaceuticals (Ireland) Limited</w:t>
      </w:r>
    </w:p>
    <w:p w14:paraId="5A9F37B8" w14:textId="77777777" w:rsidR="00663784" w:rsidRPr="00420287" w:rsidRDefault="005A3D7D" w:rsidP="00663784">
      <w:pPr>
        <w:rPr>
          <w:iCs/>
        </w:rPr>
      </w:pPr>
      <w:r w:rsidRPr="00420287">
        <w:rPr>
          <w:iCs/>
        </w:rPr>
        <w:t>28-32 Pembroke Street Upper</w:t>
      </w:r>
    </w:p>
    <w:p w14:paraId="29298655" w14:textId="77777777" w:rsidR="00663784" w:rsidRPr="00420287" w:rsidRDefault="005A3D7D" w:rsidP="00663784">
      <w:pPr>
        <w:rPr>
          <w:iCs/>
        </w:rPr>
      </w:pPr>
      <w:r w:rsidRPr="00420287">
        <w:rPr>
          <w:iCs/>
        </w:rPr>
        <w:t>Dublin 2</w:t>
      </w:r>
      <w:r>
        <w:rPr>
          <w:iCs/>
        </w:rPr>
        <w:t xml:space="preserve">, </w:t>
      </w:r>
      <w:r w:rsidRPr="00420287">
        <w:rPr>
          <w:iCs/>
        </w:rPr>
        <w:t>D02 EK84</w:t>
      </w:r>
    </w:p>
    <w:p w14:paraId="3913215A" w14:textId="77777777" w:rsidR="00663784" w:rsidRDefault="005A3D7D" w:rsidP="00663784">
      <w:pPr>
        <w:suppressLineNumbers/>
        <w:spacing w:line="240" w:lineRule="auto"/>
        <w:ind w:left="720" w:hanging="720"/>
        <w:rPr>
          <w:iCs/>
        </w:rPr>
      </w:pPr>
      <w:r w:rsidRPr="00420287">
        <w:rPr>
          <w:iCs/>
        </w:rPr>
        <w:t>Ireland</w:t>
      </w:r>
    </w:p>
    <w:p w14:paraId="2DF3558F" w14:textId="77777777" w:rsidR="00663784" w:rsidRPr="008A5F4A" w:rsidRDefault="00663784" w:rsidP="00663784">
      <w:pPr>
        <w:suppressLineNumbers/>
        <w:spacing w:line="240" w:lineRule="auto"/>
        <w:ind w:left="720" w:hanging="720"/>
      </w:pPr>
    </w:p>
    <w:p w14:paraId="6B261CF2" w14:textId="77777777" w:rsidR="00663784" w:rsidRPr="008A5F4A" w:rsidRDefault="00663784" w:rsidP="00663784">
      <w:pPr>
        <w:suppressLineNumbers/>
        <w:spacing w:line="240" w:lineRule="auto"/>
        <w:ind w:left="720" w:hanging="720"/>
      </w:pPr>
    </w:p>
    <w:p w14:paraId="3031737D"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12.</w:t>
      </w:r>
      <w:r w:rsidRPr="008A5F4A">
        <w:rPr>
          <w:b/>
          <w:bCs/>
        </w:rPr>
        <w:tab/>
        <w:t xml:space="preserve">MARKETING AUTHORISATION NUMBER(S) </w:t>
      </w:r>
    </w:p>
    <w:p w14:paraId="74285ABF" w14:textId="77777777" w:rsidR="00663784" w:rsidRPr="008A5F4A" w:rsidRDefault="00663784" w:rsidP="00663784">
      <w:pPr>
        <w:suppressLineNumbers/>
        <w:spacing w:line="240" w:lineRule="auto"/>
        <w:ind w:left="720" w:hanging="720"/>
      </w:pPr>
    </w:p>
    <w:p w14:paraId="4B2E5782" w14:textId="77777777" w:rsidR="00663784" w:rsidRPr="008A5F4A" w:rsidRDefault="005A3D7D" w:rsidP="00663784">
      <w:pPr>
        <w:suppressLineNumbers/>
        <w:spacing w:line="240" w:lineRule="auto"/>
        <w:ind w:left="720" w:hanging="720"/>
        <w:outlineLvl w:val="0"/>
      </w:pPr>
      <w:r w:rsidRPr="008A5F4A">
        <w:t>EU/1/12/782/001</w:t>
      </w:r>
    </w:p>
    <w:p w14:paraId="4BDFF576" w14:textId="77777777" w:rsidR="00663784" w:rsidRPr="008A5F4A" w:rsidRDefault="00663784" w:rsidP="00663784">
      <w:pPr>
        <w:suppressLineNumbers/>
        <w:spacing w:line="240" w:lineRule="auto"/>
        <w:ind w:left="720" w:hanging="720"/>
      </w:pPr>
    </w:p>
    <w:p w14:paraId="69D88489" w14:textId="77777777" w:rsidR="00663784" w:rsidRPr="008A5F4A" w:rsidRDefault="00663784" w:rsidP="00663784">
      <w:pPr>
        <w:suppressLineNumbers/>
        <w:tabs>
          <w:tab w:val="clear" w:pos="567"/>
        </w:tabs>
        <w:spacing w:line="240" w:lineRule="auto"/>
        <w:ind w:left="720" w:hanging="720"/>
      </w:pPr>
    </w:p>
    <w:p w14:paraId="32615F5A"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13.</w:t>
      </w:r>
      <w:r w:rsidRPr="008A5F4A">
        <w:rPr>
          <w:b/>
          <w:bCs/>
        </w:rPr>
        <w:tab/>
        <w:t>BATCH NUMBER</w:t>
      </w:r>
    </w:p>
    <w:p w14:paraId="5C93C288" w14:textId="77777777" w:rsidR="00663784" w:rsidRPr="008A5F4A" w:rsidRDefault="00663784" w:rsidP="00663784">
      <w:pPr>
        <w:suppressLineNumbers/>
        <w:spacing w:line="240" w:lineRule="auto"/>
        <w:ind w:left="720" w:hanging="720"/>
        <w:rPr>
          <w:i/>
          <w:iCs/>
        </w:rPr>
      </w:pPr>
    </w:p>
    <w:p w14:paraId="2B9AB625" w14:textId="77777777" w:rsidR="00663784" w:rsidRPr="008A5F4A" w:rsidRDefault="005A3D7D" w:rsidP="00663784">
      <w:pPr>
        <w:suppressLineNumbers/>
        <w:spacing w:line="240" w:lineRule="auto"/>
        <w:ind w:left="720" w:hanging="720"/>
      </w:pPr>
      <w:r w:rsidRPr="008A5F4A">
        <w:t>Lot</w:t>
      </w:r>
    </w:p>
    <w:p w14:paraId="694A8201" w14:textId="77777777" w:rsidR="00663784" w:rsidRPr="008A5F4A" w:rsidRDefault="00663784" w:rsidP="00663784">
      <w:pPr>
        <w:suppressLineNumbers/>
        <w:spacing w:line="240" w:lineRule="auto"/>
        <w:ind w:left="720" w:hanging="720"/>
      </w:pPr>
    </w:p>
    <w:p w14:paraId="6A6A5506" w14:textId="77777777" w:rsidR="00663784" w:rsidRPr="008A5F4A" w:rsidRDefault="00663784" w:rsidP="00663784">
      <w:pPr>
        <w:suppressLineNumbers/>
        <w:spacing w:line="240" w:lineRule="auto"/>
        <w:ind w:left="720" w:hanging="720"/>
      </w:pPr>
    </w:p>
    <w:p w14:paraId="0C4CC044" w14:textId="77777777" w:rsidR="00663784" w:rsidRPr="008A5F4A"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14.</w:t>
      </w:r>
      <w:r w:rsidRPr="008A5F4A">
        <w:rPr>
          <w:b/>
          <w:bCs/>
        </w:rPr>
        <w:tab/>
        <w:t xml:space="preserve">GENERAL </w:t>
      </w:r>
      <w:r w:rsidRPr="008A5F4A">
        <w:rPr>
          <w:b/>
          <w:bCs/>
        </w:rPr>
        <w:t>CLASSIFICATION FOR SUPPLY</w:t>
      </w:r>
    </w:p>
    <w:p w14:paraId="7778B88E" w14:textId="77777777" w:rsidR="00663784" w:rsidRPr="008A5F4A" w:rsidRDefault="00663784" w:rsidP="00663784">
      <w:pPr>
        <w:suppressLineNumbers/>
        <w:tabs>
          <w:tab w:val="clear" w:pos="567"/>
        </w:tabs>
        <w:spacing w:line="240" w:lineRule="auto"/>
        <w:ind w:left="720" w:hanging="720"/>
      </w:pPr>
    </w:p>
    <w:p w14:paraId="6D4D2734" w14:textId="77777777" w:rsidR="00663784" w:rsidRPr="008A5F4A" w:rsidRDefault="00663784" w:rsidP="00663784">
      <w:pPr>
        <w:suppressLineNumbers/>
        <w:tabs>
          <w:tab w:val="clear" w:pos="567"/>
        </w:tabs>
        <w:spacing w:line="240" w:lineRule="auto"/>
        <w:ind w:left="720" w:hanging="720"/>
      </w:pPr>
    </w:p>
    <w:p w14:paraId="43E5ED67" w14:textId="77777777" w:rsidR="00663784" w:rsidRPr="008A5F4A" w:rsidRDefault="005A3D7D"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8A5F4A">
        <w:rPr>
          <w:b/>
          <w:bCs/>
        </w:rPr>
        <w:t>15.</w:t>
      </w:r>
      <w:r w:rsidRPr="008A5F4A">
        <w:rPr>
          <w:b/>
          <w:bCs/>
        </w:rPr>
        <w:tab/>
        <w:t>INSTRUCTIONS ON USE</w:t>
      </w:r>
    </w:p>
    <w:p w14:paraId="66D15777" w14:textId="77777777" w:rsidR="00663784" w:rsidRPr="008A5F4A" w:rsidRDefault="00663784" w:rsidP="00663784">
      <w:pPr>
        <w:suppressLineNumbers/>
        <w:spacing w:line="240" w:lineRule="auto"/>
        <w:ind w:left="720" w:hanging="720"/>
      </w:pPr>
    </w:p>
    <w:p w14:paraId="08156246" w14:textId="77777777" w:rsidR="00663784" w:rsidRPr="008A5F4A" w:rsidRDefault="00663784" w:rsidP="00663784">
      <w:pPr>
        <w:suppressLineNumbers/>
        <w:spacing w:line="240" w:lineRule="auto"/>
        <w:ind w:left="720" w:hanging="720"/>
      </w:pPr>
    </w:p>
    <w:p w14:paraId="3767DC71" w14:textId="77777777" w:rsidR="00663784" w:rsidRPr="008A5F4A"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8A5F4A">
        <w:rPr>
          <w:sz w:val="22"/>
          <w:szCs w:val="22"/>
        </w:rPr>
        <w:t>16.</w:t>
      </w:r>
      <w:r w:rsidRPr="008A5F4A">
        <w:rPr>
          <w:sz w:val="22"/>
          <w:szCs w:val="22"/>
        </w:rPr>
        <w:tab/>
        <w:t>INFORMATION IN BRAILLE</w:t>
      </w:r>
    </w:p>
    <w:p w14:paraId="268099B1" w14:textId="77777777" w:rsidR="00663784" w:rsidRPr="008A5F4A" w:rsidRDefault="00663784" w:rsidP="00663784">
      <w:pPr>
        <w:suppressLineNumbers/>
        <w:spacing w:line="240" w:lineRule="auto"/>
        <w:ind w:left="720" w:hanging="720"/>
        <w:rPr>
          <w:shd w:val="clear" w:color="auto" w:fill="CCCCCC"/>
        </w:rPr>
      </w:pPr>
    </w:p>
    <w:p w14:paraId="2E94EF72" w14:textId="77777777" w:rsidR="00663784" w:rsidRPr="008A5F4A" w:rsidRDefault="005A3D7D" w:rsidP="00663784">
      <w:pPr>
        <w:tabs>
          <w:tab w:val="clear" w:pos="567"/>
        </w:tabs>
        <w:spacing w:line="240" w:lineRule="auto"/>
        <w:ind w:left="720" w:hanging="720"/>
      </w:pPr>
      <w:r w:rsidRPr="008A5F4A">
        <w:t>Kalydeco 150 mg tablets</w:t>
      </w:r>
    </w:p>
    <w:p w14:paraId="22B2C195" w14:textId="77777777" w:rsidR="00663784" w:rsidRPr="008A5F4A" w:rsidRDefault="00663784" w:rsidP="00663784">
      <w:pPr>
        <w:spacing w:line="240" w:lineRule="auto"/>
        <w:ind w:left="720" w:hanging="720"/>
      </w:pPr>
    </w:p>
    <w:p w14:paraId="3EB92A73" w14:textId="77777777" w:rsidR="00663784" w:rsidRPr="008A5F4A" w:rsidRDefault="00663784" w:rsidP="00663784">
      <w:pPr>
        <w:spacing w:line="240" w:lineRule="auto"/>
        <w:ind w:left="720" w:hanging="720"/>
      </w:pPr>
    </w:p>
    <w:p w14:paraId="609E55E4" w14:textId="77777777" w:rsidR="00663784" w:rsidRPr="008A5F4A"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8A5F4A">
        <w:rPr>
          <w:sz w:val="22"/>
          <w:szCs w:val="22"/>
        </w:rPr>
        <w:t>17.</w:t>
      </w:r>
      <w:r w:rsidRPr="008A5F4A">
        <w:rPr>
          <w:sz w:val="22"/>
          <w:szCs w:val="22"/>
        </w:rPr>
        <w:tab/>
        <w:t>UNIQUE IDENTIFIER – 2D BARCODE</w:t>
      </w:r>
    </w:p>
    <w:p w14:paraId="3551FD0C" w14:textId="77777777" w:rsidR="00663784" w:rsidRPr="008A5F4A" w:rsidRDefault="00663784" w:rsidP="00663784">
      <w:pPr>
        <w:suppressLineNumbers/>
        <w:spacing w:line="240" w:lineRule="auto"/>
        <w:ind w:left="720" w:hanging="720"/>
        <w:rPr>
          <w:bCs/>
          <w:lang w:val="en-US"/>
        </w:rPr>
      </w:pPr>
    </w:p>
    <w:p w14:paraId="25657A72" w14:textId="77777777" w:rsidR="00663784" w:rsidRPr="008A5F4A" w:rsidRDefault="005A3D7D" w:rsidP="00663784">
      <w:pPr>
        <w:tabs>
          <w:tab w:val="clear" w:pos="567"/>
        </w:tabs>
        <w:autoSpaceDE w:val="0"/>
        <w:autoSpaceDN w:val="0"/>
        <w:adjustRightInd w:val="0"/>
        <w:spacing w:line="240" w:lineRule="auto"/>
        <w:ind w:left="720" w:hanging="720"/>
        <w:rPr>
          <w:rFonts w:eastAsia="TimesNewRomanPSMT"/>
          <w:lang w:val="en-US" w:eastAsia="de-DE"/>
        </w:rPr>
      </w:pPr>
      <w:r w:rsidRPr="008A5F4A">
        <w:rPr>
          <w:highlight w:val="lightGray"/>
          <w:lang w:val="en-US"/>
        </w:rPr>
        <w:t>2D barcode carrying the unique identifier included.</w:t>
      </w:r>
    </w:p>
    <w:p w14:paraId="41172D06" w14:textId="77777777" w:rsidR="00663784" w:rsidRPr="008A5F4A" w:rsidRDefault="00663784" w:rsidP="00663784">
      <w:pPr>
        <w:suppressLineNumbers/>
        <w:spacing w:line="240" w:lineRule="auto"/>
        <w:ind w:left="720" w:hanging="720"/>
        <w:rPr>
          <w:bCs/>
          <w:lang w:val="en-US"/>
        </w:rPr>
      </w:pPr>
    </w:p>
    <w:p w14:paraId="31270F34" w14:textId="77777777" w:rsidR="00663784" w:rsidRPr="008A5F4A" w:rsidRDefault="00663784" w:rsidP="00663784">
      <w:pPr>
        <w:suppressLineNumbers/>
        <w:spacing w:line="240" w:lineRule="auto"/>
        <w:ind w:left="720" w:hanging="720"/>
        <w:rPr>
          <w:bCs/>
          <w:lang w:val="en-US"/>
        </w:rPr>
      </w:pPr>
    </w:p>
    <w:p w14:paraId="427F176E" w14:textId="77777777" w:rsidR="00663784" w:rsidRPr="008A5F4A"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8A5F4A">
        <w:rPr>
          <w:sz w:val="22"/>
          <w:szCs w:val="22"/>
        </w:rPr>
        <w:t>18.</w:t>
      </w:r>
      <w:r w:rsidRPr="008A5F4A">
        <w:rPr>
          <w:sz w:val="22"/>
          <w:szCs w:val="22"/>
        </w:rPr>
        <w:tab/>
        <w:t>UNIQUE IDENTIFIER – HUMAN READABLE DATA</w:t>
      </w:r>
    </w:p>
    <w:p w14:paraId="20B2B320" w14:textId="77777777" w:rsidR="00663784" w:rsidRPr="008A5F4A" w:rsidRDefault="00663784" w:rsidP="00663784">
      <w:pPr>
        <w:suppressLineNumbers/>
        <w:spacing w:line="240" w:lineRule="auto"/>
        <w:ind w:left="720" w:hanging="720"/>
        <w:rPr>
          <w:bCs/>
          <w:lang w:val="en-US"/>
        </w:rPr>
      </w:pPr>
    </w:p>
    <w:p w14:paraId="028E9624" w14:textId="77777777" w:rsidR="00663784" w:rsidRPr="008A5F4A" w:rsidRDefault="005A3D7D" w:rsidP="00663784">
      <w:pPr>
        <w:tabs>
          <w:tab w:val="clear" w:pos="567"/>
        </w:tabs>
        <w:autoSpaceDE w:val="0"/>
        <w:autoSpaceDN w:val="0"/>
        <w:adjustRightInd w:val="0"/>
        <w:spacing w:line="240" w:lineRule="auto"/>
        <w:ind w:left="720" w:hanging="720"/>
        <w:rPr>
          <w:rFonts w:eastAsia="TimesNewRomanPSMT"/>
          <w:lang w:val="en-US" w:eastAsia="de-DE"/>
        </w:rPr>
      </w:pPr>
      <w:r w:rsidRPr="008A5F4A">
        <w:rPr>
          <w:rFonts w:eastAsia="TimesNewRomanPSMT"/>
          <w:lang w:val="en-US" w:eastAsia="de-DE"/>
        </w:rPr>
        <w:t>PC</w:t>
      </w:r>
    </w:p>
    <w:p w14:paraId="33228971" w14:textId="77777777" w:rsidR="00663784" w:rsidRPr="008A5F4A" w:rsidRDefault="005A3D7D" w:rsidP="00663784">
      <w:pPr>
        <w:tabs>
          <w:tab w:val="clear" w:pos="567"/>
        </w:tabs>
        <w:autoSpaceDE w:val="0"/>
        <w:autoSpaceDN w:val="0"/>
        <w:adjustRightInd w:val="0"/>
        <w:spacing w:line="240" w:lineRule="auto"/>
        <w:ind w:left="720" w:hanging="720"/>
        <w:rPr>
          <w:rFonts w:eastAsia="TimesNewRomanPSMT"/>
          <w:lang w:val="en-US" w:eastAsia="de-DE"/>
        </w:rPr>
      </w:pPr>
      <w:r w:rsidRPr="008A5F4A">
        <w:rPr>
          <w:rFonts w:eastAsia="TimesNewRomanPSMT"/>
          <w:lang w:val="en-US" w:eastAsia="de-DE"/>
        </w:rPr>
        <w:t>SN</w:t>
      </w:r>
    </w:p>
    <w:p w14:paraId="4EFF8DE4" w14:textId="77777777" w:rsidR="00663784" w:rsidRPr="008A5F4A" w:rsidRDefault="005A3D7D" w:rsidP="00663784">
      <w:pPr>
        <w:suppressLineNumbers/>
        <w:spacing w:line="240" w:lineRule="auto"/>
        <w:ind w:left="720" w:hanging="720"/>
        <w:rPr>
          <w:bCs/>
          <w:lang w:val="en-US"/>
        </w:rPr>
      </w:pPr>
      <w:r w:rsidRPr="008A5F4A">
        <w:rPr>
          <w:rFonts w:eastAsia="TimesNewRomanPSMT"/>
          <w:color w:val="000000"/>
          <w:lang w:val="en-US" w:eastAsia="de-DE"/>
        </w:rPr>
        <w:t>NN</w:t>
      </w:r>
    </w:p>
    <w:p w14:paraId="3CF34C81" w14:textId="77777777" w:rsidR="00663784" w:rsidRPr="008A5F4A" w:rsidRDefault="00663784" w:rsidP="00663784">
      <w:pPr>
        <w:suppressLineNumbers/>
        <w:spacing w:line="240" w:lineRule="auto"/>
        <w:rPr>
          <w:bCs/>
          <w:lang w:val="en-US"/>
        </w:rPr>
      </w:pPr>
    </w:p>
    <w:p w14:paraId="5CCAC12F" w14:textId="77777777" w:rsidR="00663784" w:rsidRPr="008A5F4A" w:rsidRDefault="005A3D7D" w:rsidP="00663784">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b w:val="0"/>
          <w:sz w:val="22"/>
          <w:szCs w:val="22"/>
        </w:rPr>
      </w:pPr>
      <w:r w:rsidRPr="008A5F4A">
        <w:rPr>
          <w:rFonts w:ascii="Times New Roman" w:hAnsi="Times New Roman" w:cs="Times New Roman"/>
          <w:sz w:val="22"/>
          <w:szCs w:val="22"/>
        </w:rPr>
        <w:br w:type="page"/>
      </w:r>
      <w:r w:rsidRPr="00A13523">
        <w:rPr>
          <w:rFonts w:ascii="Times New Roman" w:hAnsi="Times New Roman"/>
          <w:sz w:val="22"/>
        </w:rPr>
        <w:t>PARTICULARS TO APPEAR ON THE IMMEDIATE PACKAGING</w:t>
      </w:r>
    </w:p>
    <w:p w14:paraId="69621D7C" w14:textId="77777777" w:rsidR="00663784" w:rsidRPr="00A808AC"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Cs/>
        </w:rPr>
      </w:pPr>
    </w:p>
    <w:p w14:paraId="74121016"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spacing w:line="240" w:lineRule="auto"/>
        <w:rPr>
          <w:bCs/>
        </w:rPr>
      </w:pPr>
      <w:r w:rsidRPr="00A808AC">
        <w:rPr>
          <w:b/>
        </w:rPr>
        <w:t>BOTTLE LABEL</w:t>
      </w:r>
    </w:p>
    <w:p w14:paraId="7400075D" w14:textId="77777777" w:rsidR="00663784" w:rsidRDefault="00663784" w:rsidP="00663784">
      <w:pPr>
        <w:suppressLineNumbers/>
        <w:spacing w:line="240" w:lineRule="auto"/>
      </w:pPr>
    </w:p>
    <w:p w14:paraId="40275FDD" w14:textId="77777777" w:rsidR="00663784" w:rsidRPr="00A808AC" w:rsidRDefault="00663784" w:rsidP="00663784">
      <w:pPr>
        <w:suppressLineNumbers/>
        <w:spacing w:line="240" w:lineRule="auto"/>
      </w:pPr>
    </w:p>
    <w:p w14:paraId="41957C79"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rPr>
        <w:t>1.</w:t>
      </w:r>
      <w:r w:rsidRPr="00A808AC">
        <w:rPr>
          <w:b/>
        </w:rPr>
        <w:tab/>
        <w:t>NAME OF THE MEDICINAL PRODUCT</w:t>
      </w:r>
    </w:p>
    <w:p w14:paraId="1ED509F9" w14:textId="77777777" w:rsidR="00663784" w:rsidRPr="00A808AC" w:rsidRDefault="00663784" w:rsidP="00663784">
      <w:pPr>
        <w:suppressLineNumbers/>
        <w:tabs>
          <w:tab w:val="clear" w:pos="567"/>
        </w:tabs>
        <w:spacing w:line="240" w:lineRule="auto"/>
        <w:ind w:left="720" w:hanging="720"/>
      </w:pPr>
    </w:p>
    <w:p w14:paraId="6DEC4B07" w14:textId="77777777" w:rsidR="00663784" w:rsidRPr="00A808AC" w:rsidRDefault="005A3D7D" w:rsidP="00663784">
      <w:pPr>
        <w:tabs>
          <w:tab w:val="clear" w:pos="567"/>
        </w:tabs>
        <w:spacing w:line="240" w:lineRule="auto"/>
        <w:ind w:left="720" w:hanging="720"/>
      </w:pPr>
      <w:r w:rsidRPr="00A808AC">
        <w:t>Kalydeco 150 mg film</w:t>
      </w:r>
      <w:r w:rsidRPr="00A808AC">
        <w:noBreakHyphen/>
        <w:t>coated tablets</w:t>
      </w:r>
    </w:p>
    <w:p w14:paraId="1D0746E1" w14:textId="77777777" w:rsidR="00663784" w:rsidRPr="00A808AC" w:rsidRDefault="005A3D7D" w:rsidP="00663784">
      <w:pPr>
        <w:tabs>
          <w:tab w:val="clear" w:pos="567"/>
        </w:tabs>
        <w:spacing w:line="240" w:lineRule="auto"/>
        <w:ind w:left="720" w:hanging="720"/>
        <w:rPr>
          <w:i/>
          <w:iCs/>
        </w:rPr>
      </w:pPr>
      <w:r>
        <w:t>i</w:t>
      </w:r>
      <w:r w:rsidRPr="00A808AC">
        <w:t>vacaftor</w:t>
      </w:r>
    </w:p>
    <w:p w14:paraId="3B36D89D" w14:textId="77777777" w:rsidR="00663784" w:rsidRPr="00A808AC" w:rsidRDefault="00663784" w:rsidP="00663784">
      <w:pPr>
        <w:suppressLineNumbers/>
        <w:tabs>
          <w:tab w:val="clear" w:pos="567"/>
        </w:tabs>
        <w:spacing w:line="240" w:lineRule="auto"/>
        <w:ind w:left="720" w:hanging="720"/>
      </w:pPr>
    </w:p>
    <w:p w14:paraId="4220E5B0" w14:textId="77777777" w:rsidR="00663784" w:rsidRPr="00A808AC" w:rsidRDefault="00663784" w:rsidP="00663784">
      <w:pPr>
        <w:suppressLineNumbers/>
        <w:tabs>
          <w:tab w:val="clear" w:pos="567"/>
        </w:tabs>
        <w:spacing w:line="240" w:lineRule="auto"/>
        <w:ind w:left="720" w:hanging="720"/>
      </w:pPr>
    </w:p>
    <w:p w14:paraId="031864F0"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rPr>
      </w:pPr>
      <w:r w:rsidRPr="00A808AC">
        <w:rPr>
          <w:b/>
        </w:rPr>
        <w:t>2.</w:t>
      </w:r>
      <w:r w:rsidRPr="00A808AC">
        <w:rPr>
          <w:b/>
        </w:rPr>
        <w:tab/>
        <w:t>STATEMENT OF ACTIVE SUBSTANCE(S)</w:t>
      </w:r>
    </w:p>
    <w:p w14:paraId="59E4F00D" w14:textId="77777777" w:rsidR="00663784" w:rsidRPr="00A808AC" w:rsidRDefault="00663784" w:rsidP="00663784">
      <w:pPr>
        <w:suppressLineNumbers/>
        <w:tabs>
          <w:tab w:val="clear" w:pos="567"/>
        </w:tabs>
        <w:spacing w:line="240" w:lineRule="auto"/>
        <w:ind w:left="720" w:hanging="720"/>
      </w:pPr>
    </w:p>
    <w:p w14:paraId="3EDA0AA7" w14:textId="77777777" w:rsidR="00663784" w:rsidRPr="00A808AC" w:rsidRDefault="005A3D7D" w:rsidP="00663784">
      <w:pPr>
        <w:tabs>
          <w:tab w:val="clear" w:pos="567"/>
        </w:tabs>
        <w:spacing w:line="240" w:lineRule="auto"/>
        <w:ind w:left="720" w:hanging="720"/>
      </w:pPr>
      <w:r w:rsidRPr="00A808AC">
        <w:t>Each tablet contains 150 mg of ivacaftor.</w:t>
      </w:r>
    </w:p>
    <w:p w14:paraId="4DD770AC" w14:textId="77777777" w:rsidR="00663784" w:rsidRPr="00A808AC" w:rsidRDefault="00663784" w:rsidP="00663784">
      <w:pPr>
        <w:suppressLineNumbers/>
        <w:tabs>
          <w:tab w:val="clear" w:pos="567"/>
        </w:tabs>
        <w:spacing w:line="240" w:lineRule="auto"/>
        <w:ind w:left="720" w:hanging="720"/>
      </w:pPr>
    </w:p>
    <w:p w14:paraId="5D0A65AD" w14:textId="77777777" w:rsidR="00663784" w:rsidRPr="00A808AC" w:rsidRDefault="00663784" w:rsidP="00663784">
      <w:pPr>
        <w:suppressLineNumbers/>
        <w:tabs>
          <w:tab w:val="clear" w:pos="567"/>
        </w:tabs>
        <w:spacing w:line="240" w:lineRule="auto"/>
        <w:ind w:left="720" w:hanging="720"/>
      </w:pPr>
    </w:p>
    <w:p w14:paraId="72EB8CF7"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rPr>
        <w:t>3.</w:t>
      </w:r>
      <w:r w:rsidRPr="00A808AC">
        <w:rPr>
          <w:b/>
        </w:rPr>
        <w:tab/>
        <w:t xml:space="preserve">LIST OF </w:t>
      </w:r>
      <w:r w:rsidRPr="00A808AC">
        <w:rPr>
          <w:b/>
        </w:rPr>
        <w:t>EXCIPIENTS</w:t>
      </w:r>
    </w:p>
    <w:p w14:paraId="518BC7E1" w14:textId="77777777" w:rsidR="00663784" w:rsidRPr="00A808AC" w:rsidRDefault="00663784" w:rsidP="00663784">
      <w:pPr>
        <w:suppressLineNumbers/>
        <w:tabs>
          <w:tab w:val="clear" w:pos="567"/>
        </w:tabs>
        <w:spacing w:line="240" w:lineRule="auto"/>
        <w:ind w:left="720" w:hanging="720"/>
      </w:pPr>
    </w:p>
    <w:p w14:paraId="7A7FEF28" w14:textId="77777777" w:rsidR="00663784" w:rsidRPr="00A808AC" w:rsidRDefault="005A3D7D" w:rsidP="00663784">
      <w:pPr>
        <w:tabs>
          <w:tab w:val="clear" w:pos="567"/>
        </w:tabs>
        <w:spacing w:line="240" w:lineRule="auto"/>
        <w:ind w:left="720" w:hanging="720"/>
      </w:pPr>
      <w:r w:rsidRPr="00A808AC">
        <w:t xml:space="preserve">Contains </w:t>
      </w:r>
      <w:r w:rsidRPr="00A808AC">
        <w:rPr>
          <w:bCs/>
        </w:rPr>
        <w:t>lactose</w:t>
      </w:r>
      <w:r w:rsidRPr="00A808AC">
        <w:t>.</w:t>
      </w:r>
    </w:p>
    <w:p w14:paraId="1906CB5E" w14:textId="77777777" w:rsidR="00663784" w:rsidRPr="00A808AC" w:rsidRDefault="00663784" w:rsidP="00663784">
      <w:pPr>
        <w:tabs>
          <w:tab w:val="clear" w:pos="567"/>
        </w:tabs>
        <w:spacing w:line="240" w:lineRule="auto"/>
        <w:ind w:left="720" w:hanging="720"/>
      </w:pPr>
    </w:p>
    <w:p w14:paraId="34B4961D" w14:textId="77777777" w:rsidR="00663784" w:rsidRPr="00A808AC" w:rsidRDefault="005A3D7D" w:rsidP="00663784">
      <w:pPr>
        <w:tabs>
          <w:tab w:val="clear" w:pos="567"/>
        </w:tabs>
        <w:spacing w:line="240" w:lineRule="auto"/>
        <w:ind w:left="720" w:hanging="720"/>
      </w:pPr>
      <w:r w:rsidRPr="00695508">
        <w:rPr>
          <w:highlight w:val="lightGray"/>
        </w:rPr>
        <w:t>See leaflet for further information.</w:t>
      </w:r>
    </w:p>
    <w:p w14:paraId="0EEF9C86" w14:textId="77777777" w:rsidR="00663784" w:rsidRPr="00A808AC" w:rsidRDefault="00663784" w:rsidP="00663784">
      <w:pPr>
        <w:suppressLineNumbers/>
        <w:tabs>
          <w:tab w:val="clear" w:pos="567"/>
        </w:tabs>
        <w:spacing w:line="240" w:lineRule="auto"/>
        <w:ind w:left="720" w:hanging="720"/>
      </w:pPr>
    </w:p>
    <w:p w14:paraId="195466D2" w14:textId="77777777" w:rsidR="00663784" w:rsidRPr="00A808AC" w:rsidRDefault="00663784" w:rsidP="00663784">
      <w:pPr>
        <w:suppressLineNumbers/>
        <w:tabs>
          <w:tab w:val="clear" w:pos="567"/>
        </w:tabs>
        <w:spacing w:line="240" w:lineRule="auto"/>
        <w:ind w:left="720" w:hanging="720"/>
      </w:pPr>
    </w:p>
    <w:p w14:paraId="55F94B39"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rPr>
        <w:t>4.</w:t>
      </w:r>
      <w:r w:rsidRPr="00A808AC">
        <w:rPr>
          <w:b/>
        </w:rPr>
        <w:tab/>
        <w:t>PHARMACEUTICAL FORM AND CONTENTS</w:t>
      </w:r>
    </w:p>
    <w:p w14:paraId="57C7A7BE" w14:textId="77777777" w:rsidR="00663784" w:rsidRPr="00A808AC" w:rsidRDefault="00663784" w:rsidP="00663784">
      <w:pPr>
        <w:suppressLineNumbers/>
        <w:tabs>
          <w:tab w:val="clear" w:pos="567"/>
        </w:tabs>
        <w:spacing w:line="240" w:lineRule="auto"/>
        <w:ind w:left="720" w:hanging="720"/>
      </w:pPr>
    </w:p>
    <w:p w14:paraId="217AFC4B" w14:textId="77777777" w:rsidR="00663784" w:rsidRPr="00A808AC" w:rsidRDefault="005A3D7D" w:rsidP="00663784">
      <w:pPr>
        <w:tabs>
          <w:tab w:val="clear" w:pos="567"/>
        </w:tabs>
        <w:spacing w:line="240" w:lineRule="auto"/>
        <w:ind w:left="720" w:hanging="720"/>
      </w:pPr>
      <w:r w:rsidRPr="00A808AC">
        <w:t>56 tablets</w:t>
      </w:r>
    </w:p>
    <w:p w14:paraId="062D7BAD" w14:textId="77777777" w:rsidR="00663784" w:rsidRPr="00A808AC" w:rsidRDefault="00663784" w:rsidP="00663784">
      <w:pPr>
        <w:suppressLineNumbers/>
        <w:tabs>
          <w:tab w:val="clear" w:pos="567"/>
        </w:tabs>
        <w:spacing w:line="240" w:lineRule="auto"/>
        <w:ind w:left="720" w:hanging="720"/>
      </w:pPr>
    </w:p>
    <w:p w14:paraId="19EE58B1" w14:textId="77777777" w:rsidR="00663784" w:rsidRPr="00A808AC" w:rsidRDefault="00663784" w:rsidP="00663784">
      <w:pPr>
        <w:suppressLineNumbers/>
        <w:tabs>
          <w:tab w:val="clear" w:pos="567"/>
        </w:tabs>
        <w:spacing w:line="240" w:lineRule="auto"/>
        <w:ind w:left="720" w:hanging="720"/>
      </w:pPr>
    </w:p>
    <w:p w14:paraId="67CD44A8"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rPr>
        <w:t>5.</w:t>
      </w:r>
      <w:r w:rsidRPr="00A808AC">
        <w:rPr>
          <w:b/>
        </w:rPr>
        <w:tab/>
        <w:t>METHOD AND ROUTE(S) OF ADMINISTRATION</w:t>
      </w:r>
    </w:p>
    <w:p w14:paraId="48CFD060" w14:textId="77777777" w:rsidR="00663784" w:rsidRPr="00A808AC" w:rsidRDefault="00663784" w:rsidP="00663784">
      <w:pPr>
        <w:suppressLineNumbers/>
        <w:spacing w:line="240" w:lineRule="auto"/>
        <w:ind w:left="720" w:hanging="720"/>
      </w:pPr>
    </w:p>
    <w:p w14:paraId="6779C991" w14:textId="77777777" w:rsidR="00663784" w:rsidRPr="00415F35" w:rsidRDefault="005A3D7D" w:rsidP="00663784">
      <w:pPr>
        <w:suppressLineNumbers/>
        <w:spacing w:line="240" w:lineRule="auto"/>
        <w:ind w:left="720" w:hanging="720"/>
      </w:pPr>
      <w:r w:rsidRPr="00A808AC">
        <w:t xml:space="preserve">Read the </w:t>
      </w:r>
      <w:r w:rsidRPr="00415F35">
        <w:t>package leaflet before use.</w:t>
      </w:r>
    </w:p>
    <w:p w14:paraId="46369F95" w14:textId="77777777" w:rsidR="00663784" w:rsidRPr="00415F35" w:rsidRDefault="00663784" w:rsidP="00663784">
      <w:pPr>
        <w:suppressLineNumbers/>
        <w:spacing w:line="240" w:lineRule="auto"/>
        <w:ind w:left="720" w:hanging="720"/>
      </w:pPr>
    </w:p>
    <w:p w14:paraId="38950426" w14:textId="77777777" w:rsidR="00663784" w:rsidRPr="00415F35" w:rsidRDefault="005A3D7D" w:rsidP="00663784">
      <w:pPr>
        <w:spacing w:line="240" w:lineRule="auto"/>
        <w:ind w:left="720" w:hanging="720"/>
      </w:pPr>
      <w:r w:rsidRPr="00415F35">
        <w:t>Oral use</w:t>
      </w:r>
    </w:p>
    <w:p w14:paraId="47CD0AA8" w14:textId="77777777" w:rsidR="00663784" w:rsidRPr="00415F35" w:rsidRDefault="00663784" w:rsidP="00663784">
      <w:pPr>
        <w:suppressLineNumbers/>
        <w:autoSpaceDE w:val="0"/>
        <w:autoSpaceDN w:val="0"/>
        <w:adjustRightInd w:val="0"/>
        <w:spacing w:line="240" w:lineRule="auto"/>
        <w:ind w:left="720" w:hanging="720"/>
      </w:pPr>
    </w:p>
    <w:p w14:paraId="201EBB9B" w14:textId="77777777" w:rsidR="00663784" w:rsidRPr="00415F35" w:rsidRDefault="00663784" w:rsidP="00663784">
      <w:pPr>
        <w:suppressLineNumbers/>
        <w:autoSpaceDE w:val="0"/>
        <w:autoSpaceDN w:val="0"/>
        <w:adjustRightInd w:val="0"/>
        <w:spacing w:line="240" w:lineRule="auto"/>
        <w:ind w:left="720" w:hanging="720"/>
      </w:pPr>
    </w:p>
    <w:p w14:paraId="560FE45A" w14:textId="77777777" w:rsidR="00663784" w:rsidRPr="00415F35"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415F35">
        <w:rPr>
          <w:b/>
        </w:rPr>
        <w:t>6.</w:t>
      </w:r>
      <w:r w:rsidRPr="00415F35">
        <w:rPr>
          <w:b/>
        </w:rPr>
        <w:tab/>
        <w:t xml:space="preserve">SPECIAL WARNING THAT THE </w:t>
      </w:r>
      <w:r w:rsidRPr="00415F35">
        <w:rPr>
          <w:b/>
        </w:rPr>
        <w:t>MEDICINAL PRODUCT MUST BE STORED OUT OF THE SIGHT AND REACH OF CHILDREN</w:t>
      </w:r>
    </w:p>
    <w:p w14:paraId="3AB82FA1" w14:textId="77777777" w:rsidR="00663784" w:rsidRPr="00415F35" w:rsidRDefault="00663784" w:rsidP="00663784">
      <w:pPr>
        <w:suppressLineNumbers/>
        <w:spacing w:line="240" w:lineRule="auto"/>
        <w:ind w:left="720" w:hanging="720"/>
      </w:pPr>
    </w:p>
    <w:p w14:paraId="470812A6" w14:textId="77777777" w:rsidR="00663784" w:rsidRPr="00415F35" w:rsidRDefault="005A3D7D" w:rsidP="00663784">
      <w:pPr>
        <w:suppressLineNumbers/>
        <w:spacing w:line="240" w:lineRule="auto"/>
        <w:ind w:left="720" w:hanging="720"/>
        <w:outlineLvl w:val="0"/>
      </w:pPr>
      <w:r w:rsidRPr="00415F35">
        <w:t>Keep out of the sight and reach of children.</w:t>
      </w:r>
    </w:p>
    <w:p w14:paraId="1BC03802" w14:textId="77777777" w:rsidR="00663784" w:rsidRPr="00415F35" w:rsidRDefault="00663784" w:rsidP="00663784">
      <w:pPr>
        <w:suppressLineNumbers/>
        <w:spacing w:line="240" w:lineRule="auto"/>
        <w:ind w:left="720" w:hanging="720"/>
      </w:pPr>
    </w:p>
    <w:p w14:paraId="38316611" w14:textId="77777777" w:rsidR="00663784" w:rsidRPr="00415F35" w:rsidRDefault="00663784" w:rsidP="00663784">
      <w:pPr>
        <w:suppressLineNumbers/>
        <w:spacing w:line="240" w:lineRule="auto"/>
        <w:ind w:left="720" w:hanging="720"/>
      </w:pPr>
    </w:p>
    <w:p w14:paraId="5A255CA3" w14:textId="77777777" w:rsidR="00663784" w:rsidRPr="00415F35"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415F35">
        <w:rPr>
          <w:b/>
        </w:rPr>
        <w:t>7.</w:t>
      </w:r>
      <w:r w:rsidRPr="00415F35">
        <w:rPr>
          <w:b/>
        </w:rPr>
        <w:tab/>
        <w:t>OTHER SPECIAL WARNING(S), IF NECESSARY</w:t>
      </w:r>
    </w:p>
    <w:p w14:paraId="665FB779" w14:textId="77777777" w:rsidR="00663784" w:rsidRPr="00415F35" w:rsidRDefault="00663784" w:rsidP="00663784">
      <w:pPr>
        <w:suppressLineNumbers/>
        <w:spacing w:line="240" w:lineRule="auto"/>
        <w:ind w:left="720" w:hanging="720"/>
      </w:pPr>
    </w:p>
    <w:p w14:paraId="010E8A22" w14:textId="77777777" w:rsidR="00663784" w:rsidRPr="00415F35" w:rsidRDefault="00663784" w:rsidP="00663784">
      <w:pPr>
        <w:suppressLineNumbers/>
        <w:spacing w:line="240" w:lineRule="auto"/>
        <w:ind w:left="720" w:hanging="720"/>
      </w:pPr>
    </w:p>
    <w:p w14:paraId="25D5E06B" w14:textId="77777777" w:rsidR="00663784" w:rsidRPr="00415F35"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415F35">
        <w:rPr>
          <w:b/>
        </w:rPr>
        <w:t>8.</w:t>
      </w:r>
      <w:r w:rsidRPr="00415F35">
        <w:rPr>
          <w:b/>
        </w:rPr>
        <w:tab/>
        <w:t>EXPIRY DATE</w:t>
      </w:r>
    </w:p>
    <w:p w14:paraId="190F26D7" w14:textId="77777777" w:rsidR="00663784" w:rsidRPr="00415F35" w:rsidRDefault="00663784" w:rsidP="00663784">
      <w:pPr>
        <w:suppressLineNumbers/>
        <w:spacing w:line="240" w:lineRule="auto"/>
        <w:ind w:left="720" w:hanging="720"/>
      </w:pPr>
    </w:p>
    <w:p w14:paraId="7551CD66" w14:textId="77777777" w:rsidR="00663784" w:rsidRPr="00415F35" w:rsidRDefault="005A3D7D" w:rsidP="00663784">
      <w:pPr>
        <w:suppressLineNumbers/>
        <w:spacing w:line="240" w:lineRule="auto"/>
        <w:ind w:left="720" w:hanging="720"/>
      </w:pPr>
      <w:r w:rsidRPr="00415F35">
        <w:t>EXP</w:t>
      </w:r>
    </w:p>
    <w:p w14:paraId="5E41A898" w14:textId="77777777" w:rsidR="00663784" w:rsidRPr="00415F35" w:rsidRDefault="00663784" w:rsidP="00663784">
      <w:pPr>
        <w:suppressLineNumbers/>
        <w:spacing w:line="240" w:lineRule="auto"/>
        <w:ind w:left="720" w:hanging="720"/>
      </w:pPr>
    </w:p>
    <w:p w14:paraId="17EDAC0F" w14:textId="77777777" w:rsidR="00663784" w:rsidRPr="00415F35" w:rsidRDefault="00663784" w:rsidP="00663784">
      <w:pPr>
        <w:suppressLineNumbers/>
        <w:spacing w:line="240" w:lineRule="auto"/>
        <w:ind w:left="720" w:hanging="720"/>
      </w:pPr>
    </w:p>
    <w:p w14:paraId="13EE70F3" w14:textId="77777777" w:rsidR="00663784" w:rsidRPr="00415F35" w:rsidRDefault="005A3D7D" w:rsidP="00663784">
      <w:pPr>
        <w:keepNext/>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415F35">
        <w:rPr>
          <w:b/>
        </w:rPr>
        <w:t>9.</w:t>
      </w:r>
      <w:r w:rsidRPr="00415F35">
        <w:rPr>
          <w:b/>
        </w:rPr>
        <w:tab/>
        <w:t>SPECIAL STORAGE CONDITIONS</w:t>
      </w:r>
    </w:p>
    <w:p w14:paraId="3D6FE847" w14:textId="77777777" w:rsidR="00663784" w:rsidRPr="00415F35" w:rsidRDefault="00663784" w:rsidP="00663784">
      <w:pPr>
        <w:suppressLineNumbers/>
        <w:spacing w:line="240" w:lineRule="auto"/>
        <w:ind w:left="720" w:hanging="720"/>
      </w:pPr>
    </w:p>
    <w:p w14:paraId="092EC902" w14:textId="77777777" w:rsidR="00663784" w:rsidRPr="00415F35" w:rsidRDefault="00663784" w:rsidP="00663784">
      <w:pPr>
        <w:ind w:left="720" w:hanging="720"/>
      </w:pPr>
    </w:p>
    <w:p w14:paraId="62E203B4" w14:textId="77777777" w:rsidR="00663784" w:rsidRPr="00415F35" w:rsidRDefault="005A3D7D"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rPr>
      </w:pPr>
      <w:r w:rsidRPr="00415F35">
        <w:rPr>
          <w:b/>
        </w:rPr>
        <w:t>10.</w:t>
      </w:r>
      <w:r w:rsidRPr="00415F35">
        <w:rPr>
          <w:b/>
        </w:rPr>
        <w:tab/>
        <w:t xml:space="preserve">SPECIAL PRECAUTIONS FOR </w:t>
      </w:r>
      <w:r w:rsidRPr="00415F35">
        <w:rPr>
          <w:b/>
        </w:rPr>
        <w:t>DISPOSAL OF UNUSED MEDICINAL PRODUCTS OR WASTE MATERIALS DERIVED FROM SUCH MEDICINAL PRODUCTS, IF APPROPRIATE</w:t>
      </w:r>
    </w:p>
    <w:p w14:paraId="13B4F027" w14:textId="77777777" w:rsidR="00663784" w:rsidRPr="00415F35" w:rsidRDefault="00663784" w:rsidP="00663784">
      <w:pPr>
        <w:suppressLineNumbers/>
        <w:tabs>
          <w:tab w:val="clear" w:pos="567"/>
        </w:tabs>
        <w:spacing w:line="240" w:lineRule="auto"/>
        <w:ind w:left="720" w:hanging="720"/>
      </w:pPr>
    </w:p>
    <w:p w14:paraId="1F6DC0E4" w14:textId="77777777" w:rsidR="00663784" w:rsidRPr="00415F35" w:rsidRDefault="00663784" w:rsidP="00663784">
      <w:pPr>
        <w:suppressLineNumbers/>
        <w:tabs>
          <w:tab w:val="clear" w:pos="567"/>
        </w:tabs>
        <w:spacing w:line="240" w:lineRule="auto"/>
        <w:ind w:left="720" w:hanging="720"/>
      </w:pPr>
    </w:p>
    <w:p w14:paraId="508DB18F" w14:textId="77777777" w:rsidR="00663784" w:rsidRPr="00415F35"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rPr>
      </w:pPr>
      <w:r w:rsidRPr="00415F35">
        <w:rPr>
          <w:b/>
        </w:rPr>
        <w:t>11.</w:t>
      </w:r>
      <w:r w:rsidRPr="00415F35">
        <w:rPr>
          <w:b/>
        </w:rPr>
        <w:tab/>
        <w:t>NAME AND ADDRESS OF THE MARKETING AUTHORISATION HOLDER</w:t>
      </w:r>
    </w:p>
    <w:p w14:paraId="66E1A6C5" w14:textId="77777777" w:rsidR="00663784" w:rsidRPr="00415F35" w:rsidRDefault="00663784" w:rsidP="00663784">
      <w:pPr>
        <w:suppressLineNumbers/>
        <w:tabs>
          <w:tab w:val="clear" w:pos="567"/>
        </w:tabs>
        <w:spacing w:line="240" w:lineRule="auto"/>
        <w:ind w:left="720" w:hanging="720"/>
      </w:pPr>
    </w:p>
    <w:p w14:paraId="79C7BC03" w14:textId="77777777" w:rsidR="00663784" w:rsidRPr="00420287" w:rsidRDefault="005A3D7D" w:rsidP="00663784">
      <w:pPr>
        <w:rPr>
          <w:iCs/>
        </w:rPr>
      </w:pPr>
      <w:r w:rsidRPr="00420287">
        <w:rPr>
          <w:iCs/>
        </w:rPr>
        <w:t>Vertex Pharmaceuticals (Ireland) Limited</w:t>
      </w:r>
    </w:p>
    <w:p w14:paraId="7E84C73B" w14:textId="77777777" w:rsidR="00663784" w:rsidRPr="007762E4" w:rsidRDefault="005A3D7D" w:rsidP="00663784">
      <w:pPr>
        <w:rPr>
          <w:iCs/>
          <w:highlight w:val="lightGray"/>
        </w:rPr>
      </w:pPr>
      <w:r w:rsidRPr="007762E4">
        <w:rPr>
          <w:iCs/>
          <w:highlight w:val="lightGray"/>
        </w:rPr>
        <w:t>28-32 Pembroke Street Upper</w:t>
      </w:r>
    </w:p>
    <w:p w14:paraId="46DC2449" w14:textId="77777777" w:rsidR="00663784" w:rsidRPr="007762E4" w:rsidRDefault="005A3D7D" w:rsidP="00663784">
      <w:pPr>
        <w:rPr>
          <w:iCs/>
          <w:highlight w:val="lightGray"/>
        </w:rPr>
      </w:pPr>
      <w:r w:rsidRPr="007762E4">
        <w:rPr>
          <w:iCs/>
          <w:highlight w:val="lightGray"/>
        </w:rPr>
        <w:t xml:space="preserve">Dublin 2, </w:t>
      </w:r>
      <w:r w:rsidRPr="007762E4">
        <w:rPr>
          <w:iCs/>
          <w:highlight w:val="lightGray"/>
        </w:rPr>
        <w:t>D02 EK84</w:t>
      </w:r>
    </w:p>
    <w:p w14:paraId="0668D61F" w14:textId="77777777" w:rsidR="00663784" w:rsidRDefault="005A3D7D" w:rsidP="00663784">
      <w:pPr>
        <w:suppressLineNumbers/>
        <w:tabs>
          <w:tab w:val="clear" w:pos="567"/>
        </w:tabs>
        <w:spacing w:line="240" w:lineRule="auto"/>
        <w:ind w:left="720" w:hanging="720"/>
        <w:rPr>
          <w:iCs/>
        </w:rPr>
      </w:pPr>
      <w:r w:rsidRPr="007762E4">
        <w:rPr>
          <w:iCs/>
          <w:highlight w:val="lightGray"/>
        </w:rPr>
        <w:t>Ireland</w:t>
      </w:r>
    </w:p>
    <w:p w14:paraId="7EEB0F51" w14:textId="77777777" w:rsidR="00663784" w:rsidRPr="00415F35" w:rsidRDefault="00663784" w:rsidP="00663784">
      <w:pPr>
        <w:suppressLineNumbers/>
        <w:tabs>
          <w:tab w:val="clear" w:pos="567"/>
        </w:tabs>
        <w:spacing w:line="240" w:lineRule="auto"/>
        <w:ind w:left="720" w:hanging="720"/>
      </w:pPr>
    </w:p>
    <w:p w14:paraId="1AB78F23" w14:textId="77777777" w:rsidR="00663784" w:rsidRPr="00415F35" w:rsidRDefault="00663784" w:rsidP="00663784">
      <w:pPr>
        <w:suppressLineNumbers/>
        <w:tabs>
          <w:tab w:val="clear" w:pos="567"/>
        </w:tabs>
        <w:spacing w:line="240" w:lineRule="auto"/>
        <w:ind w:left="720" w:hanging="720"/>
      </w:pPr>
    </w:p>
    <w:p w14:paraId="0EFAFD2C" w14:textId="77777777" w:rsidR="00663784" w:rsidRPr="00415F35"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415F35">
        <w:rPr>
          <w:b/>
        </w:rPr>
        <w:t>12.</w:t>
      </w:r>
      <w:r w:rsidRPr="00415F35">
        <w:rPr>
          <w:b/>
        </w:rPr>
        <w:tab/>
        <w:t xml:space="preserve">MARKETING AUTHORISATION NUMBER(S) </w:t>
      </w:r>
    </w:p>
    <w:p w14:paraId="4DCF3116" w14:textId="77777777" w:rsidR="00663784" w:rsidRPr="00415F35" w:rsidRDefault="00663784" w:rsidP="00663784">
      <w:pPr>
        <w:suppressLineNumbers/>
        <w:tabs>
          <w:tab w:val="clear" w:pos="567"/>
        </w:tabs>
        <w:spacing w:line="240" w:lineRule="auto"/>
        <w:ind w:left="720" w:hanging="720"/>
      </w:pPr>
    </w:p>
    <w:p w14:paraId="209B0A5C" w14:textId="77777777" w:rsidR="00663784" w:rsidRPr="00415F35" w:rsidRDefault="005A3D7D" w:rsidP="00663784">
      <w:pPr>
        <w:suppressLineNumbers/>
        <w:tabs>
          <w:tab w:val="clear" w:pos="567"/>
        </w:tabs>
        <w:spacing w:line="240" w:lineRule="auto"/>
        <w:ind w:left="720" w:hanging="720"/>
        <w:outlineLvl w:val="0"/>
      </w:pPr>
      <w:r w:rsidRPr="00415F35">
        <w:t>EU/1/12/782/001</w:t>
      </w:r>
    </w:p>
    <w:p w14:paraId="76E93E70" w14:textId="77777777" w:rsidR="00663784" w:rsidRPr="00415F35" w:rsidRDefault="00663784" w:rsidP="00663784">
      <w:pPr>
        <w:suppressLineNumbers/>
        <w:tabs>
          <w:tab w:val="clear" w:pos="567"/>
        </w:tabs>
        <w:spacing w:line="240" w:lineRule="auto"/>
        <w:ind w:left="720" w:hanging="720"/>
      </w:pPr>
    </w:p>
    <w:p w14:paraId="6D0D58C7" w14:textId="77777777" w:rsidR="00663784" w:rsidRPr="00415F35" w:rsidRDefault="00663784" w:rsidP="00663784">
      <w:pPr>
        <w:suppressLineNumbers/>
        <w:tabs>
          <w:tab w:val="clear" w:pos="567"/>
        </w:tabs>
        <w:spacing w:line="240" w:lineRule="auto"/>
        <w:ind w:left="720" w:hanging="720"/>
      </w:pPr>
    </w:p>
    <w:p w14:paraId="3413C181" w14:textId="77777777" w:rsidR="00663784" w:rsidRPr="00415F35"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415F35">
        <w:rPr>
          <w:b/>
        </w:rPr>
        <w:t>13.</w:t>
      </w:r>
      <w:r w:rsidRPr="00415F35">
        <w:rPr>
          <w:b/>
        </w:rPr>
        <w:tab/>
        <w:t>BATCH NUMBER</w:t>
      </w:r>
    </w:p>
    <w:p w14:paraId="74F34B66" w14:textId="77777777" w:rsidR="00663784" w:rsidRPr="00415F35" w:rsidRDefault="00663784" w:rsidP="00663784">
      <w:pPr>
        <w:suppressLineNumbers/>
        <w:tabs>
          <w:tab w:val="clear" w:pos="567"/>
        </w:tabs>
        <w:spacing w:line="240" w:lineRule="auto"/>
        <w:ind w:left="720" w:hanging="720"/>
      </w:pPr>
    </w:p>
    <w:p w14:paraId="34A08A95" w14:textId="77777777" w:rsidR="00663784" w:rsidRPr="00415F35" w:rsidRDefault="005A3D7D" w:rsidP="00663784">
      <w:pPr>
        <w:suppressLineNumbers/>
        <w:tabs>
          <w:tab w:val="clear" w:pos="567"/>
        </w:tabs>
        <w:spacing w:line="240" w:lineRule="auto"/>
        <w:ind w:left="720" w:hanging="720"/>
      </w:pPr>
      <w:r w:rsidRPr="00415F35">
        <w:t>Lot</w:t>
      </w:r>
    </w:p>
    <w:p w14:paraId="0DF139CB" w14:textId="77777777" w:rsidR="00663784" w:rsidRPr="00415F35" w:rsidRDefault="00663784" w:rsidP="00663784">
      <w:pPr>
        <w:suppressLineNumbers/>
        <w:tabs>
          <w:tab w:val="clear" w:pos="567"/>
        </w:tabs>
        <w:spacing w:line="240" w:lineRule="auto"/>
        <w:ind w:left="720" w:hanging="720"/>
      </w:pPr>
    </w:p>
    <w:p w14:paraId="7A42D50B" w14:textId="77777777" w:rsidR="00663784" w:rsidRPr="00415F35" w:rsidRDefault="00663784" w:rsidP="00663784">
      <w:pPr>
        <w:suppressLineNumbers/>
        <w:tabs>
          <w:tab w:val="clear" w:pos="567"/>
        </w:tabs>
        <w:spacing w:line="240" w:lineRule="auto"/>
        <w:ind w:left="720" w:hanging="720"/>
      </w:pPr>
    </w:p>
    <w:p w14:paraId="70F3FEF4" w14:textId="77777777" w:rsidR="00663784" w:rsidRPr="00415F35"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415F35">
        <w:rPr>
          <w:b/>
        </w:rPr>
        <w:t>14.</w:t>
      </w:r>
      <w:r w:rsidRPr="00415F35">
        <w:rPr>
          <w:b/>
        </w:rPr>
        <w:tab/>
        <w:t>GENERAL CLASSIFICATION FOR SUPPLY</w:t>
      </w:r>
    </w:p>
    <w:p w14:paraId="5B88CF80" w14:textId="77777777" w:rsidR="00663784" w:rsidRPr="00415F35" w:rsidRDefault="00663784" w:rsidP="00663784">
      <w:pPr>
        <w:suppressLineNumbers/>
        <w:tabs>
          <w:tab w:val="clear" w:pos="567"/>
        </w:tabs>
        <w:spacing w:line="240" w:lineRule="auto"/>
        <w:ind w:left="720" w:hanging="720"/>
      </w:pPr>
    </w:p>
    <w:p w14:paraId="2A8D3AE4" w14:textId="77777777" w:rsidR="00663784" w:rsidRPr="00415F35" w:rsidRDefault="00663784" w:rsidP="00663784">
      <w:pPr>
        <w:suppressLineNumbers/>
        <w:tabs>
          <w:tab w:val="clear" w:pos="567"/>
        </w:tabs>
        <w:spacing w:line="240" w:lineRule="auto"/>
        <w:ind w:left="720" w:hanging="720"/>
      </w:pPr>
    </w:p>
    <w:p w14:paraId="07190B0F" w14:textId="77777777" w:rsidR="00663784" w:rsidRPr="00415F35" w:rsidRDefault="005A3D7D"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415F35">
        <w:rPr>
          <w:b/>
        </w:rPr>
        <w:t>15.</w:t>
      </w:r>
      <w:r w:rsidRPr="00415F35">
        <w:rPr>
          <w:b/>
        </w:rPr>
        <w:tab/>
        <w:t>INSTRUCTIONS ON USE</w:t>
      </w:r>
    </w:p>
    <w:p w14:paraId="66C9E3D6" w14:textId="77777777" w:rsidR="00663784" w:rsidRPr="00415F35" w:rsidRDefault="00663784" w:rsidP="00663784">
      <w:pPr>
        <w:suppressLineNumbers/>
        <w:tabs>
          <w:tab w:val="clear" w:pos="567"/>
        </w:tabs>
        <w:spacing w:line="240" w:lineRule="auto"/>
        <w:ind w:left="720" w:hanging="720"/>
      </w:pPr>
    </w:p>
    <w:p w14:paraId="6A367B15" w14:textId="77777777" w:rsidR="00663784" w:rsidRPr="00415F35" w:rsidRDefault="00663784" w:rsidP="00663784">
      <w:pPr>
        <w:suppressLineNumbers/>
        <w:tabs>
          <w:tab w:val="clear" w:pos="567"/>
        </w:tabs>
        <w:spacing w:line="240" w:lineRule="auto"/>
        <w:ind w:left="720" w:hanging="720"/>
      </w:pPr>
    </w:p>
    <w:p w14:paraId="471CB583" w14:textId="77777777" w:rsidR="00663784" w:rsidRPr="00415F35"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415F35">
        <w:rPr>
          <w:sz w:val="22"/>
          <w:szCs w:val="22"/>
        </w:rPr>
        <w:t>16.</w:t>
      </w:r>
      <w:r w:rsidRPr="00415F35">
        <w:rPr>
          <w:sz w:val="22"/>
          <w:szCs w:val="22"/>
        </w:rPr>
        <w:tab/>
        <w:t>INFORMATION IN BRAILLE</w:t>
      </w:r>
    </w:p>
    <w:p w14:paraId="336C371C" w14:textId="77777777" w:rsidR="00663784" w:rsidRPr="00415F35" w:rsidRDefault="00663784" w:rsidP="00663784">
      <w:pPr>
        <w:suppressLineNumbers/>
        <w:tabs>
          <w:tab w:val="clear" w:pos="567"/>
        </w:tabs>
        <w:spacing w:line="240" w:lineRule="auto"/>
        <w:ind w:left="720" w:hanging="720"/>
      </w:pPr>
    </w:p>
    <w:p w14:paraId="598B02D0" w14:textId="77777777" w:rsidR="00663784" w:rsidRPr="00415F35" w:rsidRDefault="00663784" w:rsidP="00663784">
      <w:pPr>
        <w:suppressLineNumbers/>
        <w:tabs>
          <w:tab w:val="clear" w:pos="567"/>
        </w:tabs>
        <w:spacing w:line="240" w:lineRule="auto"/>
        <w:ind w:left="720" w:hanging="720"/>
      </w:pPr>
    </w:p>
    <w:p w14:paraId="44F7D701" w14:textId="77777777" w:rsidR="00663784" w:rsidRPr="00415F35"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color w:val="008000"/>
          <w:sz w:val="22"/>
          <w:szCs w:val="22"/>
        </w:rPr>
      </w:pPr>
      <w:r w:rsidRPr="00415F35">
        <w:rPr>
          <w:sz w:val="22"/>
          <w:szCs w:val="22"/>
        </w:rPr>
        <w:t>17.</w:t>
      </w:r>
      <w:r w:rsidRPr="00415F35">
        <w:rPr>
          <w:sz w:val="22"/>
          <w:szCs w:val="22"/>
        </w:rPr>
        <w:tab/>
        <w:t>UNIQUE IDENTIFIER – 2D BARCODE</w:t>
      </w:r>
    </w:p>
    <w:p w14:paraId="73001B59" w14:textId="77777777" w:rsidR="00663784" w:rsidRPr="00415F35" w:rsidRDefault="00663784" w:rsidP="00663784">
      <w:pPr>
        <w:suppressLineNumbers/>
        <w:tabs>
          <w:tab w:val="clear" w:pos="567"/>
        </w:tabs>
        <w:spacing w:line="240" w:lineRule="auto"/>
        <w:ind w:left="720" w:hanging="720"/>
        <w:rPr>
          <w:bCs/>
          <w:lang w:val="en-US"/>
        </w:rPr>
      </w:pPr>
    </w:p>
    <w:p w14:paraId="66262B4D" w14:textId="77777777" w:rsidR="00663784" w:rsidRPr="00415F35" w:rsidRDefault="00663784" w:rsidP="00663784">
      <w:pPr>
        <w:suppressLineNumbers/>
        <w:tabs>
          <w:tab w:val="clear" w:pos="567"/>
        </w:tabs>
        <w:spacing w:line="240" w:lineRule="auto"/>
        <w:ind w:left="720" w:hanging="720"/>
        <w:rPr>
          <w:bCs/>
          <w:lang w:val="en-US"/>
        </w:rPr>
      </w:pPr>
    </w:p>
    <w:p w14:paraId="6158207B" w14:textId="77777777" w:rsidR="00663784" w:rsidRPr="00415F35"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color w:val="008000"/>
          <w:sz w:val="22"/>
          <w:szCs w:val="22"/>
        </w:rPr>
      </w:pPr>
      <w:r w:rsidRPr="00415F35">
        <w:rPr>
          <w:sz w:val="22"/>
          <w:szCs w:val="22"/>
        </w:rPr>
        <w:t>18.</w:t>
      </w:r>
      <w:r w:rsidRPr="00415F35">
        <w:rPr>
          <w:sz w:val="22"/>
          <w:szCs w:val="22"/>
        </w:rPr>
        <w:tab/>
        <w:t xml:space="preserve">UNIQUE </w:t>
      </w:r>
      <w:r w:rsidRPr="00415F35">
        <w:rPr>
          <w:sz w:val="22"/>
          <w:szCs w:val="22"/>
        </w:rPr>
        <w:t>IDENTIFIER – HUMAN READABLE DATA</w:t>
      </w:r>
    </w:p>
    <w:p w14:paraId="0CE30406" w14:textId="77777777" w:rsidR="00663784" w:rsidRPr="00415F35" w:rsidRDefault="00663784" w:rsidP="00663784">
      <w:pPr>
        <w:suppressLineNumbers/>
        <w:tabs>
          <w:tab w:val="clear" w:pos="567"/>
        </w:tabs>
        <w:spacing w:line="240" w:lineRule="auto"/>
        <w:ind w:left="720" w:hanging="720"/>
        <w:rPr>
          <w:bCs/>
          <w:lang w:val="en-US"/>
        </w:rPr>
      </w:pPr>
    </w:p>
    <w:p w14:paraId="7C1E1EE3" w14:textId="77777777" w:rsidR="00663784" w:rsidRPr="00415F35" w:rsidRDefault="00663784" w:rsidP="00663784">
      <w:pPr>
        <w:suppressLineNumbers/>
        <w:tabs>
          <w:tab w:val="clear" w:pos="567"/>
        </w:tabs>
        <w:spacing w:line="240" w:lineRule="auto"/>
        <w:ind w:left="720" w:hanging="720"/>
      </w:pPr>
    </w:p>
    <w:p w14:paraId="2A93D9F6" w14:textId="77777777" w:rsidR="00663784" w:rsidRPr="00C83CF5" w:rsidRDefault="005A3D7D" w:rsidP="00663784">
      <w:pPr>
        <w:tabs>
          <w:tab w:val="clear" w:pos="567"/>
        </w:tabs>
        <w:spacing w:line="240" w:lineRule="auto"/>
        <w:rPr>
          <w:b/>
          <w:bCs/>
          <w:kern w:val="32"/>
        </w:rPr>
      </w:pPr>
      <w:r w:rsidRPr="00C83CF5">
        <w:br w:type="page"/>
      </w:r>
    </w:p>
    <w:p w14:paraId="051D70A3" w14:textId="77777777" w:rsidR="00663784" w:rsidRPr="004030E7" w:rsidRDefault="005A3D7D" w:rsidP="00663784">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b w:val="0"/>
          <w:sz w:val="22"/>
          <w:szCs w:val="22"/>
        </w:rPr>
      </w:pPr>
      <w:r w:rsidRPr="00A13523">
        <w:rPr>
          <w:rFonts w:ascii="Times New Roman" w:hAnsi="Times New Roman"/>
          <w:sz w:val="22"/>
        </w:rPr>
        <w:t>PARTICULARS TO APPEAR ON THE OUTER PACKAGING</w:t>
      </w:r>
    </w:p>
    <w:p w14:paraId="5576CE84" w14:textId="77777777" w:rsidR="00663784" w:rsidRPr="00A808AC" w:rsidRDefault="005A3D7D" w:rsidP="00663784">
      <w:pPr>
        <w:pBdr>
          <w:top w:val="single" w:sz="4" w:space="1" w:color="auto"/>
          <w:left w:val="single" w:sz="4" w:space="4" w:color="auto"/>
          <w:bottom w:val="single" w:sz="4" w:space="1" w:color="auto"/>
          <w:right w:val="single" w:sz="4" w:space="4" w:color="auto"/>
        </w:pBdr>
        <w:spacing w:line="240" w:lineRule="auto"/>
      </w:pPr>
      <w:r w:rsidRPr="00A808AC">
        <w:rPr>
          <w:b/>
          <w:bCs/>
          <w:caps/>
        </w:rPr>
        <w:t>Outer carton</w:t>
      </w:r>
      <w:r w:rsidRPr="00A808AC">
        <w:rPr>
          <w:b/>
          <w:bCs/>
        </w:rPr>
        <w:t xml:space="preserve"> FOR SACHET</w:t>
      </w:r>
    </w:p>
    <w:p w14:paraId="49DD8BB9" w14:textId="77777777" w:rsidR="00663784" w:rsidRPr="00A808AC" w:rsidRDefault="00663784" w:rsidP="00663784">
      <w:pPr>
        <w:suppressLineNumbers/>
        <w:tabs>
          <w:tab w:val="clear" w:pos="567"/>
        </w:tabs>
        <w:spacing w:line="240" w:lineRule="auto"/>
        <w:ind w:left="720" w:hanging="720"/>
      </w:pPr>
    </w:p>
    <w:p w14:paraId="53461604" w14:textId="77777777" w:rsidR="00663784" w:rsidRPr="00A808AC" w:rsidRDefault="00663784" w:rsidP="00663784">
      <w:pPr>
        <w:suppressLineNumbers/>
        <w:tabs>
          <w:tab w:val="clear" w:pos="567"/>
        </w:tabs>
        <w:spacing w:line="240" w:lineRule="auto"/>
        <w:ind w:left="720" w:hanging="720"/>
      </w:pPr>
    </w:p>
    <w:p w14:paraId="42C7812D"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w:t>
      </w:r>
      <w:r w:rsidRPr="00A808AC">
        <w:rPr>
          <w:b/>
          <w:bCs/>
        </w:rPr>
        <w:tab/>
        <w:t>NAME OF THE MEDICINAL PRODUCT</w:t>
      </w:r>
    </w:p>
    <w:p w14:paraId="7AB3807F" w14:textId="77777777" w:rsidR="00663784" w:rsidRPr="00A808AC" w:rsidRDefault="00663784" w:rsidP="00663784">
      <w:pPr>
        <w:suppressLineNumbers/>
        <w:tabs>
          <w:tab w:val="clear" w:pos="567"/>
        </w:tabs>
        <w:spacing w:line="240" w:lineRule="auto"/>
        <w:ind w:left="720" w:hanging="720"/>
      </w:pPr>
    </w:p>
    <w:p w14:paraId="53559095" w14:textId="77777777" w:rsidR="00663784" w:rsidRPr="00A808AC" w:rsidRDefault="005A3D7D" w:rsidP="00663784">
      <w:pPr>
        <w:tabs>
          <w:tab w:val="clear" w:pos="567"/>
        </w:tabs>
        <w:spacing w:line="240" w:lineRule="auto"/>
        <w:ind w:left="720" w:hanging="720"/>
      </w:pPr>
      <w:r w:rsidRPr="00A808AC">
        <w:t xml:space="preserve">Kalydeco </w:t>
      </w:r>
      <w:r>
        <w:t>25</w:t>
      </w:r>
      <w:r w:rsidRPr="00A808AC">
        <w:t> mg granules in sachet</w:t>
      </w:r>
    </w:p>
    <w:p w14:paraId="14987521" w14:textId="77777777" w:rsidR="00663784" w:rsidRPr="00A808AC" w:rsidRDefault="005A3D7D" w:rsidP="00663784">
      <w:pPr>
        <w:tabs>
          <w:tab w:val="clear" w:pos="567"/>
        </w:tabs>
        <w:spacing w:line="240" w:lineRule="auto"/>
        <w:ind w:left="720" w:hanging="720"/>
        <w:rPr>
          <w:i/>
          <w:iCs/>
        </w:rPr>
      </w:pPr>
      <w:r>
        <w:t>i</w:t>
      </w:r>
      <w:r w:rsidRPr="00A808AC">
        <w:t>vacaftor</w:t>
      </w:r>
    </w:p>
    <w:p w14:paraId="37D23407" w14:textId="77777777" w:rsidR="00663784" w:rsidRPr="00A808AC" w:rsidRDefault="00663784" w:rsidP="00663784">
      <w:pPr>
        <w:suppressLineNumbers/>
        <w:tabs>
          <w:tab w:val="clear" w:pos="567"/>
        </w:tabs>
        <w:spacing w:line="240" w:lineRule="auto"/>
        <w:ind w:left="720" w:hanging="720"/>
      </w:pPr>
    </w:p>
    <w:p w14:paraId="1622BD7F" w14:textId="77777777" w:rsidR="00663784" w:rsidRPr="00A808AC" w:rsidRDefault="00663784" w:rsidP="00663784">
      <w:pPr>
        <w:suppressLineNumbers/>
        <w:tabs>
          <w:tab w:val="clear" w:pos="567"/>
        </w:tabs>
        <w:spacing w:line="240" w:lineRule="auto"/>
        <w:ind w:left="720" w:hanging="720"/>
      </w:pPr>
    </w:p>
    <w:p w14:paraId="4DCC7984" w14:textId="77777777" w:rsidR="00663784" w:rsidRPr="00A808AC" w:rsidRDefault="005A3D7D" w:rsidP="00663784">
      <w:pPr>
        <w:suppressLineNumbers/>
        <w:pBdr>
          <w:top w:val="single" w:sz="4" w:space="0"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STATEMENT OF ACTIVE SUBSTANCE</w:t>
      </w:r>
    </w:p>
    <w:p w14:paraId="385EA8A0" w14:textId="77777777" w:rsidR="00663784" w:rsidRPr="00A808AC" w:rsidRDefault="00663784" w:rsidP="00663784">
      <w:pPr>
        <w:suppressLineNumbers/>
        <w:tabs>
          <w:tab w:val="clear" w:pos="567"/>
        </w:tabs>
        <w:spacing w:line="240" w:lineRule="auto"/>
        <w:ind w:left="720" w:hanging="720"/>
        <w:rPr>
          <w:i/>
          <w:iCs/>
        </w:rPr>
      </w:pPr>
    </w:p>
    <w:p w14:paraId="2277DCA4" w14:textId="77777777" w:rsidR="00663784" w:rsidRPr="00A808AC" w:rsidRDefault="005A3D7D" w:rsidP="00663784">
      <w:pPr>
        <w:widowControl w:val="0"/>
        <w:tabs>
          <w:tab w:val="clear" w:pos="567"/>
        </w:tabs>
        <w:spacing w:line="240" w:lineRule="auto"/>
        <w:ind w:left="720" w:hanging="720"/>
      </w:pPr>
      <w:r w:rsidRPr="00A808AC">
        <w:t xml:space="preserve">Each sachet of granules contains </w:t>
      </w:r>
      <w:r>
        <w:t>25</w:t>
      </w:r>
      <w:r w:rsidRPr="00A808AC">
        <w:t> mg of ivacaftor.</w:t>
      </w:r>
    </w:p>
    <w:p w14:paraId="6B58433C" w14:textId="77777777" w:rsidR="00663784" w:rsidRPr="00A808AC" w:rsidRDefault="00663784" w:rsidP="00663784">
      <w:pPr>
        <w:suppressLineNumbers/>
        <w:tabs>
          <w:tab w:val="clear" w:pos="567"/>
        </w:tabs>
        <w:spacing w:line="240" w:lineRule="auto"/>
        <w:ind w:left="720" w:hanging="720"/>
      </w:pPr>
    </w:p>
    <w:p w14:paraId="341855D3" w14:textId="77777777" w:rsidR="00663784" w:rsidRPr="00A808AC" w:rsidRDefault="00663784" w:rsidP="00663784">
      <w:pPr>
        <w:suppressLineNumbers/>
        <w:tabs>
          <w:tab w:val="clear" w:pos="567"/>
        </w:tabs>
        <w:spacing w:line="240" w:lineRule="auto"/>
        <w:ind w:left="720" w:hanging="720"/>
      </w:pPr>
    </w:p>
    <w:p w14:paraId="24A15167"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3.</w:t>
      </w:r>
      <w:r w:rsidRPr="00A808AC">
        <w:rPr>
          <w:b/>
          <w:bCs/>
        </w:rPr>
        <w:tab/>
        <w:t>LIST OF EXCIPIENTS</w:t>
      </w:r>
    </w:p>
    <w:p w14:paraId="5BBC9669" w14:textId="77777777" w:rsidR="00663784" w:rsidRPr="00A808AC" w:rsidRDefault="00663784" w:rsidP="00663784">
      <w:pPr>
        <w:suppressLineNumbers/>
        <w:tabs>
          <w:tab w:val="clear" w:pos="567"/>
        </w:tabs>
        <w:spacing w:line="240" w:lineRule="auto"/>
        <w:ind w:left="720" w:hanging="720"/>
      </w:pPr>
    </w:p>
    <w:p w14:paraId="6CE32A9C" w14:textId="77777777" w:rsidR="00663784" w:rsidRPr="00A808AC" w:rsidRDefault="005A3D7D" w:rsidP="00663784">
      <w:pPr>
        <w:tabs>
          <w:tab w:val="clear" w:pos="567"/>
        </w:tabs>
        <w:spacing w:line="240" w:lineRule="auto"/>
        <w:ind w:left="720" w:hanging="720"/>
      </w:pPr>
      <w:r w:rsidRPr="00A808AC">
        <w:t>Contains lactose.</w:t>
      </w:r>
    </w:p>
    <w:p w14:paraId="61E69529" w14:textId="77777777" w:rsidR="00663784" w:rsidRPr="00A808AC" w:rsidRDefault="00663784" w:rsidP="00663784">
      <w:pPr>
        <w:tabs>
          <w:tab w:val="clear" w:pos="567"/>
        </w:tabs>
        <w:spacing w:line="240" w:lineRule="auto"/>
        <w:ind w:left="720" w:hanging="720"/>
      </w:pPr>
    </w:p>
    <w:p w14:paraId="65F534B6" w14:textId="77777777" w:rsidR="00663784" w:rsidRPr="00A808AC" w:rsidRDefault="005A3D7D" w:rsidP="00663784">
      <w:pPr>
        <w:tabs>
          <w:tab w:val="clear" w:pos="567"/>
        </w:tabs>
        <w:spacing w:line="240" w:lineRule="auto"/>
        <w:ind w:left="720" w:hanging="720"/>
      </w:pPr>
      <w:r w:rsidRPr="00695508">
        <w:rPr>
          <w:highlight w:val="lightGray"/>
        </w:rPr>
        <w:t>See leaflet for further information.</w:t>
      </w:r>
    </w:p>
    <w:p w14:paraId="0AF41CC3" w14:textId="77777777" w:rsidR="00663784" w:rsidRPr="00A808AC" w:rsidRDefault="00663784" w:rsidP="00663784">
      <w:pPr>
        <w:suppressLineNumbers/>
        <w:tabs>
          <w:tab w:val="clear" w:pos="567"/>
        </w:tabs>
        <w:spacing w:line="240" w:lineRule="auto"/>
        <w:ind w:left="720" w:hanging="720"/>
      </w:pPr>
    </w:p>
    <w:p w14:paraId="520014DE" w14:textId="77777777" w:rsidR="00663784" w:rsidRPr="00A808AC" w:rsidRDefault="00663784" w:rsidP="00663784">
      <w:pPr>
        <w:suppressLineNumbers/>
        <w:tabs>
          <w:tab w:val="clear" w:pos="567"/>
        </w:tabs>
        <w:spacing w:line="240" w:lineRule="auto"/>
        <w:ind w:left="720" w:hanging="720"/>
      </w:pPr>
    </w:p>
    <w:p w14:paraId="682D730B"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4.</w:t>
      </w:r>
      <w:r w:rsidRPr="00A808AC">
        <w:rPr>
          <w:b/>
          <w:bCs/>
        </w:rPr>
        <w:tab/>
        <w:t>PHARMACEUTICAL FORM AND CONTENTS</w:t>
      </w:r>
    </w:p>
    <w:p w14:paraId="32A36A81" w14:textId="77777777" w:rsidR="00663784" w:rsidRPr="00A808AC" w:rsidRDefault="00663784" w:rsidP="00663784">
      <w:pPr>
        <w:suppressLineNumbers/>
        <w:tabs>
          <w:tab w:val="clear" w:pos="567"/>
        </w:tabs>
        <w:spacing w:line="240" w:lineRule="auto"/>
        <w:ind w:left="720" w:hanging="720"/>
      </w:pPr>
    </w:p>
    <w:p w14:paraId="423993DB" w14:textId="77777777" w:rsidR="00663784" w:rsidRPr="00A808AC" w:rsidRDefault="005A3D7D" w:rsidP="00663784">
      <w:pPr>
        <w:tabs>
          <w:tab w:val="clear" w:pos="567"/>
        </w:tabs>
        <w:spacing w:line="240" w:lineRule="auto"/>
        <w:ind w:left="720" w:hanging="720"/>
        <w:rPr>
          <w:lang w:val="en-US"/>
        </w:rPr>
      </w:pPr>
      <w:r w:rsidRPr="00695508">
        <w:rPr>
          <w:highlight w:val="lightGray"/>
          <w:lang w:val="en-US"/>
        </w:rPr>
        <w:t>Granules in sachet</w:t>
      </w:r>
    </w:p>
    <w:p w14:paraId="35EA0CDB" w14:textId="77777777" w:rsidR="00663784" w:rsidRPr="00A808AC" w:rsidRDefault="00663784" w:rsidP="00663784">
      <w:pPr>
        <w:tabs>
          <w:tab w:val="clear" w:pos="567"/>
        </w:tabs>
        <w:spacing w:line="240" w:lineRule="auto"/>
        <w:ind w:left="720" w:hanging="720"/>
        <w:rPr>
          <w:lang w:val="en-US"/>
        </w:rPr>
      </w:pPr>
    </w:p>
    <w:p w14:paraId="6EFBEE4B" w14:textId="77777777" w:rsidR="00663784" w:rsidRPr="00A808AC" w:rsidRDefault="005A3D7D" w:rsidP="00663784">
      <w:pPr>
        <w:tabs>
          <w:tab w:val="clear" w:pos="567"/>
        </w:tabs>
        <w:spacing w:line="240" w:lineRule="auto"/>
        <w:ind w:left="720" w:hanging="720"/>
        <w:rPr>
          <w:lang w:val="en-US"/>
        </w:rPr>
      </w:pPr>
      <w:r w:rsidRPr="00A808AC">
        <w:rPr>
          <w:lang w:val="en-US"/>
        </w:rPr>
        <w:t>56</w:t>
      </w:r>
      <w:r>
        <w:rPr>
          <w:lang w:val="en-US"/>
        </w:rPr>
        <w:t> </w:t>
      </w:r>
      <w:r w:rsidRPr="00A808AC">
        <w:rPr>
          <w:lang w:val="en-US"/>
        </w:rPr>
        <w:t>sachets</w:t>
      </w:r>
    </w:p>
    <w:p w14:paraId="51F1B10D" w14:textId="77777777" w:rsidR="00663784" w:rsidRPr="00A808AC" w:rsidRDefault="00663784" w:rsidP="00663784">
      <w:pPr>
        <w:tabs>
          <w:tab w:val="clear" w:pos="567"/>
        </w:tabs>
        <w:spacing w:line="240" w:lineRule="auto"/>
        <w:ind w:left="720" w:hanging="720"/>
        <w:rPr>
          <w:lang w:val="en-US"/>
        </w:rPr>
      </w:pPr>
    </w:p>
    <w:p w14:paraId="402218AA" w14:textId="77777777" w:rsidR="00663784" w:rsidRPr="00A808AC" w:rsidRDefault="005A3D7D" w:rsidP="00663784">
      <w:pPr>
        <w:tabs>
          <w:tab w:val="clear" w:pos="567"/>
        </w:tabs>
        <w:spacing w:line="240" w:lineRule="auto"/>
        <w:ind w:left="720" w:hanging="720"/>
      </w:pPr>
      <w:r w:rsidRPr="00A808AC">
        <w:rPr>
          <w:lang w:val="en-US"/>
        </w:rPr>
        <w:t>4 individual wallets with 14</w:t>
      </w:r>
      <w:r>
        <w:rPr>
          <w:lang w:val="en-US"/>
        </w:rPr>
        <w:t> </w:t>
      </w:r>
      <w:r w:rsidRPr="00A808AC">
        <w:rPr>
          <w:lang w:val="en-US"/>
        </w:rPr>
        <w:t xml:space="preserve">sachets per </w:t>
      </w:r>
      <w:r w:rsidRPr="00A808AC">
        <w:rPr>
          <w:lang w:val="en-US"/>
        </w:rPr>
        <w:t>wallet</w:t>
      </w:r>
    </w:p>
    <w:p w14:paraId="7718FC89" w14:textId="77777777" w:rsidR="00663784" w:rsidRPr="00A808AC" w:rsidRDefault="00663784" w:rsidP="00663784">
      <w:pPr>
        <w:suppressLineNumbers/>
        <w:tabs>
          <w:tab w:val="clear" w:pos="567"/>
        </w:tabs>
        <w:spacing w:line="240" w:lineRule="auto"/>
        <w:ind w:left="720" w:hanging="720"/>
      </w:pPr>
    </w:p>
    <w:p w14:paraId="149CF840" w14:textId="77777777" w:rsidR="00663784" w:rsidRPr="00A808AC" w:rsidRDefault="00663784" w:rsidP="00663784">
      <w:pPr>
        <w:suppressLineNumbers/>
        <w:tabs>
          <w:tab w:val="clear" w:pos="567"/>
        </w:tabs>
        <w:spacing w:line="240" w:lineRule="auto"/>
        <w:ind w:left="720" w:hanging="720"/>
      </w:pPr>
    </w:p>
    <w:p w14:paraId="64EC790D"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5.</w:t>
      </w:r>
      <w:r w:rsidRPr="00A808AC">
        <w:rPr>
          <w:b/>
          <w:bCs/>
        </w:rPr>
        <w:tab/>
        <w:t>METHOD AND ROUTE(S) OF ADMINISTRATION</w:t>
      </w:r>
    </w:p>
    <w:p w14:paraId="5EECE4B4" w14:textId="77777777" w:rsidR="00663784" w:rsidRPr="00A808AC" w:rsidRDefault="00663784" w:rsidP="00663784">
      <w:pPr>
        <w:suppressLineNumbers/>
        <w:tabs>
          <w:tab w:val="clear" w:pos="567"/>
          <w:tab w:val="left" w:pos="4997"/>
        </w:tabs>
        <w:spacing w:line="240" w:lineRule="auto"/>
        <w:ind w:left="720" w:hanging="720"/>
      </w:pPr>
    </w:p>
    <w:p w14:paraId="410EA655" w14:textId="77777777" w:rsidR="00663784" w:rsidRDefault="005A3D7D" w:rsidP="00663784">
      <w:pPr>
        <w:suppressLineNumbers/>
        <w:tabs>
          <w:tab w:val="clear" w:pos="567"/>
        </w:tabs>
        <w:spacing w:line="240" w:lineRule="auto"/>
        <w:ind w:left="720" w:hanging="720"/>
      </w:pPr>
      <w:r w:rsidRPr="00A808AC">
        <w:t>Read the package leaflet before use.</w:t>
      </w:r>
    </w:p>
    <w:p w14:paraId="6A0FD5A8" w14:textId="77777777" w:rsidR="00663784" w:rsidRPr="00A808AC" w:rsidRDefault="00663784" w:rsidP="00663784">
      <w:pPr>
        <w:suppressLineNumbers/>
        <w:tabs>
          <w:tab w:val="clear" w:pos="567"/>
        </w:tabs>
        <w:spacing w:line="240" w:lineRule="auto"/>
        <w:ind w:left="720" w:hanging="720"/>
      </w:pPr>
    </w:p>
    <w:p w14:paraId="7C847282" w14:textId="77777777" w:rsidR="00663784" w:rsidRDefault="005A3D7D" w:rsidP="00663784">
      <w:pPr>
        <w:tabs>
          <w:tab w:val="clear" w:pos="567"/>
        </w:tabs>
        <w:spacing w:line="240" w:lineRule="auto"/>
        <w:ind w:left="720" w:hanging="720"/>
        <w:rPr>
          <w:lang w:val="en-US"/>
        </w:rPr>
      </w:pPr>
      <w:r w:rsidRPr="00A808AC">
        <w:rPr>
          <w:lang w:val="en-US"/>
        </w:rPr>
        <w:t>Oral use</w:t>
      </w:r>
    </w:p>
    <w:p w14:paraId="0029D553" w14:textId="77777777" w:rsidR="00663784" w:rsidRDefault="00663784" w:rsidP="00663784">
      <w:pPr>
        <w:tabs>
          <w:tab w:val="clear" w:pos="567"/>
        </w:tabs>
        <w:spacing w:line="240" w:lineRule="auto"/>
        <w:ind w:left="720" w:hanging="720"/>
      </w:pPr>
    </w:p>
    <w:p w14:paraId="5FE97A70" w14:textId="77777777" w:rsidR="00663784" w:rsidRPr="00B70611" w:rsidRDefault="005A3D7D" w:rsidP="00663784">
      <w:pPr>
        <w:tabs>
          <w:tab w:val="clear" w:pos="567"/>
        </w:tabs>
        <w:spacing w:line="240" w:lineRule="auto"/>
        <w:ind w:left="720" w:hanging="720"/>
        <w:rPr>
          <w:b/>
        </w:rPr>
      </w:pPr>
      <w:r w:rsidRPr="00B70611">
        <w:rPr>
          <w:b/>
        </w:rPr>
        <w:t xml:space="preserve">Instructions for </w:t>
      </w:r>
      <w:r>
        <w:rPr>
          <w:b/>
        </w:rPr>
        <w:t>u</w:t>
      </w:r>
      <w:r w:rsidRPr="00B70611">
        <w:rPr>
          <w:b/>
        </w:rPr>
        <w:t>se</w:t>
      </w:r>
    </w:p>
    <w:p w14:paraId="1B0AF7C1" w14:textId="77777777" w:rsidR="00663784" w:rsidRPr="00A808AC" w:rsidRDefault="00663784" w:rsidP="00663784">
      <w:pPr>
        <w:suppressLineNumbers/>
        <w:tabs>
          <w:tab w:val="clear" w:pos="567"/>
        </w:tabs>
        <w:spacing w:line="240" w:lineRule="auto"/>
        <w:ind w:left="720" w:hanging="720"/>
      </w:pPr>
    </w:p>
    <w:p w14:paraId="0ECF598B" w14:textId="77777777" w:rsidR="00663784" w:rsidRDefault="005A3D7D" w:rsidP="00663784">
      <w:pPr>
        <w:suppressLineNumbers/>
        <w:tabs>
          <w:tab w:val="clear" w:pos="567"/>
        </w:tabs>
        <w:spacing w:line="240" w:lineRule="auto"/>
        <w:rPr>
          <w:bCs/>
          <w:lang w:val="en-US"/>
        </w:rPr>
      </w:pPr>
      <w:r w:rsidRPr="003F1CB4">
        <w:t>Mix the entire content of a sachet with 5 mL of age</w:t>
      </w:r>
      <w:r>
        <w:noBreakHyphen/>
      </w:r>
      <w:r w:rsidRPr="003F1CB4">
        <w:t xml:space="preserve">appropriate soft food or liquid that is at or below room temperature and </w:t>
      </w:r>
      <w:r w:rsidRPr="003F1CB4">
        <w:t>consume it completely.</w:t>
      </w:r>
    </w:p>
    <w:p w14:paraId="43AAE657" w14:textId="77777777" w:rsidR="00663784" w:rsidRDefault="00663784" w:rsidP="00663784">
      <w:pPr>
        <w:suppressLineNumbers/>
        <w:tabs>
          <w:tab w:val="clear" w:pos="567"/>
        </w:tabs>
        <w:spacing w:line="240" w:lineRule="auto"/>
        <w:ind w:left="720" w:hanging="720"/>
        <w:rPr>
          <w:bCs/>
          <w:lang w:val="en-US"/>
        </w:rPr>
      </w:pPr>
    </w:p>
    <w:p w14:paraId="0E535DF7" w14:textId="77777777" w:rsidR="00663784" w:rsidRPr="00A808AC" w:rsidRDefault="005A3D7D" w:rsidP="00663784">
      <w:pPr>
        <w:suppressLineNumbers/>
        <w:tabs>
          <w:tab w:val="clear" w:pos="567"/>
        </w:tabs>
        <w:spacing w:line="240" w:lineRule="auto"/>
        <w:ind w:left="720" w:hanging="720"/>
      </w:pPr>
      <w:r w:rsidRPr="003F1CB4">
        <w:t>Use within one hour after mixing, just before or after a fat</w:t>
      </w:r>
      <w:r w:rsidRPr="003F1CB4">
        <w:noBreakHyphen/>
        <w:t>containing meal or snack.</w:t>
      </w:r>
    </w:p>
    <w:p w14:paraId="2F4895B6" w14:textId="77777777" w:rsidR="00663784" w:rsidRPr="00A808AC" w:rsidRDefault="00663784" w:rsidP="00663784">
      <w:pPr>
        <w:suppressLineNumbers/>
        <w:tabs>
          <w:tab w:val="clear" w:pos="567"/>
        </w:tabs>
        <w:spacing w:line="240" w:lineRule="auto"/>
        <w:ind w:left="720" w:hanging="720"/>
      </w:pPr>
    </w:p>
    <w:p w14:paraId="0EA43DD0" w14:textId="77777777" w:rsidR="00663784" w:rsidRPr="00A808AC" w:rsidRDefault="005A3D7D" w:rsidP="00663784">
      <w:pPr>
        <w:suppressLineNumbers/>
        <w:tabs>
          <w:tab w:val="clear" w:pos="567"/>
        </w:tabs>
        <w:spacing w:line="240" w:lineRule="auto"/>
        <w:ind w:left="720" w:hanging="720"/>
      </w:pPr>
      <w:r w:rsidRPr="00A808AC">
        <w:t>Lift here to open</w:t>
      </w:r>
    </w:p>
    <w:p w14:paraId="4DE40E1B" w14:textId="77777777" w:rsidR="00663784" w:rsidRPr="00A808AC" w:rsidRDefault="00663784" w:rsidP="00663784">
      <w:pPr>
        <w:suppressLineNumbers/>
        <w:tabs>
          <w:tab w:val="clear" w:pos="567"/>
        </w:tabs>
        <w:spacing w:line="240" w:lineRule="auto"/>
        <w:ind w:left="720" w:hanging="720"/>
      </w:pPr>
    </w:p>
    <w:p w14:paraId="40FE0ED4" w14:textId="77777777" w:rsidR="00663784" w:rsidRPr="00A808AC" w:rsidRDefault="00663784" w:rsidP="00663784">
      <w:pPr>
        <w:suppressLineNumbers/>
        <w:tabs>
          <w:tab w:val="clear" w:pos="567"/>
        </w:tabs>
        <w:spacing w:line="240" w:lineRule="auto"/>
        <w:ind w:left="720" w:hanging="720"/>
      </w:pPr>
    </w:p>
    <w:p w14:paraId="6D8BBFDE" w14:textId="77777777" w:rsidR="00663784" w:rsidRPr="00A808AC" w:rsidRDefault="005A3D7D"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6.</w:t>
      </w:r>
      <w:r w:rsidRPr="00A808AC">
        <w:rPr>
          <w:b/>
          <w:bCs/>
        </w:rPr>
        <w:tab/>
        <w:t>SPECIAL WARNING THAT THE MEDICINAL PRODUCT MUST BE STORED OUT OF THE SIGHT AND REACH OF CHILDREN</w:t>
      </w:r>
    </w:p>
    <w:p w14:paraId="254C9439" w14:textId="77777777" w:rsidR="00663784" w:rsidRPr="00A808AC" w:rsidRDefault="00663784" w:rsidP="00663784">
      <w:pPr>
        <w:keepNext/>
        <w:suppressLineNumbers/>
        <w:tabs>
          <w:tab w:val="clear" w:pos="567"/>
        </w:tabs>
        <w:spacing w:line="240" w:lineRule="auto"/>
        <w:ind w:left="720" w:hanging="720"/>
      </w:pPr>
    </w:p>
    <w:p w14:paraId="05DF09D4" w14:textId="77777777" w:rsidR="00663784" w:rsidRPr="00A808AC" w:rsidRDefault="005A3D7D" w:rsidP="00663784">
      <w:pPr>
        <w:tabs>
          <w:tab w:val="clear" w:pos="567"/>
        </w:tabs>
        <w:spacing w:line="240" w:lineRule="auto"/>
        <w:ind w:left="720" w:hanging="720"/>
      </w:pPr>
      <w:r w:rsidRPr="00A808AC">
        <w:t xml:space="preserve">Keep out of the </w:t>
      </w:r>
      <w:r w:rsidRPr="00A808AC">
        <w:t>sight and reach of children.</w:t>
      </w:r>
    </w:p>
    <w:p w14:paraId="5888C98E" w14:textId="77777777" w:rsidR="00663784" w:rsidRPr="00A808AC" w:rsidRDefault="00663784" w:rsidP="00663784">
      <w:pPr>
        <w:tabs>
          <w:tab w:val="clear" w:pos="567"/>
        </w:tabs>
        <w:spacing w:line="240" w:lineRule="auto"/>
        <w:ind w:left="720" w:hanging="720"/>
      </w:pPr>
    </w:p>
    <w:p w14:paraId="12A927A0" w14:textId="77777777" w:rsidR="00663784" w:rsidRPr="00A808AC" w:rsidRDefault="00663784" w:rsidP="00663784">
      <w:pPr>
        <w:tabs>
          <w:tab w:val="clear" w:pos="567"/>
        </w:tabs>
        <w:spacing w:line="240" w:lineRule="auto"/>
        <w:ind w:left="720" w:hanging="720"/>
      </w:pPr>
    </w:p>
    <w:p w14:paraId="7E61F332"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7.</w:t>
      </w:r>
      <w:r w:rsidRPr="00A808AC">
        <w:rPr>
          <w:b/>
          <w:bCs/>
        </w:rPr>
        <w:tab/>
        <w:t>OTHER SPECIAL WARNING(S), IF NECESSARY</w:t>
      </w:r>
    </w:p>
    <w:p w14:paraId="0EBBCFB6" w14:textId="77777777" w:rsidR="00663784" w:rsidRPr="00A808AC" w:rsidRDefault="00663784" w:rsidP="00663784">
      <w:pPr>
        <w:suppressLineNumbers/>
        <w:tabs>
          <w:tab w:val="clear" w:pos="567"/>
        </w:tabs>
        <w:spacing w:line="240" w:lineRule="auto"/>
        <w:ind w:left="720" w:hanging="720"/>
      </w:pPr>
    </w:p>
    <w:p w14:paraId="561C270C" w14:textId="77777777" w:rsidR="00663784" w:rsidRPr="00A808AC" w:rsidRDefault="00663784" w:rsidP="00663784">
      <w:pPr>
        <w:suppressLineNumbers/>
        <w:tabs>
          <w:tab w:val="clear" w:pos="567"/>
          <w:tab w:val="left" w:pos="749"/>
        </w:tabs>
        <w:spacing w:line="240" w:lineRule="auto"/>
        <w:ind w:left="720" w:hanging="720"/>
      </w:pPr>
    </w:p>
    <w:p w14:paraId="1112DE77"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8.</w:t>
      </w:r>
      <w:r w:rsidRPr="00A808AC">
        <w:rPr>
          <w:b/>
          <w:bCs/>
        </w:rPr>
        <w:tab/>
        <w:t>EXPIRY DATE</w:t>
      </w:r>
    </w:p>
    <w:p w14:paraId="1BED2C50" w14:textId="77777777" w:rsidR="00663784" w:rsidRPr="00A808AC" w:rsidRDefault="00663784" w:rsidP="00663784">
      <w:pPr>
        <w:suppressLineNumbers/>
        <w:tabs>
          <w:tab w:val="clear" w:pos="567"/>
        </w:tabs>
        <w:spacing w:line="240" w:lineRule="auto"/>
        <w:ind w:left="720" w:hanging="720"/>
      </w:pPr>
    </w:p>
    <w:p w14:paraId="74C9AB90" w14:textId="77777777" w:rsidR="00663784" w:rsidRPr="00A808AC" w:rsidRDefault="005A3D7D" w:rsidP="00663784">
      <w:pPr>
        <w:suppressLineNumbers/>
        <w:tabs>
          <w:tab w:val="clear" w:pos="567"/>
        </w:tabs>
        <w:spacing w:line="240" w:lineRule="auto"/>
        <w:ind w:left="720" w:hanging="720"/>
      </w:pPr>
      <w:r w:rsidRPr="00A808AC">
        <w:t>EXP</w:t>
      </w:r>
    </w:p>
    <w:p w14:paraId="77C79D7C" w14:textId="77777777" w:rsidR="00663784" w:rsidRPr="00A808AC" w:rsidRDefault="00663784" w:rsidP="00663784">
      <w:pPr>
        <w:suppressLineNumbers/>
        <w:tabs>
          <w:tab w:val="clear" w:pos="567"/>
        </w:tabs>
        <w:spacing w:line="240" w:lineRule="auto"/>
        <w:ind w:left="720" w:hanging="720"/>
      </w:pPr>
    </w:p>
    <w:p w14:paraId="3FF186B9" w14:textId="77777777" w:rsidR="00663784" w:rsidRPr="00A808AC" w:rsidRDefault="00663784" w:rsidP="00663784">
      <w:pPr>
        <w:suppressLineNumbers/>
        <w:tabs>
          <w:tab w:val="clear" w:pos="567"/>
        </w:tabs>
        <w:spacing w:line="240" w:lineRule="auto"/>
        <w:ind w:left="720" w:hanging="720"/>
      </w:pPr>
    </w:p>
    <w:p w14:paraId="2FCA379B"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9.</w:t>
      </w:r>
      <w:r w:rsidRPr="00A808AC">
        <w:rPr>
          <w:b/>
          <w:bCs/>
        </w:rPr>
        <w:tab/>
        <w:t>SPECIAL STORAGE CONDITIONS</w:t>
      </w:r>
    </w:p>
    <w:p w14:paraId="7BC40B53" w14:textId="77777777" w:rsidR="00663784" w:rsidRPr="00A808AC" w:rsidRDefault="00663784" w:rsidP="00663784">
      <w:pPr>
        <w:suppressLineNumbers/>
        <w:tabs>
          <w:tab w:val="clear" w:pos="567"/>
        </w:tabs>
        <w:spacing w:line="240" w:lineRule="auto"/>
        <w:ind w:left="720" w:hanging="720"/>
      </w:pPr>
    </w:p>
    <w:p w14:paraId="2AF35D13" w14:textId="77777777" w:rsidR="00663784" w:rsidRPr="00A808AC" w:rsidRDefault="00663784" w:rsidP="00663784">
      <w:pPr>
        <w:tabs>
          <w:tab w:val="clear" w:pos="567"/>
        </w:tabs>
        <w:spacing w:line="240" w:lineRule="auto"/>
        <w:ind w:left="720" w:hanging="720"/>
      </w:pPr>
    </w:p>
    <w:p w14:paraId="5546675C"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10.</w:t>
      </w:r>
      <w:r w:rsidRPr="00A808AC">
        <w:rPr>
          <w:b/>
          <w:bCs/>
        </w:rPr>
        <w:tab/>
        <w:t>SPECIAL PRECAUTIONS FOR DISPOSAL OF UNUSED MEDICINAL PRODUCTS OR WASTE MATERIALS DERIVED FROM SUCH MEDICINAL PRODUCTS, IF A</w:t>
      </w:r>
      <w:r w:rsidRPr="00A808AC">
        <w:rPr>
          <w:b/>
          <w:bCs/>
        </w:rPr>
        <w:t>PPROPRIATE</w:t>
      </w:r>
    </w:p>
    <w:p w14:paraId="08F81CE0" w14:textId="77777777" w:rsidR="00663784" w:rsidRPr="00A808AC" w:rsidRDefault="00663784" w:rsidP="00663784">
      <w:pPr>
        <w:tabs>
          <w:tab w:val="clear" w:pos="567"/>
        </w:tabs>
        <w:spacing w:line="240" w:lineRule="auto"/>
        <w:ind w:left="720" w:hanging="720"/>
        <w:rPr>
          <w:b/>
          <w:bCs/>
        </w:rPr>
      </w:pPr>
    </w:p>
    <w:p w14:paraId="317878CB" w14:textId="77777777" w:rsidR="00663784" w:rsidRPr="00A808AC" w:rsidRDefault="00663784" w:rsidP="00663784">
      <w:pPr>
        <w:tabs>
          <w:tab w:val="clear" w:pos="567"/>
        </w:tabs>
        <w:spacing w:line="240" w:lineRule="auto"/>
        <w:ind w:left="720" w:hanging="720"/>
        <w:rPr>
          <w:b/>
          <w:bCs/>
        </w:rPr>
      </w:pPr>
    </w:p>
    <w:p w14:paraId="75BEDF28"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11.</w:t>
      </w:r>
      <w:r w:rsidRPr="00A808AC">
        <w:rPr>
          <w:b/>
          <w:bCs/>
        </w:rPr>
        <w:tab/>
        <w:t>NAME AND ADDRESS OF THE MARKETING AUTHORISATION HOLDER</w:t>
      </w:r>
    </w:p>
    <w:p w14:paraId="3683F273" w14:textId="77777777" w:rsidR="00663784" w:rsidRDefault="00663784" w:rsidP="00663784">
      <w:pPr>
        <w:rPr>
          <w:iCs/>
        </w:rPr>
      </w:pPr>
    </w:p>
    <w:p w14:paraId="7EF8F56C" w14:textId="77777777" w:rsidR="00663784" w:rsidRPr="00420287" w:rsidRDefault="005A3D7D" w:rsidP="00663784">
      <w:pPr>
        <w:rPr>
          <w:iCs/>
        </w:rPr>
      </w:pPr>
      <w:r w:rsidRPr="00420287">
        <w:rPr>
          <w:iCs/>
        </w:rPr>
        <w:t>Vertex Pharmaceuticals (Ireland) Limited</w:t>
      </w:r>
    </w:p>
    <w:p w14:paraId="2FEC33A9" w14:textId="77777777" w:rsidR="00663784" w:rsidRPr="00420287" w:rsidRDefault="005A3D7D" w:rsidP="00663784">
      <w:pPr>
        <w:rPr>
          <w:iCs/>
        </w:rPr>
      </w:pPr>
      <w:r w:rsidRPr="00420287">
        <w:rPr>
          <w:iCs/>
        </w:rPr>
        <w:t>28-32 Pembroke Street Upper</w:t>
      </w:r>
    </w:p>
    <w:p w14:paraId="1386A4F4" w14:textId="77777777" w:rsidR="00663784" w:rsidRPr="00420287" w:rsidRDefault="005A3D7D" w:rsidP="00663784">
      <w:pPr>
        <w:rPr>
          <w:iCs/>
        </w:rPr>
      </w:pPr>
      <w:r w:rsidRPr="00420287">
        <w:rPr>
          <w:iCs/>
        </w:rPr>
        <w:t>Dublin 2</w:t>
      </w:r>
      <w:r>
        <w:rPr>
          <w:iCs/>
        </w:rPr>
        <w:t xml:space="preserve">, </w:t>
      </w:r>
      <w:r w:rsidRPr="00420287">
        <w:rPr>
          <w:iCs/>
        </w:rPr>
        <w:t>D02 EK84</w:t>
      </w:r>
    </w:p>
    <w:p w14:paraId="2F72CDDA" w14:textId="77777777" w:rsidR="00663784" w:rsidRPr="00A808AC" w:rsidRDefault="005A3D7D" w:rsidP="00663784">
      <w:pPr>
        <w:tabs>
          <w:tab w:val="clear" w:pos="567"/>
        </w:tabs>
        <w:spacing w:line="240" w:lineRule="auto"/>
        <w:ind w:left="720" w:hanging="720"/>
        <w:rPr>
          <w:lang w:val="en-US"/>
        </w:rPr>
      </w:pPr>
      <w:r w:rsidRPr="00420287">
        <w:rPr>
          <w:iCs/>
        </w:rPr>
        <w:t>Ireland</w:t>
      </w:r>
    </w:p>
    <w:p w14:paraId="624FFA49" w14:textId="77777777" w:rsidR="00663784" w:rsidRPr="00A808AC" w:rsidRDefault="00663784" w:rsidP="00663784">
      <w:pPr>
        <w:pStyle w:val="NormalIndent"/>
        <w:spacing w:after="0"/>
        <w:ind w:hanging="720"/>
        <w:rPr>
          <w:lang w:val="en-US"/>
        </w:rPr>
      </w:pPr>
    </w:p>
    <w:p w14:paraId="3141B769" w14:textId="77777777" w:rsidR="00663784" w:rsidRPr="004030E7" w:rsidRDefault="00663784" w:rsidP="00663784">
      <w:pPr>
        <w:pStyle w:val="NormalIndent"/>
        <w:spacing w:after="0"/>
        <w:ind w:hanging="720"/>
        <w:rPr>
          <w:lang w:val="en-US"/>
        </w:rPr>
      </w:pPr>
    </w:p>
    <w:p w14:paraId="4125F868" w14:textId="77777777" w:rsidR="00663784" w:rsidRPr="004030E7"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4030E7">
        <w:rPr>
          <w:b/>
          <w:bCs/>
        </w:rPr>
        <w:t>12.</w:t>
      </w:r>
      <w:r w:rsidRPr="004030E7">
        <w:rPr>
          <w:b/>
          <w:bCs/>
        </w:rPr>
        <w:tab/>
        <w:t>MARKETING AUTHORISATION NUMBER(S)</w:t>
      </w:r>
    </w:p>
    <w:p w14:paraId="68B78FA3" w14:textId="77777777" w:rsidR="00663784" w:rsidRPr="004030E7" w:rsidRDefault="00663784" w:rsidP="00663784">
      <w:pPr>
        <w:suppressLineNumbers/>
        <w:tabs>
          <w:tab w:val="clear" w:pos="567"/>
        </w:tabs>
        <w:spacing w:line="240" w:lineRule="auto"/>
        <w:ind w:left="720" w:hanging="720"/>
      </w:pPr>
    </w:p>
    <w:p w14:paraId="650E4298" w14:textId="77777777" w:rsidR="00663784" w:rsidRPr="004030E7" w:rsidRDefault="005A3D7D" w:rsidP="00663784">
      <w:pPr>
        <w:suppressLineNumbers/>
        <w:tabs>
          <w:tab w:val="clear" w:pos="567"/>
        </w:tabs>
        <w:spacing w:line="240" w:lineRule="auto"/>
        <w:ind w:left="720" w:hanging="720"/>
      </w:pPr>
      <w:r w:rsidRPr="004030E7">
        <w:t>EU/1/12/782/00</w:t>
      </w:r>
      <w:r>
        <w:t>6</w:t>
      </w:r>
    </w:p>
    <w:p w14:paraId="6F1DAE03" w14:textId="77777777" w:rsidR="00663784" w:rsidRPr="004030E7" w:rsidRDefault="00663784" w:rsidP="00663784">
      <w:pPr>
        <w:suppressLineNumbers/>
        <w:tabs>
          <w:tab w:val="clear" w:pos="567"/>
        </w:tabs>
        <w:spacing w:line="240" w:lineRule="auto"/>
        <w:ind w:left="720" w:hanging="720"/>
      </w:pPr>
    </w:p>
    <w:p w14:paraId="60A99F66" w14:textId="77777777" w:rsidR="00663784" w:rsidRPr="004030E7" w:rsidRDefault="00663784" w:rsidP="00663784">
      <w:pPr>
        <w:suppressLineNumbers/>
        <w:tabs>
          <w:tab w:val="clear" w:pos="567"/>
        </w:tabs>
        <w:spacing w:line="240" w:lineRule="auto"/>
        <w:ind w:left="720" w:hanging="720"/>
      </w:pPr>
    </w:p>
    <w:p w14:paraId="66550510" w14:textId="77777777" w:rsidR="00663784" w:rsidRPr="004030E7"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4030E7">
        <w:rPr>
          <w:b/>
          <w:bCs/>
        </w:rPr>
        <w:t>13.</w:t>
      </w:r>
      <w:r w:rsidRPr="004030E7">
        <w:rPr>
          <w:b/>
          <w:bCs/>
        </w:rPr>
        <w:tab/>
        <w:t>BATCH NUMBER</w:t>
      </w:r>
    </w:p>
    <w:p w14:paraId="66B01E10" w14:textId="77777777" w:rsidR="00663784" w:rsidRPr="004030E7" w:rsidRDefault="00663784" w:rsidP="00663784">
      <w:pPr>
        <w:suppressLineNumbers/>
        <w:tabs>
          <w:tab w:val="clear" w:pos="567"/>
        </w:tabs>
        <w:spacing w:line="240" w:lineRule="auto"/>
        <w:ind w:left="720" w:hanging="720"/>
        <w:rPr>
          <w:iCs/>
        </w:rPr>
      </w:pPr>
    </w:p>
    <w:p w14:paraId="0D7E3132" w14:textId="77777777" w:rsidR="00663784" w:rsidRPr="004030E7" w:rsidRDefault="005A3D7D" w:rsidP="00663784">
      <w:pPr>
        <w:suppressLineNumbers/>
        <w:tabs>
          <w:tab w:val="clear" w:pos="567"/>
        </w:tabs>
        <w:spacing w:line="240" w:lineRule="auto"/>
        <w:ind w:left="720" w:hanging="720"/>
      </w:pPr>
      <w:r w:rsidRPr="004030E7">
        <w:t>Lot</w:t>
      </w:r>
    </w:p>
    <w:p w14:paraId="3D31F56D" w14:textId="77777777" w:rsidR="00663784" w:rsidRPr="004030E7" w:rsidRDefault="00663784" w:rsidP="00663784">
      <w:pPr>
        <w:suppressLineNumbers/>
        <w:tabs>
          <w:tab w:val="clear" w:pos="567"/>
        </w:tabs>
        <w:spacing w:line="240" w:lineRule="auto"/>
        <w:ind w:left="720" w:hanging="720"/>
      </w:pPr>
    </w:p>
    <w:p w14:paraId="40A11B28" w14:textId="77777777" w:rsidR="00663784" w:rsidRPr="004030E7" w:rsidRDefault="00663784" w:rsidP="00663784">
      <w:pPr>
        <w:suppressLineNumbers/>
        <w:tabs>
          <w:tab w:val="clear" w:pos="567"/>
        </w:tabs>
        <w:spacing w:line="240" w:lineRule="auto"/>
        <w:ind w:left="720" w:hanging="720"/>
      </w:pPr>
    </w:p>
    <w:p w14:paraId="7F9BAF16" w14:textId="77777777" w:rsidR="00663784" w:rsidRPr="004030E7"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rPr>
      </w:pPr>
      <w:r w:rsidRPr="004030E7">
        <w:rPr>
          <w:b/>
          <w:bCs/>
        </w:rPr>
        <w:t>14.</w:t>
      </w:r>
      <w:r w:rsidRPr="004030E7">
        <w:rPr>
          <w:b/>
          <w:bCs/>
        </w:rPr>
        <w:tab/>
        <w:t>GENERAL CLASSIFICATION FOR SUPPLY</w:t>
      </w:r>
    </w:p>
    <w:p w14:paraId="1298CBDE" w14:textId="77777777" w:rsidR="00663784" w:rsidRPr="004030E7" w:rsidRDefault="00663784" w:rsidP="00663784">
      <w:pPr>
        <w:suppressLineNumbers/>
        <w:tabs>
          <w:tab w:val="clear" w:pos="567"/>
        </w:tabs>
        <w:spacing w:line="240" w:lineRule="auto"/>
        <w:ind w:left="720" w:hanging="720"/>
        <w:rPr>
          <w:lang w:val="en-US"/>
        </w:rPr>
      </w:pPr>
    </w:p>
    <w:p w14:paraId="0AD1B448" w14:textId="77777777" w:rsidR="00663784" w:rsidRPr="004030E7" w:rsidRDefault="00663784" w:rsidP="00663784">
      <w:pPr>
        <w:suppressLineNumbers/>
        <w:tabs>
          <w:tab w:val="clear" w:pos="567"/>
        </w:tabs>
        <w:spacing w:line="240" w:lineRule="auto"/>
        <w:ind w:left="720" w:hanging="720"/>
        <w:rPr>
          <w:lang w:val="en-US"/>
        </w:rPr>
      </w:pPr>
    </w:p>
    <w:p w14:paraId="29FDDD37" w14:textId="77777777" w:rsidR="00663784" w:rsidRPr="004030E7" w:rsidRDefault="005A3D7D"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4030E7">
        <w:rPr>
          <w:b/>
          <w:bCs/>
        </w:rPr>
        <w:t>15.</w:t>
      </w:r>
      <w:r w:rsidRPr="004030E7">
        <w:rPr>
          <w:b/>
          <w:bCs/>
        </w:rPr>
        <w:tab/>
        <w:t>INSTRUCTIONS ON USE</w:t>
      </w:r>
    </w:p>
    <w:p w14:paraId="0B1C3D28" w14:textId="77777777" w:rsidR="00663784" w:rsidRPr="00145A29" w:rsidRDefault="00663784" w:rsidP="00663784">
      <w:pPr>
        <w:suppressLineNumbers/>
        <w:tabs>
          <w:tab w:val="clear" w:pos="567"/>
        </w:tabs>
        <w:spacing w:line="240" w:lineRule="auto"/>
        <w:ind w:left="720" w:hanging="720"/>
      </w:pPr>
    </w:p>
    <w:p w14:paraId="5562E785" w14:textId="77777777" w:rsidR="00663784" w:rsidRPr="00252F51" w:rsidRDefault="00663784" w:rsidP="00663784">
      <w:pPr>
        <w:suppressLineNumbers/>
        <w:tabs>
          <w:tab w:val="clear" w:pos="567"/>
        </w:tabs>
        <w:spacing w:line="240" w:lineRule="auto"/>
        <w:ind w:left="720" w:hanging="720"/>
        <w:rPr>
          <w:sz w:val="20"/>
          <w:szCs w:val="20"/>
        </w:rPr>
      </w:pPr>
    </w:p>
    <w:p w14:paraId="4E58B7CD" w14:textId="77777777" w:rsidR="00663784" w:rsidRPr="004030E7"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4030E7">
        <w:rPr>
          <w:bCs w:val="0"/>
          <w:sz w:val="22"/>
          <w:szCs w:val="22"/>
        </w:rPr>
        <w:t>16.</w:t>
      </w:r>
      <w:r w:rsidRPr="004030E7">
        <w:rPr>
          <w:bCs w:val="0"/>
          <w:sz w:val="22"/>
          <w:szCs w:val="22"/>
        </w:rPr>
        <w:tab/>
        <w:t>INFORMATION IN BRAILLE</w:t>
      </w:r>
    </w:p>
    <w:p w14:paraId="3C900F2F" w14:textId="77777777" w:rsidR="00663784" w:rsidRPr="004030E7" w:rsidRDefault="00663784" w:rsidP="00663784">
      <w:pPr>
        <w:suppressLineNumbers/>
        <w:tabs>
          <w:tab w:val="clear" w:pos="567"/>
        </w:tabs>
        <w:spacing w:line="240" w:lineRule="auto"/>
        <w:ind w:left="720" w:hanging="720"/>
        <w:rPr>
          <w:shd w:val="clear" w:color="auto" w:fill="CCCCCC"/>
        </w:rPr>
      </w:pPr>
    </w:p>
    <w:p w14:paraId="7DA3647F" w14:textId="77777777" w:rsidR="00663784" w:rsidRPr="004030E7" w:rsidRDefault="005A3D7D" w:rsidP="00663784">
      <w:pPr>
        <w:tabs>
          <w:tab w:val="clear" w:pos="567"/>
        </w:tabs>
        <w:spacing w:line="240" w:lineRule="auto"/>
        <w:ind w:left="720" w:hanging="720"/>
      </w:pPr>
      <w:r w:rsidRPr="004030E7">
        <w:t>Kalydeco 25 mg</w:t>
      </w:r>
      <w:r>
        <w:t xml:space="preserve"> granules</w:t>
      </w:r>
    </w:p>
    <w:p w14:paraId="005367F5" w14:textId="77777777" w:rsidR="00663784" w:rsidRPr="004030E7" w:rsidRDefault="00663784" w:rsidP="00663784">
      <w:pPr>
        <w:tabs>
          <w:tab w:val="clear" w:pos="567"/>
        </w:tabs>
        <w:spacing w:line="240" w:lineRule="auto"/>
        <w:ind w:left="720" w:hanging="720"/>
      </w:pPr>
    </w:p>
    <w:p w14:paraId="1AC7D362" w14:textId="77777777" w:rsidR="00663784" w:rsidRPr="004030E7" w:rsidRDefault="00663784" w:rsidP="00663784">
      <w:pPr>
        <w:tabs>
          <w:tab w:val="clear" w:pos="567"/>
        </w:tabs>
        <w:spacing w:line="240" w:lineRule="auto"/>
        <w:ind w:left="720" w:hanging="720"/>
      </w:pPr>
    </w:p>
    <w:p w14:paraId="7F0524F9" w14:textId="77777777" w:rsidR="00663784" w:rsidRPr="004030E7" w:rsidRDefault="005A3D7D" w:rsidP="00663784">
      <w:pPr>
        <w:keepNext/>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lang w:eastAsia="en-GB"/>
        </w:rPr>
      </w:pPr>
      <w:r w:rsidRPr="004030E7">
        <w:rPr>
          <w:b/>
          <w:lang w:eastAsia="en-GB"/>
        </w:rPr>
        <w:t>17.</w:t>
      </w:r>
      <w:r w:rsidRPr="004030E7">
        <w:rPr>
          <w:b/>
          <w:lang w:eastAsia="en-GB"/>
        </w:rPr>
        <w:tab/>
        <w:t>UNIQUE IDENTIFIER – 2D BARCODE</w:t>
      </w:r>
    </w:p>
    <w:p w14:paraId="036872E6" w14:textId="77777777" w:rsidR="00663784" w:rsidRPr="004030E7" w:rsidRDefault="00663784" w:rsidP="00663784">
      <w:pPr>
        <w:suppressLineNumbers/>
        <w:tabs>
          <w:tab w:val="clear" w:pos="567"/>
        </w:tabs>
        <w:spacing w:line="240" w:lineRule="auto"/>
        <w:ind w:left="720" w:hanging="720"/>
        <w:rPr>
          <w:bCs/>
          <w:lang w:val="en-US"/>
        </w:rPr>
      </w:pPr>
    </w:p>
    <w:p w14:paraId="590CA091" w14:textId="77777777" w:rsidR="00663784" w:rsidRPr="004030E7" w:rsidRDefault="005A3D7D" w:rsidP="00663784">
      <w:pPr>
        <w:tabs>
          <w:tab w:val="clear" w:pos="567"/>
        </w:tabs>
        <w:autoSpaceDE w:val="0"/>
        <w:autoSpaceDN w:val="0"/>
        <w:adjustRightInd w:val="0"/>
        <w:spacing w:line="240" w:lineRule="auto"/>
        <w:ind w:left="720" w:hanging="720"/>
        <w:rPr>
          <w:rFonts w:eastAsia="TimesNewRomanPSMT"/>
          <w:lang w:val="en-US" w:eastAsia="de-DE"/>
        </w:rPr>
      </w:pPr>
      <w:r w:rsidRPr="004030E7">
        <w:rPr>
          <w:rFonts w:eastAsia="TimesNewRomanPSMT"/>
          <w:highlight w:val="lightGray"/>
          <w:lang w:val="en-US" w:eastAsia="de-DE"/>
        </w:rPr>
        <w:t>2D barcode carrying the unique identifier included.</w:t>
      </w:r>
    </w:p>
    <w:p w14:paraId="5478D1A9" w14:textId="77777777" w:rsidR="00663784" w:rsidRPr="004030E7" w:rsidRDefault="00663784" w:rsidP="00663784">
      <w:pPr>
        <w:tabs>
          <w:tab w:val="clear" w:pos="567"/>
        </w:tabs>
        <w:spacing w:line="240" w:lineRule="auto"/>
        <w:ind w:left="720" w:hanging="720"/>
        <w:rPr>
          <w:lang w:val="en-US"/>
        </w:rPr>
      </w:pPr>
    </w:p>
    <w:p w14:paraId="3A102B51" w14:textId="77777777" w:rsidR="00663784" w:rsidRPr="004030E7" w:rsidRDefault="00663784" w:rsidP="00663784">
      <w:pPr>
        <w:tabs>
          <w:tab w:val="clear" w:pos="567"/>
        </w:tabs>
        <w:spacing w:line="240" w:lineRule="auto"/>
        <w:ind w:left="720" w:hanging="720"/>
        <w:rPr>
          <w:lang w:val="en-US"/>
        </w:rPr>
      </w:pPr>
    </w:p>
    <w:p w14:paraId="195AA3FC" w14:textId="77777777" w:rsidR="00663784" w:rsidRPr="004030E7" w:rsidRDefault="005A3D7D" w:rsidP="00663784">
      <w:pPr>
        <w:keepNext/>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lang w:eastAsia="en-GB"/>
        </w:rPr>
      </w:pPr>
      <w:r w:rsidRPr="004030E7">
        <w:rPr>
          <w:b/>
          <w:lang w:eastAsia="en-GB"/>
        </w:rPr>
        <w:t>18.</w:t>
      </w:r>
      <w:r w:rsidRPr="004030E7">
        <w:rPr>
          <w:b/>
          <w:lang w:eastAsia="en-GB"/>
        </w:rPr>
        <w:tab/>
        <w:t xml:space="preserve">UNIQUE IDENTIFIER – HUMAN READABLE </w:t>
      </w:r>
      <w:r w:rsidRPr="004030E7">
        <w:rPr>
          <w:b/>
          <w:lang w:eastAsia="en-GB"/>
        </w:rPr>
        <w:t>DATA</w:t>
      </w:r>
    </w:p>
    <w:p w14:paraId="4551C10E" w14:textId="77777777" w:rsidR="00663784" w:rsidRPr="004030E7" w:rsidRDefault="00663784" w:rsidP="00663784">
      <w:pPr>
        <w:suppressLineNumbers/>
        <w:tabs>
          <w:tab w:val="clear" w:pos="567"/>
        </w:tabs>
        <w:spacing w:line="240" w:lineRule="auto"/>
        <w:ind w:left="720" w:hanging="720"/>
        <w:rPr>
          <w:bCs/>
          <w:lang w:val="en-US"/>
        </w:rPr>
      </w:pPr>
    </w:p>
    <w:p w14:paraId="6C680D00" w14:textId="77777777" w:rsidR="00663784" w:rsidRPr="004030E7" w:rsidRDefault="005A3D7D" w:rsidP="00663784">
      <w:pPr>
        <w:tabs>
          <w:tab w:val="clear" w:pos="567"/>
        </w:tabs>
        <w:autoSpaceDE w:val="0"/>
        <w:autoSpaceDN w:val="0"/>
        <w:adjustRightInd w:val="0"/>
        <w:spacing w:line="240" w:lineRule="auto"/>
        <w:ind w:left="720" w:hanging="720"/>
        <w:rPr>
          <w:rFonts w:eastAsia="TimesNewRomanPSMT"/>
          <w:lang w:val="en-US" w:eastAsia="de-DE"/>
        </w:rPr>
      </w:pPr>
      <w:r w:rsidRPr="004030E7">
        <w:rPr>
          <w:rFonts w:eastAsia="TimesNewRomanPSMT"/>
          <w:lang w:val="en-US" w:eastAsia="de-DE"/>
        </w:rPr>
        <w:t>PC</w:t>
      </w:r>
    </w:p>
    <w:p w14:paraId="6EC7ADD0" w14:textId="77777777" w:rsidR="00663784" w:rsidRPr="004030E7" w:rsidRDefault="005A3D7D" w:rsidP="00663784">
      <w:pPr>
        <w:tabs>
          <w:tab w:val="clear" w:pos="567"/>
        </w:tabs>
        <w:autoSpaceDE w:val="0"/>
        <w:autoSpaceDN w:val="0"/>
        <w:adjustRightInd w:val="0"/>
        <w:spacing w:line="240" w:lineRule="auto"/>
        <w:ind w:left="720" w:hanging="720"/>
        <w:rPr>
          <w:rFonts w:eastAsia="TimesNewRomanPSMT"/>
          <w:lang w:val="en-US" w:eastAsia="de-DE"/>
        </w:rPr>
      </w:pPr>
      <w:r w:rsidRPr="004030E7">
        <w:rPr>
          <w:rFonts w:eastAsia="TimesNewRomanPSMT"/>
          <w:lang w:val="en-US" w:eastAsia="de-DE"/>
        </w:rPr>
        <w:t>SN</w:t>
      </w:r>
    </w:p>
    <w:p w14:paraId="7D63E54B" w14:textId="77777777" w:rsidR="00663784" w:rsidRPr="00EF029B" w:rsidRDefault="005A3D7D" w:rsidP="00663784">
      <w:pPr>
        <w:tabs>
          <w:tab w:val="clear" w:pos="567"/>
        </w:tabs>
        <w:spacing w:line="240" w:lineRule="auto"/>
        <w:ind w:left="720" w:hanging="720"/>
        <w:rPr>
          <w:lang w:val="en-US" w:eastAsia="de-DE"/>
        </w:rPr>
      </w:pPr>
      <w:r w:rsidRPr="00EF029B">
        <w:rPr>
          <w:lang w:val="en-US" w:eastAsia="de-DE"/>
        </w:rPr>
        <w:t>NN</w:t>
      </w:r>
    </w:p>
    <w:p w14:paraId="7C605B43" w14:textId="77777777" w:rsidR="00663784" w:rsidRPr="003811E9" w:rsidRDefault="005A3D7D" w:rsidP="00663784">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5B2226">
        <w:rPr>
          <w:rFonts w:ascii="Times New Roman" w:hAnsi="Times New Roman" w:cs="Times New Roman"/>
          <w:bCs w:val="0"/>
          <w:sz w:val="22"/>
          <w:szCs w:val="22"/>
          <w:lang w:val="en-US"/>
        </w:rPr>
        <w:br w:type="page"/>
      </w:r>
      <w:r w:rsidRPr="005B2226">
        <w:rPr>
          <w:rFonts w:ascii="Times New Roman" w:hAnsi="Times New Roman" w:cs="Times New Roman"/>
          <w:sz w:val="22"/>
          <w:szCs w:val="22"/>
        </w:rPr>
        <w:t xml:space="preserve">PARTICULARS TO APPEAR ON THE INTERMEDIATE </w:t>
      </w:r>
      <w:r w:rsidRPr="003811E9">
        <w:rPr>
          <w:rFonts w:ascii="Times New Roman" w:hAnsi="Times New Roman" w:cs="Times New Roman"/>
          <w:sz w:val="22"/>
          <w:szCs w:val="22"/>
        </w:rPr>
        <w:t>PACKAGING</w:t>
      </w:r>
    </w:p>
    <w:p w14:paraId="179A24A2" w14:textId="77777777" w:rsidR="00663784" w:rsidRPr="003811E9"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14:paraId="0F7C281B" w14:textId="77777777" w:rsidR="00663784" w:rsidRPr="00A808AC" w:rsidRDefault="005A3D7D" w:rsidP="00663784">
      <w:pPr>
        <w:pBdr>
          <w:top w:val="single" w:sz="4" w:space="1" w:color="auto"/>
          <w:left w:val="single" w:sz="4" w:space="4" w:color="auto"/>
          <w:bottom w:val="single" w:sz="4" w:space="1" w:color="auto"/>
          <w:right w:val="single" w:sz="4" w:space="4" w:color="auto"/>
        </w:pBdr>
        <w:spacing w:line="240" w:lineRule="auto"/>
      </w:pPr>
      <w:r w:rsidRPr="00A808AC">
        <w:rPr>
          <w:b/>
          <w:bCs/>
          <w:caps/>
        </w:rPr>
        <w:t>WALLET</w:t>
      </w:r>
      <w:r w:rsidRPr="00A808AC">
        <w:rPr>
          <w:b/>
          <w:bCs/>
        </w:rPr>
        <w:t xml:space="preserve"> FOR SACHET</w:t>
      </w:r>
    </w:p>
    <w:p w14:paraId="291B51B3" w14:textId="77777777" w:rsidR="00663784" w:rsidRPr="00A808AC" w:rsidRDefault="00663784" w:rsidP="00663784">
      <w:pPr>
        <w:suppressLineNumbers/>
        <w:spacing w:line="240" w:lineRule="auto"/>
      </w:pPr>
    </w:p>
    <w:p w14:paraId="181A1B38" w14:textId="77777777" w:rsidR="00663784" w:rsidRPr="00A808AC" w:rsidRDefault="00663784" w:rsidP="00663784">
      <w:pPr>
        <w:suppressLineNumbers/>
        <w:spacing w:line="240" w:lineRule="auto"/>
      </w:pPr>
    </w:p>
    <w:p w14:paraId="3C92E8FE"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w:t>
      </w:r>
      <w:r w:rsidRPr="00A808AC">
        <w:rPr>
          <w:b/>
          <w:bCs/>
        </w:rPr>
        <w:tab/>
        <w:t>NAME OF THE MEDICINAL PRODUCT</w:t>
      </w:r>
    </w:p>
    <w:p w14:paraId="6B013435" w14:textId="77777777" w:rsidR="00663784" w:rsidRPr="00A808AC" w:rsidRDefault="00663784" w:rsidP="00663784">
      <w:pPr>
        <w:suppressLineNumbers/>
        <w:tabs>
          <w:tab w:val="clear" w:pos="567"/>
        </w:tabs>
        <w:spacing w:line="240" w:lineRule="auto"/>
        <w:ind w:left="720" w:hanging="720"/>
      </w:pPr>
    </w:p>
    <w:p w14:paraId="283CD096" w14:textId="77777777" w:rsidR="00663784" w:rsidRPr="00A808AC" w:rsidRDefault="005A3D7D" w:rsidP="00663784">
      <w:pPr>
        <w:tabs>
          <w:tab w:val="clear" w:pos="567"/>
        </w:tabs>
        <w:spacing w:line="240" w:lineRule="auto"/>
        <w:ind w:left="720" w:hanging="720"/>
      </w:pPr>
      <w:r w:rsidRPr="00A808AC">
        <w:t xml:space="preserve">Kalydeco </w:t>
      </w:r>
      <w:r>
        <w:t>25 mg</w:t>
      </w:r>
      <w:r w:rsidRPr="00A808AC">
        <w:t xml:space="preserve"> granules in sachet</w:t>
      </w:r>
    </w:p>
    <w:p w14:paraId="401AE3BB" w14:textId="77777777" w:rsidR="00663784" w:rsidRPr="00A808AC" w:rsidRDefault="005A3D7D" w:rsidP="00663784">
      <w:pPr>
        <w:tabs>
          <w:tab w:val="clear" w:pos="567"/>
        </w:tabs>
        <w:spacing w:line="240" w:lineRule="auto"/>
        <w:ind w:left="720" w:hanging="720"/>
        <w:rPr>
          <w:i/>
          <w:iCs/>
        </w:rPr>
      </w:pPr>
      <w:r>
        <w:t>i</w:t>
      </w:r>
      <w:r w:rsidRPr="00A808AC">
        <w:t>vacaftor</w:t>
      </w:r>
    </w:p>
    <w:p w14:paraId="629F6395" w14:textId="77777777" w:rsidR="00663784" w:rsidRPr="00A808AC" w:rsidRDefault="00663784" w:rsidP="00663784">
      <w:pPr>
        <w:suppressLineNumbers/>
        <w:tabs>
          <w:tab w:val="clear" w:pos="567"/>
        </w:tabs>
        <w:spacing w:line="240" w:lineRule="auto"/>
        <w:ind w:left="720" w:hanging="720"/>
      </w:pPr>
    </w:p>
    <w:p w14:paraId="17BC457D" w14:textId="77777777" w:rsidR="00663784" w:rsidRPr="00A808AC" w:rsidRDefault="00663784" w:rsidP="00663784">
      <w:pPr>
        <w:suppressLineNumbers/>
        <w:tabs>
          <w:tab w:val="clear" w:pos="567"/>
        </w:tabs>
        <w:spacing w:line="240" w:lineRule="auto"/>
        <w:ind w:left="720" w:hanging="720"/>
      </w:pPr>
    </w:p>
    <w:p w14:paraId="2CC297A4"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STATEMENT OF ACTIVE SUBSTANCE</w:t>
      </w:r>
    </w:p>
    <w:p w14:paraId="40403024" w14:textId="77777777" w:rsidR="00663784" w:rsidRPr="00A808AC" w:rsidRDefault="00663784" w:rsidP="00663784">
      <w:pPr>
        <w:suppressLineNumbers/>
        <w:tabs>
          <w:tab w:val="clear" w:pos="567"/>
        </w:tabs>
        <w:spacing w:line="240" w:lineRule="auto"/>
        <w:ind w:left="720" w:hanging="720"/>
        <w:rPr>
          <w:i/>
          <w:iCs/>
        </w:rPr>
      </w:pPr>
    </w:p>
    <w:p w14:paraId="7983AC71" w14:textId="77777777" w:rsidR="00663784" w:rsidRPr="00A808AC" w:rsidRDefault="005A3D7D" w:rsidP="00663784">
      <w:pPr>
        <w:widowControl w:val="0"/>
        <w:tabs>
          <w:tab w:val="clear" w:pos="567"/>
        </w:tabs>
        <w:spacing w:line="240" w:lineRule="auto"/>
        <w:ind w:left="720" w:hanging="720"/>
      </w:pPr>
      <w:r w:rsidRPr="00A808AC">
        <w:t xml:space="preserve">Each sachet of granules contains </w:t>
      </w:r>
      <w:r>
        <w:t>25 mg</w:t>
      </w:r>
      <w:r w:rsidRPr="00A808AC">
        <w:t xml:space="preserve"> of ivacaftor.</w:t>
      </w:r>
    </w:p>
    <w:p w14:paraId="4B7B634F" w14:textId="77777777" w:rsidR="00663784" w:rsidRPr="00A808AC" w:rsidRDefault="00663784" w:rsidP="00663784">
      <w:pPr>
        <w:suppressLineNumbers/>
        <w:tabs>
          <w:tab w:val="clear" w:pos="567"/>
        </w:tabs>
        <w:spacing w:line="240" w:lineRule="auto"/>
        <w:ind w:left="720" w:hanging="720"/>
      </w:pPr>
    </w:p>
    <w:p w14:paraId="579DBC11" w14:textId="77777777" w:rsidR="00663784" w:rsidRPr="00A808AC" w:rsidRDefault="00663784" w:rsidP="00663784">
      <w:pPr>
        <w:suppressLineNumbers/>
        <w:tabs>
          <w:tab w:val="clear" w:pos="567"/>
        </w:tabs>
        <w:spacing w:line="240" w:lineRule="auto"/>
        <w:ind w:left="720" w:hanging="720"/>
      </w:pPr>
    </w:p>
    <w:p w14:paraId="5944C75E"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3.</w:t>
      </w:r>
      <w:r w:rsidRPr="00A808AC">
        <w:rPr>
          <w:b/>
          <w:bCs/>
        </w:rPr>
        <w:tab/>
        <w:t>LIST OF EXCIPIENTS</w:t>
      </w:r>
    </w:p>
    <w:p w14:paraId="3EA15044" w14:textId="77777777" w:rsidR="00663784" w:rsidRPr="00A808AC" w:rsidRDefault="00663784" w:rsidP="00663784">
      <w:pPr>
        <w:suppressLineNumbers/>
        <w:tabs>
          <w:tab w:val="clear" w:pos="567"/>
        </w:tabs>
        <w:spacing w:line="240" w:lineRule="auto"/>
        <w:ind w:left="720" w:hanging="720"/>
      </w:pPr>
    </w:p>
    <w:p w14:paraId="4D9128DA" w14:textId="77777777" w:rsidR="00663784" w:rsidRPr="00A808AC" w:rsidRDefault="005A3D7D" w:rsidP="00663784">
      <w:pPr>
        <w:tabs>
          <w:tab w:val="clear" w:pos="567"/>
        </w:tabs>
        <w:spacing w:line="240" w:lineRule="auto"/>
        <w:ind w:left="720" w:hanging="720"/>
      </w:pPr>
      <w:r w:rsidRPr="00A808AC">
        <w:t>Contains lactose.</w:t>
      </w:r>
    </w:p>
    <w:p w14:paraId="54D91F77" w14:textId="77777777" w:rsidR="00663784" w:rsidRPr="00A808AC" w:rsidRDefault="00663784" w:rsidP="00663784">
      <w:pPr>
        <w:tabs>
          <w:tab w:val="clear" w:pos="567"/>
        </w:tabs>
        <w:spacing w:line="240" w:lineRule="auto"/>
        <w:ind w:left="720" w:hanging="720"/>
      </w:pPr>
    </w:p>
    <w:p w14:paraId="28990421" w14:textId="77777777" w:rsidR="00663784" w:rsidRPr="00A808AC" w:rsidRDefault="005A3D7D" w:rsidP="00663784">
      <w:pPr>
        <w:tabs>
          <w:tab w:val="clear" w:pos="567"/>
        </w:tabs>
        <w:spacing w:line="240" w:lineRule="auto"/>
        <w:ind w:left="720" w:hanging="720"/>
      </w:pPr>
      <w:r w:rsidRPr="006F3F5E">
        <w:rPr>
          <w:highlight w:val="lightGray"/>
        </w:rPr>
        <w:t>See leaflet for further information.</w:t>
      </w:r>
    </w:p>
    <w:p w14:paraId="11402F0C" w14:textId="77777777" w:rsidR="00663784" w:rsidRPr="00A808AC" w:rsidRDefault="00663784" w:rsidP="00663784">
      <w:pPr>
        <w:suppressLineNumbers/>
        <w:tabs>
          <w:tab w:val="clear" w:pos="567"/>
        </w:tabs>
        <w:spacing w:line="240" w:lineRule="auto"/>
        <w:ind w:left="720" w:hanging="720"/>
      </w:pPr>
    </w:p>
    <w:p w14:paraId="665996A8" w14:textId="77777777" w:rsidR="00663784" w:rsidRPr="00A808AC" w:rsidRDefault="00663784" w:rsidP="00663784">
      <w:pPr>
        <w:suppressLineNumbers/>
        <w:tabs>
          <w:tab w:val="clear" w:pos="567"/>
        </w:tabs>
        <w:spacing w:line="240" w:lineRule="auto"/>
        <w:ind w:left="720" w:hanging="720"/>
      </w:pPr>
    </w:p>
    <w:p w14:paraId="15F586D2"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4.</w:t>
      </w:r>
      <w:r w:rsidRPr="00A808AC">
        <w:rPr>
          <w:b/>
          <w:bCs/>
        </w:rPr>
        <w:tab/>
        <w:t>PHARMACEUTICAL FORM AND CONTENTS</w:t>
      </w:r>
    </w:p>
    <w:p w14:paraId="0741ED53" w14:textId="77777777" w:rsidR="00663784" w:rsidRPr="00A808AC" w:rsidRDefault="00663784" w:rsidP="00663784">
      <w:pPr>
        <w:suppressLineNumbers/>
        <w:tabs>
          <w:tab w:val="clear" w:pos="567"/>
        </w:tabs>
        <w:spacing w:line="240" w:lineRule="auto"/>
        <w:ind w:left="720" w:hanging="720"/>
      </w:pPr>
    </w:p>
    <w:p w14:paraId="073A4420" w14:textId="77777777" w:rsidR="00663784" w:rsidRPr="00A808AC" w:rsidRDefault="005A3D7D" w:rsidP="00663784">
      <w:pPr>
        <w:tabs>
          <w:tab w:val="clear" w:pos="567"/>
        </w:tabs>
        <w:spacing w:line="240" w:lineRule="auto"/>
        <w:ind w:left="720" w:hanging="720"/>
        <w:rPr>
          <w:lang w:val="en-US"/>
        </w:rPr>
      </w:pPr>
      <w:r w:rsidRPr="006F3F5E">
        <w:rPr>
          <w:highlight w:val="lightGray"/>
          <w:lang w:val="en-US"/>
        </w:rPr>
        <w:t>Granules in sachet</w:t>
      </w:r>
    </w:p>
    <w:p w14:paraId="6154313A" w14:textId="77777777" w:rsidR="00663784" w:rsidRPr="00A808AC" w:rsidRDefault="00663784" w:rsidP="00663784">
      <w:pPr>
        <w:tabs>
          <w:tab w:val="clear" w:pos="567"/>
        </w:tabs>
        <w:spacing w:line="240" w:lineRule="auto"/>
        <w:ind w:left="720" w:hanging="720"/>
        <w:rPr>
          <w:lang w:val="en-US"/>
        </w:rPr>
      </w:pPr>
    </w:p>
    <w:p w14:paraId="75F16159" w14:textId="77777777" w:rsidR="00663784" w:rsidRPr="00A808AC" w:rsidRDefault="005A3D7D" w:rsidP="00663784">
      <w:pPr>
        <w:tabs>
          <w:tab w:val="clear" w:pos="567"/>
        </w:tabs>
        <w:spacing w:line="240" w:lineRule="auto"/>
        <w:ind w:left="720" w:hanging="720"/>
      </w:pPr>
      <w:r w:rsidRPr="00A808AC">
        <w:rPr>
          <w:lang w:val="en-US"/>
        </w:rPr>
        <w:t>14</w:t>
      </w:r>
      <w:r>
        <w:rPr>
          <w:lang w:val="en-US"/>
        </w:rPr>
        <w:t> </w:t>
      </w:r>
      <w:r w:rsidRPr="00A808AC">
        <w:rPr>
          <w:lang w:val="en-US"/>
        </w:rPr>
        <w:t>sachets</w:t>
      </w:r>
    </w:p>
    <w:p w14:paraId="48308705" w14:textId="77777777" w:rsidR="00663784" w:rsidRPr="00A808AC" w:rsidRDefault="00663784" w:rsidP="00663784">
      <w:pPr>
        <w:suppressLineNumbers/>
        <w:tabs>
          <w:tab w:val="clear" w:pos="567"/>
        </w:tabs>
        <w:spacing w:line="240" w:lineRule="auto"/>
        <w:ind w:left="720" w:hanging="720"/>
      </w:pPr>
    </w:p>
    <w:p w14:paraId="08B8B60B" w14:textId="77777777" w:rsidR="00663784" w:rsidRPr="00A808AC" w:rsidRDefault="00663784" w:rsidP="00663784">
      <w:pPr>
        <w:suppressLineNumbers/>
        <w:tabs>
          <w:tab w:val="clear" w:pos="567"/>
        </w:tabs>
        <w:spacing w:line="240" w:lineRule="auto"/>
        <w:ind w:left="720" w:hanging="720"/>
      </w:pPr>
    </w:p>
    <w:p w14:paraId="312C74B3"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5.</w:t>
      </w:r>
      <w:r w:rsidRPr="00A808AC">
        <w:rPr>
          <w:b/>
          <w:bCs/>
        </w:rPr>
        <w:tab/>
        <w:t xml:space="preserve">METHOD AND ROUTE(S) OF </w:t>
      </w:r>
      <w:r w:rsidRPr="00A808AC">
        <w:rPr>
          <w:b/>
          <w:bCs/>
        </w:rPr>
        <w:t>ADMINISTRATION</w:t>
      </w:r>
    </w:p>
    <w:p w14:paraId="1185D36B" w14:textId="77777777" w:rsidR="00663784" w:rsidRPr="00A808AC" w:rsidRDefault="00663784" w:rsidP="00663784">
      <w:pPr>
        <w:suppressLineNumbers/>
        <w:tabs>
          <w:tab w:val="clear" w:pos="567"/>
        </w:tabs>
        <w:spacing w:line="240" w:lineRule="auto"/>
        <w:ind w:left="720" w:hanging="720"/>
      </w:pPr>
    </w:p>
    <w:p w14:paraId="560C61EC" w14:textId="77777777" w:rsidR="00663784" w:rsidRDefault="005A3D7D" w:rsidP="00663784">
      <w:pPr>
        <w:suppressLineNumbers/>
        <w:tabs>
          <w:tab w:val="clear" w:pos="567"/>
        </w:tabs>
        <w:spacing w:line="240" w:lineRule="auto"/>
        <w:ind w:left="720" w:hanging="720"/>
      </w:pPr>
      <w:r w:rsidRPr="00A808AC">
        <w:t>Read the package leaflet before use.</w:t>
      </w:r>
    </w:p>
    <w:p w14:paraId="34158176" w14:textId="77777777" w:rsidR="00663784" w:rsidRPr="00A808AC" w:rsidRDefault="00663784" w:rsidP="00663784">
      <w:pPr>
        <w:suppressLineNumbers/>
        <w:tabs>
          <w:tab w:val="clear" w:pos="567"/>
        </w:tabs>
        <w:spacing w:line="240" w:lineRule="auto"/>
        <w:ind w:left="720" w:hanging="720"/>
      </w:pPr>
    </w:p>
    <w:p w14:paraId="381466D5" w14:textId="77777777" w:rsidR="00663784" w:rsidRDefault="005A3D7D" w:rsidP="00663784">
      <w:pPr>
        <w:tabs>
          <w:tab w:val="clear" w:pos="567"/>
        </w:tabs>
        <w:spacing w:line="240" w:lineRule="auto"/>
        <w:ind w:left="720" w:hanging="720"/>
        <w:rPr>
          <w:lang w:val="en-US"/>
        </w:rPr>
      </w:pPr>
      <w:r w:rsidRPr="00A808AC">
        <w:rPr>
          <w:lang w:val="en-US"/>
        </w:rPr>
        <w:t>Oral use</w:t>
      </w:r>
    </w:p>
    <w:p w14:paraId="01B9C07D" w14:textId="77777777" w:rsidR="00663784" w:rsidRDefault="00663784" w:rsidP="00663784">
      <w:pPr>
        <w:tabs>
          <w:tab w:val="clear" w:pos="567"/>
        </w:tabs>
        <w:spacing w:line="240" w:lineRule="auto"/>
        <w:ind w:left="720" w:hanging="720"/>
      </w:pPr>
    </w:p>
    <w:p w14:paraId="4E1A3D59" w14:textId="77777777" w:rsidR="00663784" w:rsidRPr="00B70611" w:rsidRDefault="005A3D7D" w:rsidP="00663784">
      <w:pPr>
        <w:tabs>
          <w:tab w:val="clear" w:pos="567"/>
        </w:tabs>
        <w:spacing w:line="240" w:lineRule="auto"/>
        <w:ind w:left="720" w:hanging="720"/>
        <w:rPr>
          <w:b/>
        </w:rPr>
      </w:pPr>
      <w:r w:rsidRPr="00B70611">
        <w:rPr>
          <w:b/>
        </w:rPr>
        <w:t xml:space="preserve">Instructions for </w:t>
      </w:r>
      <w:r>
        <w:rPr>
          <w:b/>
        </w:rPr>
        <w:t>u</w:t>
      </w:r>
      <w:r w:rsidRPr="00B70611">
        <w:rPr>
          <w:b/>
        </w:rPr>
        <w:t>se</w:t>
      </w:r>
    </w:p>
    <w:p w14:paraId="5FB0532D" w14:textId="77777777" w:rsidR="00663784" w:rsidRPr="00A808AC" w:rsidRDefault="00663784" w:rsidP="00663784">
      <w:pPr>
        <w:tabs>
          <w:tab w:val="clear" w:pos="567"/>
        </w:tabs>
        <w:spacing w:line="240" w:lineRule="auto"/>
        <w:ind w:left="720" w:hanging="720"/>
      </w:pPr>
    </w:p>
    <w:p w14:paraId="0A73E002" w14:textId="77777777" w:rsidR="00663784" w:rsidRPr="00A808AC" w:rsidRDefault="005A3D7D" w:rsidP="00663784">
      <w:pPr>
        <w:suppressLineNumbers/>
        <w:spacing w:line="240" w:lineRule="auto"/>
      </w:pPr>
      <w:r w:rsidRPr="003F1CB4">
        <w:t xml:space="preserve">Mix the entire content of a sachet with 5 mL of age-appropriate soft food or liquid that is at or below room temperature and consume it completely. </w:t>
      </w:r>
    </w:p>
    <w:p w14:paraId="1A656D78" w14:textId="77777777" w:rsidR="00663784" w:rsidRPr="00A808AC" w:rsidRDefault="00663784" w:rsidP="00663784">
      <w:pPr>
        <w:suppressLineNumbers/>
        <w:spacing w:line="240" w:lineRule="auto"/>
      </w:pPr>
    </w:p>
    <w:p w14:paraId="402545AC" w14:textId="77777777" w:rsidR="00663784" w:rsidRPr="00A808AC" w:rsidRDefault="005A3D7D" w:rsidP="00663784">
      <w:pPr>
        <w:suppressLineNumbers/>
        <w:spacing w:line="240" w:lineRule="auto"/>
      </w:pPr>
      <w:r w:rsidRPr="00A808AC">
        <w:t>Use within one hour after mixing, just before or after a fat-containing meal or snack.</w:t>
      </w:r>
    </w:p>
    <w:p w14:paraId="70EEB059" w14:textId="77777777" w:rsidR="00663784" w:rsidRPr="00A808AC" w:rsidRDefault="00663784" w:rsidP="00663784">
      <w:pPr>
        <w:suppressLineNumbers/>
        <w:spacing w:line="240" w:lineRule="auto"/>
      </w:pPr>
    </w:p>
    <w:p w14:paraId="0FF03082" w14:textId="77777777" w:rsidR="00663784" w:rsidRPr="00A808AC" w:rsidRDefault="005A3D7D" w:rsidP="00663784">
      <w:pPr>
        <w:suppressLineNumbers/>
        <w:spacing w:line="240" w:lineRule="auto"/>
      </w:pPr>
      <w:r w:rsidRPr="00A808AC">
        <w:t xml:space="preserve">Use all </w:t>
      </w:r>
      <w:r w:rsidRPr="00A808AC">
        <w:t>7 days’ doses before starting a new wallet.</w:t>
      </w:r>
    </w:p>
    <w:p w14:paraId="0C81AD8B" w14:textId="77777777" w:rsidR="00663784" w:rsidRPr="00A808AC" w:rsidRDefault="00663784" w:rsidP="00663784">
      <w:pPr>
        <w:rPr>
          <w:bCs/>
        </w:rPr>
      </w:pPr>
    </w:p>
    <w:p w14:paraId="65EB5774" w14:textId="77777777" w:rsidR="00663784" w:rsidRPr="00A808AC" w:rsidRDefault="005A3D7D" w:rsidP="00663784">
      <w:pPr>
        <w:rPr>
          <w:bCs/>
        </w:rPr>
      </w:pPr>
      <w:r w:rsidRPr="00A808AC">
        <w:rPr>
          <w:bCs/>
        </w:rPr>
        <w:t>Morning</w:t>
      </w:r>
    </w:p>
    <w:p w14:paraId="1086F28E" w14:textId="77777777" w:rsidR="00663784" w:rsidRPr="00A808AC" w:rsidRDefault="00663784" w:rsidP="00663784">
      <w:pPr>
        <w:rPr>
          <w:bCs/>
        </w:rPr>
      </w:pPr>
    </w:p>
    <w:p w14:paraId="2413FD44" w14:textId="77777777" w:rsidR="00663784" w:rsidRPr="00A808AC" w:rsidRDefault="005A3D7D" w:rsidP="00663784">
      <w:pPr>
        <w:rPr>
          <w:bCs/>
        </w:rPr>
      </w:pPr>
      <w:r w:rsidRPr="00A808AC">
        <w:rPr>
          <w:bCs/>
        </w:rPr>
        <w:t>Evening</w:t>
      </w:r>
    </w:p>
    <w:p w14:paraId="2DE7DEB7" w14:textId="77777777" w:rsidR="00663784" w:rsidRPr="00A808AC" w:rsidRDefault="00663784" w:rsidP="00663784">
      <w:pPr>
        <w:rPr>
          <w:bCs/>
        </w:rPr>
      </w:pPr>
    </w:p>
    <w:p w14:paraId="3357D11F" w14:textId="77777777" w:rsidR="00663784" w:rsidRPr="00A808AC" w:rsidRDefault="005A3D7D" w:rsidP="00663784">
      <w:pPr>
        <w:rPr>
          <w:bCs/>
        </w:rPr>
      </w:pPr>
      <w:r>
        <w:rPr>
          <w:bCs/>
        </w:rPr>
        <w:t>Mon. Tue. Wed. Thu. Fri. Sat. Sun.</w:t>
      </w:r>
    </w:p>
    <w:p w14:paraId="4AFE6668" w14:textId="77777777" w:rsidR="00663784" w:rsidRPr="00A808AC" w:rsidRDefault="00663784" w:rsidP="00663784"/>
    <w:p w14:paraId="1CAB7CF3" w14:textId="77777777" w:rsidR="00663784" w:rsidRPr="00A808AC" w:rsidRDefault="00663784" w:rsidP="00663784"/>
    <w:p w14:paraId="79E52F98" w14:textId="77777777" w:rsidR="00663784" w:rsidRPr="00A808AC" w:rsidRDefault="005A3D7D"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6.</w:t>
      </w:r>
      <w:r w:rsidRPr="00A808AC">
        <w:rPr>
          <w:b/>
          <w:bCs/>
        </w:rPr>
        <w:tab/>
        <w:t>SPECIAL WARNING THAT THE MEDICINAL PRODUCT MUST BE STORED OUT OF THE SIGHT AND REACH OF CHILDREN</w:t>
      </w:r>
    </w:p>
    <w:p w14:paraId="685FD8B2" w14:textId="77777777" w:rsidR="00663784" w:rsidRPr="00A808AC" w:rsidRDefault="00663784" w:rsidP="00663784">
      <w:pPr>
        <w:keepNext/>
        <w:suppressLineNumbers/>
        <w:spacing w:line="240" w:lineRule="auto"/>
        <w:ind w:left="720" w:hanging="720"/>
      </w:pPr>
    </w:p>
    <w:p w14:paraId="400915E2" w14:textId="77777777" w:rsidR="00663784" w:rsidRPr="00A808AC" w:rsidRDefault="005A3D7D" w:rsidP="00663784">
      <w:pPr>
        <w:ind w:left="720" w:hanging="720"/>
      </w:pPr>
      <w:r w:rsidRPr="00A808AC">
        <w:t>Keep out of the sight and reach of children.</w:t>
      </w:r>
    </w:p>
    <w:p w14:paraId="37994430" w14:textId="77777777" w:rsidR="00663784" w:rsidRPr="00A808AC" w:rsidRDefault="00663784" w:rsidP="00663784">
      <w:pPr>
        <w:suppressLineNumbers/>
        <w:spacing w:line="240" w:lineRule="auto"/>
        <w:ind w:left="720" w:hanging="720"/>
      </w:pPr>
    </w:p>
    <w:p w14:paraId="0DD9AB0D" w14:textId="77777777" w:rsidR="00663784" w:rsidRPr="00A808AC" w:rsidRDefault="00663784" w:rsidP="00663784">
      <w:pPr>
        <w:suppressLineNumbers/>
        <w:spacing w:line="240" w:lineRule="auto"/>
        <w:ind w:left="720" w:hanging="720"/>
      </w:pPr>
    </w:p>
    <w:p w14:paraId="7283BB61"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A808AC">
        <w:rPr>
          <w:b/>
          <w:bCs/>
        </w:rPr>
        <w:t>7.</w:t>
      </w:r>
      <w:r w:rsidRPr="00A808AC">
        <w:rPr>
          <w:b/>
          <w:bCs/>
        </w:rPr>
        <w:tab/>
      </w:r>
      <w:r w:rsidRPr="00A808AC">
        <w:rPr>
          <w:b/>
          <w:bCs/>
        </w:rPr>
        <w:t>OTHER SPECIAL WARNING(S), IF NECESSARY</w:t>
      </w:r>
    </w:p>
    <w:p w14:paraId="42B87824" w14:textId="77777777" w:rsidR="00663784" w:rsidRPr="00A808AC" w:rsidRDefault="00663784" w:rsidP="00663784">
      <w:pPr>
        <w:suppressLineNumbers/>
        <w:spacing w:line="240" w:lineRule="auto"/>
        <w:ind w:left="720" w:hanging="720"/>
      </w:pPr>
    </w:p>
    <w:p w14:paraId="39E5D951" w14:textId="77777777" w:rsidR="00663784" w:rsidRPr="00A808AC" w:rsidRDefault="00663784" w:rsidP="00663784">
      <w:pPr>
        <w:suppressLineNumbers/>
        <w:tabs>
          <w:tab w:val="left" w:pos="749"/>
        </w:tabs>
        <w:spacing w:line="240" w:lineRule="auto"/>
        <w:ind w:left="720" w:hanging="720"/>
      </w:pPr>
    </w:p>
    <w:p w14:paraId="41CEC2E8"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A808AC">
        <w:rPr>
          <w:b/>
          <w:bCs/>
        </w:rPr>
        <w:t>8.</w:t>
      </w:r>
      <w:r w:rsidRPr="00A808AC">
        <w:rPr>
          <w:b/>
          <w:bCs/>
        </w:rPr>
        <w:tab/>
        <w:t>EXPIRY DATE</w:t>
      </w:r>
    </w:p>
    <w:p w14:paraId="341806E3" w14:textId="77777777" w:rsidR="00663784" w:rsidRPr="00A808AC" w:rsidRDefault="00663784" w:rsidP="00663784">
      <w:pPr>
        <w:suppressLineNumbers/>
        <w:tabs>
          <w:tab w:val="clear" w:pos="567"/>
        </w:tabs>
        <w:spacing w:line="240" w:lineRule="auto"/>
        <w:ind w:left="720" w:hanging="720"/>
      </w:pPr>
    </w:p>
    <w:p w14:paraId="18CD0CAE" w14:textId="77777777" w:rsidR="00663784" w:rsidRPr="00A808AC" w:rsidRDefault="00663784" w:rsidP="00663784">
      <w:pPr>
        <w:suppressLineNumbers/>
        <w:spacing w:line="240" w:lineRule="auto"/>
        <w:ind w:left="720" w:hanging="720"/>
      </w:pPr>
    </w:p>
    <w:p w14:paraId="0D6C3D5D" w14:textId="77777777" w:rsidR="00663784" w:rsidRPr="00A808AC" w:rsidRDefault="005A3D7D" w:rsidP="00663784">
      <w:pPr>
        <w:keepNext/>
        <w:suppressLineNumbers/>
        <w:pBdr>
          <w:top w:val="single" w:sz="4" w:space="1" w:color="auto"/>
          <w:left w:val="single" w:sz="4" w:space="4" w:color="auto"/>
          <w:bottom w:val="single" w:sz="4" w:space="1" w:color="auto"/>
          <w:right w:val="single" w:sz="4" w:space="4" w:color="auto"/>
        </w:pBdr>
        <w:spacing w:line="240" w:lineRule="auto"/>
        <w:ind w:left="720" w:hanging="720"/>
        <w:outlineLvl w:val="1"/>
      </w:pPr>
      <w:r w:rsidRPr="00A808AC">
        <w:rPr>
          <w:b/>
          <w:bCs/>
        </w:rPr>
        <w:t>9.</w:t>
      </w:r>
      <w:r w:rsidRPr="00A808AC">
        <w:rPr>
          <w:b/>
          <w:bCs/>
        </w:rPr>
        <w:tab/>
        <w:t>SPECIAL STORAGE CONDITIONS</w:t>
      </w:r>
    </w:p>
    <w:p w14:paraId="0C7ADD93" w14:textId="77777777" w:rsidR="00663784" w:rsidRPr="00A808AC" w:rsidRDefault="00663784" w:rsidP="00663784">
      <w:pPr>
        <w:spacing w:line="240" w:lineRule="auto"/>
        <w:ind w:left="720" w:hanging="720"/>
      </w:pPr>
    </w:p>
    <w:p w14:paraId="6092FA23" w14:textId="77777777" w:rsidR="00663784" w:rsidRPr="00A808AC" w:rsidRDefault="00663784" w:rsidP="00663784">
      <w:pPr>
        <w:suppressLineNumbers/>
        <w:spacing w:line="240" w:lineRule="auto"/>
        <w:ind w:left="720" w:hanging="720"/>
      </w:pPr>
    </w:p>
    <w:p w14:paraId="0192F13A"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10.</w:t>
      </w:r>
      <w:r w:rsidRPr="00A808AC">
        <w:rPr>
          <w:b/>
          <w:bCs/>
        </w:rPr>
        <w:tab/>
        <w:t>SPECIAL PRECAUTIONS FOR DISPOSAL OF UNUSED MEDICINAL PRODUCTS OR WASTE MATERIALS DERIVED FROM SUCH MEDICINAL PRODUCTS, IF APPROPRIATE</w:t>
      </w:r>
    </w:p>
    <w:p w14:paraId="7D3CEFBF" w14:textId="77777777" w:rsidR="00663784" w:rsidRPr="00A808AC" w:rsidRDefault="00663784" w:rsidP="00663784">
      <w:pPr>
        <w:ind w:left="720" w:hanging="720"/>
      </w:pPr>
    </w:p>
    <w:p w14:paraId="25C65CA3" w14:textId="77777777" w:rsidR="00663784" w:rsidRPr="00A808AC" w:rsidRDefault="00663784" w:rsidP="00663784">
      <w:pPr>
        <w:ind w:left="720" w:hanging="720"/>
      </w:pPr>
    </w:p>
    <w:p w14:paraId="45DCADF5"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11.</w:t>
      </w:r>
      <w:r w:rsidRPr="00A808AC">
        <w:rPr>
          <w:b/>
          <w:bCs/>
        </w:rPr>
        <w:tab/>
        <w:t xml:space="preserve">NAME AND </w:t>
      </w:r>
      <w:r w:rsidRPr="00A808AC">
        <w:rPr>
          <w:b/>
          <w:bCs/>
        </w:rPr>
        <w:t>ADDRESS OF THE MARKETING AUTHORISATION HOLDER</w:t>
      </w:r>
    </w:p>
    <w:p w14:paraId="3E0A7A8D" w14:textId="77777777" w:rsidR="00663784" w:rsidRPr="00A808AC" w:rsidRDefault="00663784" w:rsidP="00663784">
      <w:pPr>
        <w:suppressLineNumbers/>
        <w:spacing w:line="240" w:lineRule="auto"/>
        <w:ind w:left="720" w:hanging="720"/>
      </w:pPr>
    </w:p>
    <w:p w14:paraId="330C584D" w14:textId="77777777" w:rsidR="00663784" w:rsidRPr="00D41F51" w:rsidRDefault="005A3D7D" w:rsidP="00663784">
      <w:pPr>
        <w:spacing w:line="240" w:lineRule="auto"/>
        <w:ind w:left="720" w:hanging="720"/>
        <w:rPr>
          <w:rFonts w:eastAsia="MS Mincho"/>
          <w:bCs/>
          <w:highlight w:val="lightGray"/>
          <w:lang w:val="en-US" w:eastAsia="ja-JP"/>
        </w:rPr>
      </w:pPr>
      <w:r w:rsidRPr="00420287">
        <w:rPr>
          <w:iCs/>
        </w:rPr>
        <w:t>Vertex Pharmaceuticals (Ireland) Limited</w:t>
      </w:r>
    </w:p>
    <w:p w14:paraId="7BA45D15" w14:textId="77777777" w:rsidR="00663784" w:rsidRPr="00965570" w:rsidRDefault="005A3D7D" w:rsidP="00663784">
      <w:pPr>
        <w:rPr>
          <w:iCs/>
          <w:highlight w:val="lightGray"/>
        </w:rPr>
      </w:pPr>
      <w:r w:rsidRPr="00965570">
        <w:rPr>
          <w:iCs/>
          <w:highlight w:val="lightGray"/>
        </w:rPr>
        <w:t>28-32 Pembroke Street Upper</w:t>
      </w:r>
    </w:p>
    <w:p w14:paraId="6B93EA09" w14:textId="77777777" w:rsidR="00663784" w:rsidRPr="00965570" w:rsidRDefault="005A3D7D" w:rsidP="00663784">
      <w:pPr>
        <w:rPr>
          <w:iCs/>
          <w:highlight w:val="lightGray"/>
        </w:rPr>
      </w:pPr>
      <w:r w:rsidRPr="00965570">
        <w:rPr>
          <w:iCs/>
          <w:highlight w:val="lightGray"/>
        </w:rPr>
        <w:t>Dublin 2, D02 EK84</w:t>
      </w:r>
    </w:p>
    <w:p w14:paraId="24863B68" w14:textId="77777777" w:rsidR="00663784" w:rsidRPr="00965570" w:rsidRDefault="005A3D7D" w:rsidP="00663784">
      <w:pPr>
        <w:spacing w:line="240" w:lineRule="auto"/>
        <w:ind w:left="720" w:hanging="720"/>
        <w:rPr>
          <w:lang w:val="en-US"/>
        </w:rPr>
      </w:pPr>
      <w:r w:rsidRPr="00965570">
        <w:rPr>
          <w:iCs/>
          <w:highlight w:val="lightGray"/>
        </w:rPr>
        <w:t>Ireland</w:t>
      </w:r>
    </w:p>
    <w:p w14:paraId="4CA1BA0E" w14:textId="77777777" w:rsidR="00663784" w:rsidRPr="00A808AC" w:rsidRDefault="00663784" w:rsidP="00663784">
      <w:pPr>
        <w:pStyle w:val="NormalIndent"/>
        <w:spacing w:after="0"/>
        <w:ind w:hanging="720"/>
        <w:rPr>
          <w:lang w:val="en-US"/>
        </w:rPr>
      </w:pPr>
    </w:p>
    <w:p w14:paraId="736B8A8B" w14:textId="77777777" w:rsidR="00663784" w:rsidRPr="00A808AC" w:rsidRDefault="00663784" w:rsidP="00663784">
      <w:pPr>
        <w:pStyle w:val="NormalIndent"/>
        <w:spacing w:after="0"/>
        <w:ind w:hanging="720"/>
        <w:rPr>
          <w:lang w:val="en-US"/>
        </w:rPr>
      </w:pPr>
    </w:p>
    <w:p w14:paraId="7FAEE011"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12.</w:t>
      </w:r>
      <w:r w:rsidRPr="00A808AC">
        <w:rPr>
          <w:b/>
          <w:bCs/>
        </w:rPr>
        <w:tab/>
        <w:t xml:space="preserve">MARKETING AUTHORISATION NUMBER(S) </w:t>
      </w:r>
    </w:p>
    <w:p w14:paraId="72D6E9D4" w14:textId="77777777" w:rsidR="00663784" w:rsidRPr="00A808AC" w:rsidRDefault="00663784" w:rsidP="00663784">
      <w:pPr>
        <w:suppressLineNumbers/>
        <w:spacing w:line="240" w:lineRule="auto"/>
        <w:ind w:left="720" w:hanging="720"/>
        <w:rPr>
          <w:rFonts w:cs="Verdana"/>
        </w:rPr>
      </w:pPr>
    </w:p>
    <w:p w14:paraId="39D55B62" w14:textId="77777777" w:rsidR="00663784" w:rsidRPr="00A808AC" w:rsidRDefault="005A3D7D" w:rsidP="00663784">
      <w:pPr>
        <w:suppressLineNumbers/>
        <w:spacing w:line="240" w:lineRule="auto"/>
        <w:ind w:left="720" w:hanging="720"/>
      </w:pPr>
      <w:r>
        <w:t>EU/1/12/782/006</w:t>
      </w:r>
    </w:p>
    <w:p w14:paraId="491F91B2" w14:textId="77777777" w:rsidR="00663784" w:rsidRPr="00A808AC" w:rsidRDefault="00663784" w:rsidP="00663784">
      <w:pPr>
        <w:suppressLineNumbers/>
        <w:spacing w:line="240" w:lineRule="auto"/>
        <w:ind w:left="720" w:hanging="720"/>
      </w:pPr>
    </w:p>
    <w:p w14:paraId="5B25445C" w14:textId="77777777" w:rsidR="00663784" w:rsidRPr="00A808AC" w:rsidRDefault="00663784" w:rsidP="00663784">
      <w:pPr>
        <w:suppressLineNumbers/>
        <w:spacing w:line="240" w:lineRule="auto"/>
        <w:ind w:left="720" w:hanging="720"/>
      </w:pPr>
    </w:p>
    <w:p w14:paraId="3FBC7070"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13.</w:t>
      </w:r>
      <w:r w:rsidRPr="00A808AC">
        <w:rPr>
          <w:b/>
          <w:bCs/>
        </w:rPr>
        <w:tab/>
        <w:t>BATCH NUMBER</w:t>
      </w:r>
    </w:p>
    <w:p w14:paraId="3B324B8F" w14:textId="77777777" w:rsidR="00663784" w:rsidRPr="00A808AC" w:rsidRDefault="00663784" w:rsidP="00663784">
      <w:pPr>
        <w:suppressLineNumbers/>
        <w:tabs>
          <w:tab w:val="clear" w:pos="567"/>
        </w:tabs>
        <w:spacing w:line="240" w:lineRule="auto"/>
        <w:ind w:left="720" w:hanging="720"/>
        <w:rPr>
          <w:iCs/>
        </w:rPr>
      </w:pPr>
    </w:p>
    <w:p w14:paraId="138982BF" w14:textId="77777777" w:rsidR="00663784" w:rsidRPr="00A808AC" w:rsidRDefault="00663784" w:rsidP="00663784">
      <w:pPr>
        <w:suppressLineNumbers/>
        <w:tabs>
          <w:tab w:val="clear" w:pos="567"/>
        </w:tabs>
        <w:spacing w:line="240" w:lineRule="auto"/>
        <w:ind w:left="720" w:hanging="720"/>
      </w:pPr>
    </w:p>
    <w:p w14:paraId="1D698C0A"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14.</w:t>
      </w:r>
      <w:r w:rsidRPr="00A808AC">
        <w:rPr>
          <w:b/>
          <w:bCs/>
        </w:rPr>
        <w:tab/>
        <w:t xml:space="preserve">GENERAL </w:t>
      </w:r>
      <w:r w:rsidRPr="00A808AC">
        <w:rPr>
          <w:b/>
          <w:bCs/>
        </w:rPr>
        <w:t>CLASSIFICATION FOR SUPPLY</w:t>
      </w:r>
    </w:p>
    <w:p w14:paraId="752E2D60" w14:textId="77777777" w:rsidR="00663784" w:rsidRPr="00A808AC" w:rsidRDefault="00663784" w:rsidP="00663784">
      <w:pPr>
        <w:suppressLineNumbers/>
        <w:tabs>
          <w:tab w:val="clear" w:pos="567"/>
        </w:tabs>
        <w:spacing w:line="240" w:lineRule="auto"/>
        <w:rPr>
          <w:lang w:val="en-US"/>
        </w:rPr>
      </w:pPr>
    </w:p>
    <w:p w14:paraId="078FC29A" w14:textId="77777777" w:rsidR="00663784" w:rsidRPr="00A808AC" w:rsidRDefault="00663784" w:rsidP="00663784">
      <w:pPr>
        <w:suppressLineNumbers/>
        <w:tabs>
          <w:tab w:val="clear" w:pos="567"/>
        </w:tabs>
        <w:spacing w:line="240" w:lineRule="auto"/>
        <w:rPr>
          <w:lang w:val="en-US"/>
        </w:rPr>
      </w:pPr>
    </w:p>
    <w:p w14:paraId="312931D6" w14:textId="77777777" w:rsidR="00663784" w:rsidRPr="00A808AC" w:rsidRDefault="005A3D7D"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outlineLvl w:val="1"/>
      </w:pPr>
      <w:r w:rsidRPr="00A808AC">
        <w:rPr>
          <w:b/>
          <w:bCs/>
        </w:rPr>
        <w:t>15.</w:t>
      </w:r>
      <w:r w:rsidRPr="00A808AC">
        <w:rPr>
          <w:b/>
          <w:bCs/>
        </w:rPr>
        <w:tab/>
        <w:t>INSTRUCTIONS ON USE</w:t>
      </w:r>
    </w:p>
    <w:p w14:paraId="1469B8CF" w14:textId="77777777" w:rsidR="00663784" w:rsidRPr="00A808AC" w:rsidRDefault="00663784" w:rsidP="00663784">
      <w:pPr>
        <w:suppressLineNumbers/>
        <w:tabs>
          <w:tab w:val="clear" w:pos="567"/>
        </w:tabs>
        <w:spacing w:line="240" w:lineRule="auto"/>
      </w:pPr>
    </w:p>
    <w:p w14:paraId="36E39D6A" w14:textId="77777777" w:rsidR="00663784" w:rsidRPr="00A808AC" w:rsidRDefault="00663784" w:rsidP="00663784">
      <w:pPr>
        <w:suppressLineNumbers/>
        <w:tabs>
          <w:tab w:val="clear" w:pos="567"/>
        </w:tabs>
        <w:spacing w:line="240" w:lineRule="auto"/>
      </w:pPr>
    </w:p>
    <w:p w14:paraId="551AB888" w14:textId="77777777" w:rsidR="00663784" w:rsidRPr="005B2226" w:rsidRDefault="005A3D7D" w:rsidP="00663784">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5B2226">
        <w:rPr>
          <w:bCs w:val="0"/>
          <w:sz w:val="22"/>
          <w:szCs w:val="22"/>
        </w:rPr>
        <w:t>16.</w:t>
      </w:r>
      <w:r w:rsidRPr="005B2226">
        <w:rPr>
          <w:bCs w:val="0"/>
          <w:sz w:val="22"/>
          <w:szCs w:val="22"/>
        </w:rPr>
        <w:tab/>
        <w:t>INFORMATION IN BRAILLE</w:t>
      </w:r>
    </w:p>
    <w:p w14:paraId="7D262F1D" w14:textId="77777777" w:rsidR="00663784" w:rsidRDefault="00663784" w:rsidP="00663784">
      <w:pPr>
        <w:tabs>
          <w:tab w:val="clear" w:pos="567"/>
        </w:tabs>
        <w:spacing w:line="240" w:lineRule="auto"/>
      </w:pPr>
    </w:p>
    <w:p w14:paraId="3CEA7973" w14:textId="77777777" w:rsidR="00663784" w:rsidRDefault="00663784" w:rsidP="00663784">
      <w:pPr>
        <w:tabs>
          <w:tab w:val="clear" w:pos="567"/>
        </w:tabs>
        <w:spacing w:line="240" w:lineRule="auto"/>
      </w:pPr>
    </w:p>
    <w:p w14:paraId="0A420BD2" w14:textId="77777777" w:rsidR="00663784" w:rsidRPr="005B2226" w:rsidRDefault="005A3D7D" w:rsidP="00663784">
      <w:pPr>
        <w:pStyle w:val="Heading2"/>
        <w:pBdr>
          <w:top w:val="single" w:sz="4" w:space="1" w:color="auto"/>
          <w:left w:val="single" w:sz="4" w:space="4" w:color="auto"/>
          <w:bottom w:val="single" w:sz="4" w:space="1" w:color="auto"/>
          <w:right w:val="single" w:sz="4" w:space="4" w:color="auto"/>
        </w:pBdr>
        <w:spacing w:before="0" w:after="0"/>
        <w:rPr>
          <w:color w:val="008000"/>
          <w:sz w:val="22"/>
          <w:szCs w:val="22"/>
        </w:rPr>
      </w:pPr>
      <w:r w:rsidRPr="005B2226">
        <w:rPr>
          <w:bCs w:val="0"/>
          <w:sz w:val="22"/>
          <w:szCs w:val="22"/>
        </w:rPr>
        <w:t>17.</w:t>
      </w:r>
      <w:r w:rsidRPr="005B2226">
        <w:rPr>
          <w:bCs w:val="0"/>
          <w:sz w:val="22"/>
          <w:szCs w:val="22"/>
        </w:rPr>
        <w:tab/>
        <w:t>UNIQUE IDENTIFIER – 2D BARCODE</w:t>
      </w:r>
    </w:p>
    <w:p w14:paraId="22CC1F01" w14:textId="77777777" w:rsidR="00663784" w:rsidRPr="00D34757" w:rsidRDefault="00663784" w:rsidP="00663784">
      <w:pPr>
        <w:suppressLineNumbers/>
        <w:spacing w:line="240" w:lineRule="auto"/>
        <w:rPr>
          <w:bCs/>
          <w:lang w:val="en-US"/>
        </w:rPr>
      </w:pPr>
    </w:p>
    <w:p w14:paraId="0BCE272F" w14:textId="77777777" w:rsidR="00663784" w:rsidRPr="00D34757" w:rsidRDefault="00663784" w:rsidP="00663784">
      <w:pPr>
        <w:suppressLineNumbers/>
        <w:spacing w:line="240" w:lineRule="auto"/>
        <w:rPr>
          <w:bCs/>
          <w:lang w:val="en-US"/>
        </w:rPr>
      </w:pPr>
    </w:p>
    <w:p w14:paraId="7EC1E3ED" w14:textId="77777777" w:rsidR="00663784" w:rsidRPr="005B2226" w:rsidRDefault="005A3D7D" w:rsidP="00663784">
      <w:pPr>
        <w:pStyle w:val="Heading2"/>
        <w:pBdr>
          <w:top w:val="single" w:sz="4" w:space="1" w:color="auto"/>
          <w:left w:val="single" w:sz="4" w:space="4" w:color="auto"/>
          <w:bottom w:val="single" w:sz="4" w:space="1" w:color="auto"/>
          <w:right w:val="single" w:sz="4" w:space="4" w:color="auto"/>
        </w:pBdr>
        <w:spacing w:before="0" w:after="0"/>
        <w:rPr>
          <w:color w:val="008000"/>
          <w:sz w:val="22"/>
          <w:szCs w:val="22"/>
        </w:rPr>
      </w:pPr>
      <w:r w:rsidRPr="005B2226">
        <w:rPr>
          <w:bCs w:val="0"/>
          <w:sz w:val="22"/>
          <w:szCs w:val="22"/>
        </w:rPr>
        <w:t>18.</w:t>
      </w:r>
      <w:r w:rsidRPr="005B2226">
        <w:rPr>
          <w:bCs w:val="0"/>
          <w:sz w:val="22"/>
          <w:szCs w:val="22"/>
        </w:rPr>
        <w:tab/>
        <w:t>UNIQUE IDENTIFIER – HUMAN READABLE DATA</w:t>
      </w:r>
    </w:p>
    <w:p w14:paraId="6F520197" w14:textId="77777777" w:rsidR="00663784" w:rsidRDefault="00663784" w:rsidP="00663784">
      <w:pPr>
        <w:suppressLineNumbers/>
        <w:spacing w:line="240" w:lineRule="auto"/>
        <w:rPr>
          <w:bCs/>
          <w:lang w:val="en-US"/>
        </w:rPr>
      </w:pPr>
    </w:p>
    <w:p w14:paraId="3813FFDB" w14:textId="77777777" w:rsidR="00663784" w:rsidRDefault="00663784" w:rsidP="00663784"/>
    <w:p w14:paraId="724B5417" w14:textId="77777777" w:rsidR="00663784" w:rsidRPr="001D5FEA" w:rsidRDefault="005A3D7D" w:rsidP="00663784">
      <w:pPr>
        <w:pStyle w:val="Heading1"/>
        <w:pBdr>
          <w:top w:val="single" w:sz="4" w:space="1" w:color="auto"/>
          <w:left w:val="single" w:sz="4" w:space="4" w:color="auto"/>
          <w:bottom w:val="single" w:sz="4" w:space="1" w:color="auto"/>
          <w:right w:val="single" w:sz="4" w:space="4" w:color="auto"/>
        </w:pBdr>
        <w:tabs>
          <w:tab w:val="clear" w:pos="567"/>
        </w:tabs>
        <w:rPr>
          <w:rFonts w:ascii="Times New Roman" w:hAnsi="Times New Roman" w:cs="Times New Roman"/>
          <w:bCs w:val="0"/>
          <w:sz w:val="22"/>
          <w:szCs w:val="22"/>
        </w:rPr>
      </w:pPr>
      <w:r w:rsidRPr="001D5FEA">
        <w:rPr>
          <w:rFonts w:ascii="Times New Roman" w:hAnsi="Times New Roman" w:cs="Times New Roman"/>
          <w:bCs w:val="0"/>
          <w:sz w:val="22"/>
          <w:szCs w:val="22"/>
        </w:rPr>
        <w:br w:type="page"/>
        <w:t>MINIMUM PARTICULARS TO APPEAR ON SMALL IMMEDIATE PACKAGING UNITS</w:t>
      </w:r>
    </w:p>
    <w:p w14:paraId="4EE5E6E6" w14:textId="77777777" w:rsidR="00663784" w:rsidRPr="00A808AC" w:rsidRDefault="00663784"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rPr>
      </w:pPr>
    </w:p>
    <w:p w14:paraId="64D7D8CC"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bCs/>
        </w:rPr>
      </w:pPr>
      <w:r w:rsidRPr="00A808AC">
        <w:rPr>
          <w:b/>
          <w:bCs/>
        </w:rPr>
        <w:t>SACHETS</w:t>
      </w:r>
    </w:p>
    <w:p w14:paraId="47A502BE" w14:textId="77777777" w:rsidR="00663784" w:rsidRDefault="00663784" w:rsidP="00663784">
      <w:pPr>
        <w:suppressLineNumbers/>
        <w:tabs>
          <w:tab w:val="clear" w:pos="567"/>
        </w:tabs>
        <w:spacing w:line="240" w:lineRule="auto"/>
      </w:pPr>
    </w:p>
    <w:p w14:paraId="20671DCC" w14:textId="77777777" w:rsidR="00663784" w:rsidRPr="00A808AC" w:rsidRDefault="00663784" w:rsidP="00663784">
      <w:pPr>
        <w:suppressLineNumbers/>
        <w:tabs>
          <w:tab w:val="clear" w:pos="567"/>
        </w:tabs>
        <w:spacing w:line="240" w:lineRule="auto"/>
      </w:pPr>
    </w:p>
    <w:p w14:paraId="2EEEEEBB"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w:t>
      </w:r>
      <w:r w:rsidRPr="00A808AC">
        <w:rPr>
          <w:b/>
          <w:bCs/>
        </w:rPr>
        <w:tab/>
        <w:t xml:space="preserve">NAME OF </w:t>
      </w:r>
      <w:r w:rsidRPr="00A808AC">
        <w:rPr>
          <w:b/>
          <w:bCs/>
        </w:rPr>
        <w:t>THE MEDICINAL PRODUCT AND ROUTE(S) OF ADMINISTRATION</w:t>
      </w:r>
    </w:p>
    <w:p w14:paraId="1F494AB0" w14:textId="77777777" w:rsidR="00663784" w:rsidRPr="00A808AC" w:rsidRDefault="00663784" w:rsidP="00663784">
      <w:pPr>
        <w:suppressLineNumbers/>
        <w:tabs>
          <w:tab w:val="clear" w:pos="567"/>
        </w:tabs>
        <w:spacing w:line="240" w:lineRule="auto"/>
        <w:ind w:left="720" w:hanging="720"/>
        <w:rPr>
          <w:iCs/>
        </w:rPr>
      </w:pPr>
    </w:p>
    <w:p w14:paraId="59C2F1BE" w14:textId="77777777" w:rsidR="00663784" w:rsidRPr="00A808AC" w:rsidRDefault="005A3D7D" w:rsidP="00663784">
      <w:pPr>
        <w:tabs>
          <w:tab w:val="clear" w:pos="567"/>
        </w:tabs>
        <w:spacing w:line="240" w:lineRule="auto"/>
        <w:ind w:left="720" w:hanging="720"/>
      </w:pPr>
      <w:r w:rsidRPr="00A808AC">
        <w:t xml:space="preserve">Kalydeco </w:t>
      </w:r>
      <w:r>
        <w:t>25 mg</w:t>
      </w:r>
      <w:r w:rsidRPr="00A808AC">
        <w:t xml:space="preserve"> granules</w:t>
      </w:r>
    </w:p>
    <w:p w14:paraId="26C0DB85" w14:textId="77777777" w:rsidR="00663784" w:rsidRPr="00A808AC" w:rsidRDefault="005A3D7D" w:rsidP="00663784">
      <w:pPr>
        <w:tabs>
          <w:tab w:val="clear" w:pos="567"/>
        </w:tabs>
        <w:spacing w:line="240" w:lineRule="auto"/>
        <w:ind w:left="720" w:hanging="720"/>
      </w:pPr>
      <w:r>
        <w:t>i</w:t>
      </w:r>
      <w:r w:rsidRPr="00A808AC">
        <w:t>vacaftor</w:t>
      </w:r>
    </w:p>
    <w:p w14:paraId="4FB23A75" w14:textId="77777777" w:rsidR="00663784" w:rsidRPr="00A808AC" w:rsidRDefault="005A3D7D" w:rsidP="00663784">
      <w:pPr>
        <w:tabs>
          <w:tab w:val="clear" w:pos="567"/>
        </w:tabs>
        <w:spacing w:line="240" w:lineRule="auto"/>
        <w:ind w:left="720" w:hanging="720"/>
      </w:pPr>
      <w:r w:rsidRPr="00A808AC">
        <w:t>Oral use</w:t>
      </w:r>
    </w:p>
    <w:p w14:paraId="03797CBD" w14:textId="77777777" w:rsidR="00663784" w:rsidRPr="00A808AC" w:rsidRDefault="00663784" w:rsidP="00663784">
      <w:pPr>
        <w:tabs>
          <w:tab w:val="clear" w:pos="567"/>
        </w:tabs>
        <w:spacing w:line="240" w:lineRule="auto"/>
        <w:ind w:left="720" w:hanging="720"/>
        <w:rPr>
          <w:i/>
          <w:iCs/>
        </w:rPr>
      </w:pPr>
    </w:p>
    <w:p w14:paraId="66B31727" w14:textId="77777777" w:rsidR="00663784" w:rsidRPr="00A808AC" w:rsidRDefault="00663784" w:rsidP="00663784">
      <w:pPr>
        <w:tabs>
          <w:tab w:val="clear" w:pos="567"/>
        </w:tabs>
        <w:spacing w:line="240" w:lineRule="auto"/>
        <w:ind w:left="720" w:hanging="720"/>
        <w:rPr>
          <w:i/>
          <w:iCs/>
        </w:rPr>
      </w:pPr>
    </w:p>
    <w:p w14:paraId="7F8C31B8"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METHOD OF ADMINISTRATION</w:t>
      </w:r>
    </w:p>
    <w:p w14:paraId="405C5807" w14:textId="77777777" w:rsidR="00663784" w:rsidRPr="00A808AC" w:rsidRDefault="00663784" w:rsidP="00663784">
      <w:pPr>
        <w:suppressLineNumbers/>
        <w:tabs>
          <w:tab w:val="clear" w:pos="567"/>
        </w:tabs>
        <w:spacing w:line="240" w:lineRule="auto"/>
        <w:ind w:left="720" w:hanging="720"/>
      </w:pPr>
    </w:p>
    <w:p w14:paraId="31A9EBDF" w14:textId="77777777" w:rsidR="00663784" w:rsidRPr="00A808AC" w:rsidRDefault="00663784" w:rsidP="00663784">
      <w:pPr>
        <w:suppressLineNumbers/>
        <w:tabs>
          <w:tab w:val="clear" w:pos="567"/>
        </w:tabs>
        <w:spacing w:line="240" w:lineRule="auto"/>
        <w:ind w:left="720" w:hanging="720"/>
      </w:pPr>
    </w:p>
    <w:p w14:paraId="5ECA8FFE" w14:textId="77777777" w:rsidR="00663784" w:rsidRPr="00A808AC" w:rsidRDefault="005A3D7D" w:rsidP="00663784">
      <w:pPr>
        <w:suppressLineNumbers/>
        <w:pBdr>
          <w:top w:val="single" w:sz="4" w:space="1" w:color="auto"/>
          <w:left w:val="single" w:sz="4" w:space="4" w:color="auto"/>
          <w:bottom w:val="single" w:sz="4" w:space="2" w:color="auto"/>
          <w:right w:val="single" w:sz="4" w:space="4" w:color="auto"/>
        </w:pBdr>
        <w:tabs>
          <w:tab w:val="clear" w:pos="567"/>
        </w:tabs>
        <w:spacing w:line="240" w:lineRule="auto"/>
        <w:ind w:left="720" w:hanging="720"/>
        <w:outlineLvl w:val="1"/>
        <w:rPr>
          <w:b/>
          <w:bCs/>
        </w:rPr>
      </w:pPr>
      <w:r w:rsidRPr="00A808AC">
        <w:rPr>
          <w:b/>
          <w:bCs/>
        </w:rPr>
        <w:t>3.</w:t>
      </w:r>
      <w:r w:rsidRPr="00A808AC">
        <w:rPr>
          <w:b/>
          <w:bCs/>
        </w:rPr>
        <w:tab/>
        <w:t>EXPIRY DATE</w:t>
      </w:r>
    </w:p>
    <w:p w14:paraId="1C02F624" w14:textId="77777777" w:rsidR="00663784" w:rsidRPr="00A808AC" w:rsidRDefault="00663784" w:rsidP="00663784">
      <w:pPr>
        <w:suppressLineNumbers/>
        <w:tabs>
          <w:tab w:val="clear" w:pos="567"/>
        </w:tabs>
        <w:spacing w:line="240" w:lineRule="auto"/>
        <w:ind w:left="720" w:hanging="720"/>
      </w:pPr>
    </w:p>
    <w:p w14:paraId="38A98803" w14:textId="77777777" w:rsidR="00663784" w:rsidRPr="00A808AC" w:rsidRDefault="005A3D7D" w:rsidP="00663784">
      <w:pPr>
        <w:suppressLineNumbers/>
        <w:tabs>
          <w:tab w:val="clear" w:pos="567"/>
        </w:tabs>
        <w:spacing w:line="240" w:lineRule="auto"/>
        <w:ind w:left="720" w:hanging="720"/>
      </w:pPr>
      <w:r w:rsidRPr="00A808AC">
        <w:t>EXP</w:t>
      </w:r>
    </w:p>
    <w:p w14:paraId="5AD3B920" w14:textId="77777777" w:rsidR="00663784" w:rsidRPr="00A808AC" w:rsidRDefault="00663784" w:rsidP="00663784">
      <w:pPr>
        <w:suppressLineNumbers/>
        <w:tabs>
          <w:tab w:val="clear" w:pos="567"/>
        </w:tabs>
        <w:spacing w:line="240" w:lineRule="auto"/>
        <w:ind w:left="720" w:hanging="720"/>
      </w:pPr>
    </w:p>
    <w:p w14:paraId="0771D8E5" w14:textId="77777777" w:rsidR="00663784" w:rsidRPr="00A808AC" w:rsidRDefault="00663784" w:rsidP="00663784">
      <w:pPr>
        <w:suppressLineNumbers/>
        <w:tabs>
          <w:tab w:val="clear" w:pos="567"/>
        </w:tabs>
        <w:spacing w:line="240" w:lineRule="auto"/>
        <w:ind w:left="720" w:hanging="720"/>
      </w:pPr>
    </w:p>
    <w:p w14:paraId="359A7B9E"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4.</w:t>
      </w:r>
      <w:r w:rsidRPr="00A808AC">
        <w:rPr>
          <w:b/>
          <w:bCs/>
        </w:rPr>
        <w:tab/>
        <w:t>BATCH NUMBER</w:t>
      </w:r>
    </w:p>
    <w:p w14:paraId="02853F9C" w14:textId="77777777" w:rsidR="00663784" w:rsidRPr="00A808AC" w:rsidRDefault="00663784" w:rsidP="00663784">
      <w:pPr>
        <w:suppressLineNumbers/>
        <w:tabs>
          <w:tab w:val="clear" w:pos="567"/>
        </w:tabs>
        <w:spacing w:line="240" w:lineRule="auto"/>
        <w:ind w:left="720" w:hanging="720"/>
      </w:pPr>
    </w:p>
    <w:p w14:paraId="4CE5E3AA" w14:textId="77777777" w:rsidR="00663784" w:rsidRPr="00A808AC" w:rsidRDefault="005A3D7D" w:rsidP="00663784">
      <w:pPr>
        <w:suppressLineNumbers/>
        <w:tabs>
          <w:tab w:val="clear" w:pos="567"/>
        </w:tabs>
        <w:spacing w:line="240" w:lineRule="auto"/>
        <w:ind w:left="720" w:hanging="720"/>
      </w:pPr>
      <w:r w:rsidRPr="00A808AC">
        <w:t>Lot</w:t>
      </w:r>
    </w:p>
    <w:p w14:paraId="2A5BE01B" w14:textId="77777777" w:rsidR="00663784" w:rsidRPr="00A808AC" w:rsidRDefault="00663784" w:rsidP="00663784">
      <w:pPr>
        <w:suppressLineNumbers/>
        <w:tabs>
          <w:tab w:val="clear" w:pos="567"/>
        </w:tabs>
        <w:spacing w:line="240" w:lineRule="auto"/>
        <w:ind w:left="720" w:hanging="720"/>
      </w:pPr>
    </w:p>
    <w:p w14:paraId="21B13324" w14:textId="77777777" w:rsidR="00663784" w:rsidRPr="00A808AC" w:rsidRDefault="00663784" w:rsidP="00663784">
      <w:pPr>
        <w:suppressLineNumbers/>
        <w:tabs>
          <w:tab w:val="clear" w:pos="567"/>
        </w:tabs>
        <w:spacing w:line="240" w:lineRule="auto"/>
        <w:ind w:left="720" w:hanging="720"/>
      </w:pPr>
    </w:p>
    <w:p w14:paraId="2603C2EC"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5.</w:t>
      </w:r>
      <w:r w:rsidRPr="00A808AC">
        <w:rPr>
          <w:b/>
          <w:bCs/>
        </w:rPr>
        <w:tab/>
        <w:t>CONTENTS BY WEIGHT, BY VOLUME OR BY UNIT</w:t>
      </w:r>
    </w:p>
    <w:p w14:paraId="79599F36" w14:textId="77777777" w:rsidR="00663784" w:rsidRPr="00A808AC" w:rsidRDefault="00663784" w:rsidP="00663784">
      <w:pPr>
        <w:tabs>
          <w:tab w:val="clear" w:pos="567"/>
        </w:tabs>
        <w:spacing w:line="240" w:lineRule="auto"/>
        <w:ind w:left="720" w:hanging="720"/>
      </w:pPr>
    </w:p>
    <w:p w14:paraId="7E3DE5C1" w14:textId="77777777" w:rsidR="00663784" w:rsidRPr="00A808AC" w:rsidRDefault="00663784" w:rsidP="00663784">
      <w:pPr>
        <w:tabs>
          <w:tab w:val="clear" w:pos="567"/>
        </w:tabs>
        <w:spacing w:line="240" w:lineRule="auto"/>
        <w:ind w:left="720" w:hanging="720"/>
      </w:pPr>
    </w:p>
    <w:p w14:paraId="27A42928"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6.</w:t>
      </w:r>
      <w:r w:rsidRPr="00A808AC">
        <w:rPr>
          <w:b/>
          <w:bCs/>
        </w:rPr>
        <w:tab/>
        <w:t>OTHER</w:t>
      </w:r>
    </w:p>
    <w:p w14:paraId="5FCBA9BD" w14:textId="77777777" w:rsidR="00663784" w:rsidRPr="00A808AC" w:rsidRDefault="00663784" w:rsidP="00663784">
      <w:pPr>
        <w:tabs>
          <w:tab w:val="clear" w:pos="567"/>
        </w:tabs>
        <w:spacing w:line="240" w:lineRule="auto"/>
        <w:ind w:left="720" w:hanging="720"/>
      </w:pPr>
    </w:p>
    <w:p w14:paraId="233B9912" w14:textId="77777777" w:rsidR="00663784" w:rsidRPr="00A808AC" w:rsidRDefault="005A3D7D" w:rsidP="00663784">
      <w:pPr>
        <w:tabs>
          <w:tab w:val="clear" w:pos="567"/>
        </w:tabs>
        <w:spacing w:line="240" w:lineRule="auto"/>
        <w:ind w:left="720" w:hanging="720"/>
        <w:rPr>
          <w:lang w:val="en-US"/>
        </w:rPr>
      </w:pPr>
      <w:r w:rsidRPr="00A808AC">
        <w:rPr>
          <w:lang w:val="en-US"/>
        </w:rPr>
        <w:t xml:space="preserve">Vertex </w:t>
      </w:r>
      <w:r w:rsidRPr="00A808AC">
        <w:rPr>
          <w:lang w:val="en-US"/>
        </w:rPr>
        <w:t>Pharmaceuticals (</w:t>
      </w:r>
      <w:r>
        <w:rPr>
          <w:lang w:val="en-US"/>
        </w:rPr>
        <w:t>Ireland</w:t>
      </w:r>
      <w:r w:rsidRPr="00A808AC">
        <w:rPr>
          <w:lang w:val="en-US"/>
        </w:rPr>
        <w:t>) Limited</w:t>
      </w:r>
    </w:p>
    <w:p w14:paraId="406C001C" w14:textId="77777777" w:rsidR="00663784" w:rsidRDefault="00663784" w:rsidP="00663784">
      <w:pPr>
        <w:tabs>
          <w:tab w:val="clear" w:pos="567"/>
        </w:tabs>
        <w:ind w:left="720" w:hanging="720"/>
      </w:pPr>
    </w:p>
    <w:p w14:paraId="0A4D1156" w14:textId="77777777" w:rsidR="00663784" w:rsidRPr="00A808AC" w:rsidRDefault="00663784" w:rsidP="00663784">
      <w:pPr>
        <w:tabs>
          <w:tab w:val="clear" w:pos="567"/>
        </w:tabs>
        <w:ind w:left="720" w:hanging="720"/>
      </w:pPr>
    </w:p>
    <w:p w14:paraId="499EB794" w14:textId="77777777" w:rsidR="00663784" w:rsidRPr="0050295E" w:rsidRDefault="005A3D7D" w:rsidP="00663784">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sz w:val="22"/>
          <w:szCs w:val="22"/>
        </w:rPr>
      </w:pPr>
      <w:r w:rsidRPr="00415F35">
        <w:rPr>
          <w:rFonts w:ascii="Times New Roman" w:hAnsi="Times New Roman" w:cs="Times New Roman"/>
          <w:sz w:val="22"/>
          <w:szCs w:val="22"/>
        </w:rPr>
        <w:br w:type="page"/>
      </w:r>
      <w:r w:rsidRPr="00A808AC">
        <w:t xml:space="preserve"> </w:t>
      </w:r>
      <w:r w:rsidRPr="0050295E">
        <w:rPr>
          <w:rFonts w:ascii="Times New Roman" w:hAnsi="Times New Roman" w:cs="Times New Roman"/>
          <w:sz w:val="22"/>
          <w:szCs w:val="22"/>
        </w:rPr>
        <w:t>PARTICULARS TO APPEAR ON THE OUTER PACKAGING</w:t>
      </w:r>
    </w:p>
    <w:p w14:paraId="68F59077" w14:textId="77777777" w:rsidR="00663784" w:rsidRPr="0050295E"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14:paraId="2FB40E0E" w14:textId="77777777" w:rsidR="00663784" w:rsidRPr="0050295E" w:rsidRDefault="005A3D7D" w:rsidP="00663784">
      <w:pPr>
        <w:pBdr>
          <w:top w:val="single" w:sz="4" w:space="1" w:color="auto"/>
          <w:left w:val="single" w:sz="4" w:space="4" w:color="auto"/>
          <w:bottom w:val="single" w:sz="4" w:space="1" w:color="auto"/>
          <w:right w:val="single" w:sz="4" w:space="4" w:color="auto"/>
        </w:pBdr>
        <w:spacing w:line="240" w:lineRule="auto"/>
      </w:pPr>
      <w:r w:rsidRPr="0050295E">
        <w:rPr>
          <w:b/>
          <w:bCs/>
          <w:caps/>
        </w:rPr>
        <w:t>Outer carton</w:t>
      </w:r>
      <w:r w:rsidRPr="0050295E">
        <w:rPr>
          <w:b/>
          <w:bCs/>
        </w:rPr>
        <w:t xml:space="preserve"> FOR SACHET</w:t>
      </w:r>
    </w:p>
    <w:p w14:paraId="298C0D59" w14:textId="77777777" w:rsidR="00663784" w:rsidRPr="0050295E" w:rsidRDefault="00663784" w:rsidP="00663784">
      <w:pPr>
        <w:suppressLineNumbers/>
        <w:spacing w:line="240" w:lineRule="auto"/>
      </w:pPr>
    </w:p>
    <w:p w14:paraId="7CE8D623" w14:textId="77777777" w:rsidR="00663784" w:rsidRPr="0050295E" w:rsidRDefault="00663784" w:rsidP="00663784">
      <w:pPr>
        <w:suppressLineNumbers/>
        <w:spacing w:line="240" w:lineRule="auto"/>
      </w:pPr>
    </w:p>
    <w:p w14:paraId="0B6BEF82" w14:textId="77777777" w:rsidR="00663784" w:rsidRPr="0050295E"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1.</w:t>
      </w:r>
      <w:r w:rsidRPr="0050295E">
        <w:rPr>
          <w:b/>
          <w:bCs/>
        </w:rPr>
        <w:tab/>
        <w:t>NAME OF THE MEDICINAL PRODUCT</w:t>
      </w:r>
    </w:p>
    <w:p w14:paraId="46D00C31" w14:textId="77777777" w:rsidR="00663784" w:rsidRPr="0050295E" w:rsidRDefault="00663784" w:rsidP="00663784">
      <w:pPr>
        <w:suppressLineNumbers/>
        <w:spacing w:line="240" w:lineRule="auto"/>
      </w:pPr>
    </w:p>
    <w:p w14:paraId="367095F5" w14:textId="77777777" w:rsidR="00663784" w:rsidRPr="0050295E" w:rsidRDefault="005A3D7D" w:rsidP="00663784">
      <w:pPr>
        <w:spacing w:line="240" w:lineRule="auto"/>
      </w:pPr>
      <w:r w:rsidRPr="0050295E">
        <w:t>Kalydeco 50 mg granules in sachet</w:t>
      </w:r>
    </w:p>
    <w:p w14:paraId="1835AFE6" w14:textId="77777777" w:rsidR="00663784" w:rsidRPr="0050295E" w:rsidRDefault="005A3D7D" w:rsidP="00663784">
      <w:pPr>
        <w:spacing w:line="240" w:lineRule="auto"/>
        <w:rPr>
          <w:i/>
          <w:iCs/>
        </w:rPr>
      </w:pPr>
      <w:r w:rsidRPr="0050295E">
        <w:t>ivacaftor</w:t>
      </w:r>
    </w:p>
    <w:p w14:paraId="5EA9C080" w14:textId="77777777" w:rsidR="00663784" w:rsidRPr="0050295E" w:rsidRDefault="00663784" w:rsidP="00663784">
      <w:pPr>
        <w:suppressLineNumbers/>
        <w:spacing w:line="240" w:lineRule="auto"/>
      </w:pPr>
    </w:p>
    <w:p w14:paraId="314AE650" w14:textId="77777777" w:rsidR="00663784" w:rsidRPr="0050295E" w:rsidRDefault="00663784" w:rsidP="00663784">
      <w:pPr>
        <w:suppressLineNumbers/>
        <w:spacing w:line="240" w:lineRule="auto"/>
      </w:pPr>
    </w:p>
    <w:p w14:paraId="21724F8D" w14:textId="77777777" w:rsidR="00663784" w:rsidRPr="0050295E" w:rsidRDefault="005A3D7D" w:rsidP="00663784">
      <w:pPr>
        <w:suppressLineNumbers/>
        <w:pBdr>
          <w:top w:val="single" w:sz="4" w:space="0" w:color="auto"/>
          <w:left w:val="single" w:sz="4" w:space="4" w:color="auto"/>
          <w:bottom w:val="single" w:sz="4" w:space="1" w:color="auto"/>
          <w:right w:val="single" w:sz="4" w:space="4" w:color="auto"/>
        </w:pBdr>
        <w:spacing w:line="240" w:lineRule="auto"/>
        <w:ind w:left="567" w:hanging="567"/>
        <w:outlineLvl w:val="1"/>
        <w:rPr>
          <w:b/>
          <w:bCs/>
        </w:rPr>
      </w:pPr>
      <w:r w:rsidRPr="0050295E">
        <w:rPr>
          <w:b/>
          <w:bCs/>
        </w:rPr>
        <w:t>2.</w:t>
      </w:r>
      <w:r w:rsidRPr="0050295E">
        <w:rPr>
          <w:b/>
          <w:bCs/>
        </w:rPr>
        <w:tab/>
        <w:t>STATEMENT OF ACTIVE SUBSTANCE</w:t>
      </w:r>
    </w:p>
    <w:p w14:paraId="39628873" w14:textId="77777777" w:rsidR="00663784" w:rsidRPr="0050295E" w:rsidRDefault="00663784" w:rsidP="00663784">
      <w:pPr>
        <w:suppressLineNumbers/>
        <w:spacing w:line="240" w:lineRule="auto"/>
        <w:rPr>
          <w:i/>
          <w:iCs/>
        </w:rPr>
      </w:pPr>
    </w:p>
    <w:p w14:paraId="14196E69" w14:textId="77777777" w:rsidR="00663784" w:rsidRPr="0050295E" w:rsidRDefault="005A3D7D" w:rsidP="00663784">
      <w:pPr>
        <w:widowControl w:val="0"/>
        <w:spacing w:line="240" w:lineRule="auto"/>
      </w:pPr>
      <w:r w:rsidRPr="0050295E">
        <w:t xml:space="preserve">Each sachet of granules </w:t>
      </w:r>
      <w:r w:rsidRPr="0050295E">
        <w:t>contains 50 mg of ivacaftor.</w:t>
      </w:r>
    </w:p>
    <w:p w14:paraId="2EAD6253" w14:textId="77777777" w:rsidR="00663784" w:rsidRPr="0050295E" w:rsidRDefault="00663784" w:rsidP="00663784">
      <w:pPr>
        <w:suppressLineNumbers/>
        <w:spacing w:line="240" w:lineRule="auto"/>
      </w:pPr>
    </w:p>
    <w:p w14:paraId="4CA1DC20" w14:textId="77777777" w:rsidR="00663784" w:rsidRPr="0050295E" w:rsidRDefault="00663784" w:rsidP="00663784">
      <w:pPr>
        <w:suppressLineNumbers/>
        <w:spacing w:line="240" w:lineRule="auto"/>
      </w:pPr>
    </w:p>
    <w:p w14:paraId="78868685" w14:textId="77777777" w:rsidR="00663784" w:rsidRPr="0050295E"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3.</w:t>
      </w:r>
      <w:r w:rsidRPr="0050295E">
        <w:rPr>
          <w:b/>
          <w:bCs/>
        </w:rPr>
        <w:tab/>
        <w:t>LIST OF EXCIPIENTS</w:t>
      </w:r>
    </w:p>
    <w:p w14:paraId="5BE3A6C8" w14:textId="77777777" w:rsidR="00663784" w:rsidRPr="0050295E" w:rsidRDefault="00663784" w:rsidP="00663784">
      <w:pPr>
        <w:suppressLineNumbers/>
        <w:spacing w:line="240" w:lineRule="auto"/>
      </w:pPr>
    </w:p>
    <w:p w14:paraId="47823A45" w14:textId="77777777" w:rsidR="00663784" w:rsidRPr="0050295E" w:rsidRDefault="005A3D7D" w:rsidP="00663784">
      <w:pPr>
        <w:spacing w:line="240" w:lineRule="auto"/>
      </w:pPr>
      <w:r w:rsidRPr="0050295E">
        <w:t>Contains lactose.</w:t>
      </w:r>
    </w:p>
    <w:p w14:paraId="6A024D51" w14:textId="77777777" w:rsidR="00663784" w:rsidRPr="0050295E" w:rsidRDefault="00663784" w:rsidP="00663784">
      <w:pPr>
        <w:spacing w:line="240" w:lineRule="auto"/>
      </w:pPr>
    </w:p>
    <w:p w14:paraId="755D1DF9" w14:textId="77777777" w:rsidR="00663784" w:rsidRPr="0050295E" w:rsidRDefault="005A3D7D" w:rsidP="00663784">
      <w:pPr>
        <w:spacing w:line="240" w:lineRule="auto"/>
      </w:pPr>
      <w:r w:rsidRPr="0050295E">
        <w:rPr>
          <w:highlight w:val="lightGray"/>
        </w:rPr>
        <w:t>See leaflet for further information.</w:t>
      </w:r>
    </w:p>
    <w:p w14:paraId="1053DBD6" w14:textId="77777777" w:rsidR="00663784" w:rsidRPr="0050295E" w:rsidRDefault="00663784" w:rsidP="00663784">
      <w:pPr>
        <w:suppressLineNumbers/>
        <w:spacing w:line="240" w:lineRule="auto"/>
      </w:pPr>
    </w:p>
    <w:p w14:paraId="7C255650" w14:textId="77777777" w:rsidR="00663784" w:rsidRPr="0050295E" w:rsidRDefault="00663784" w:rsidP="00663784">
      <w:pPr>
        <w:suppressLineNumbers/>
        <w:spacing w:line="240" w:lineRule="auto"/>
      </w:pPr>
    </w:p>
    <w:p w14:paraId="3F6D3665" w14:textId="77777777" w:rsidR="00663784" w:rsidRPr="0050295E"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4.</w:t>
      </w:r>
      <w:r w:rsidRPr="0050295E">
        <w:rPr>
          <w:b/>
          <w:bCs/>
        </w:rPr>
        <w:tab/>
        <w:t>PHARMACEUTICAL FORM AND CONTENTS</w:t>
      </w:r>
    </w:p>
    <w:p w14:paraId="5BCC99EE" w14:textId="77777777" w:rsidR="00663784" w:rsidRPr="0050295E" w:rsidRDefault="00663784" w:rsidP="00663784">
      <w:pPr>
        <w:spacing w:line="240" w:lineRule="auto"/>
      </w:pPr>
    </w:p>
    <w:p w14:paraId="533A261D" w14:textId="77777777" w:rsidR="00663784" w:rsidRPr="0050295E" w:rsidRDefault="005A3D7D" w:rsidP="00663784">
      <w:pPr>
        <w:spacing w:line="240" w:lineRule="auto"/>
        <w:rPr>
          <w:lang w:val="en-US"/>
        </w:rPr>
      </w:pPr>
      <w:r w:rsidRPr="0050295E">
        <w:rPr>
          <w:highlight w:val="lightGray"/>
          <w:lang w:val="en-US"/>
        </w:rPr>
        <w:t>Granules in sachet</w:t>
      </w:r>
    </w:p>
    <w:p w14:paraId="78D4FA87" w14:textId="77777777" w:rsidR="00663784" w:rsidRPr="0050295E" w:rsidRDefault="00663784" w:rsidP="00663784">
      <w:pPr>
        <w:spacing w:line="240" w:lineRule="auto"/>
        <w:rPr>
          <w:lang w:val="en-US"/>
        </w:rPr>
      </w:pPr>
    </w:p>
    <w:p w14:paraId="1D9BFEA3" w14:textId="77777777" w:rsidR="00663784" w:rsidRPr="0050295E" w:rsidRDefault="005A3D7D" w:rsidP="00663784">
      <w:pPr>
        <w:spacing w:line="240" w:lineRule="auto"/>
        <w:rPr>
          <w:lang w:val="en-US"/>
        </w:rPr>
      </w:pPr>
      <w:r w:rsidRPr="0050295E">
        <w:rPr>
          <w:lang w:val="en-US"/>
        </w:rPr>
        <w:t>56 sachets</w:t>
      </w:r>
    </w:p>
    <w:p w14:paraId="048474C8" w14:textId="77777777" w:rsidR="00663784" w:rsidRPr="0050295E" w:rsidRDefault="00663784" w:rsidP="00663784">
      <w:pPr>
        <w:spacing w:line="240" w:lineRule="auto"/>
        <w:rPr>
          <w:lang w:val="en-US"/>
        </w:rPr>
      </w:pPr>
    </w:p>
    <w:p w14:paraId="6880CDA8" w14:textId="77777777" w:rsidR="00663784" w:rsidRPr="0050295E" w:rsidRDefault="005A3D7D" w:rsidP="00663784">
      <w:pPr>
        <w:spacing w:line="240" w:lineRule="auto"/>
      </w:pPr>
      <w:r w:rsidRPr="0050295E">
        <w:rPr>
          <w:lang w:val="en-US"/>
        </w:rPr>
        <w:t>4 individual wallets with 14 sachets per wallet</w:t>
      </w:r>
    </w:p>
    <w:p w14:paraId="305E9E4B" w14:textId="77777777" w:rsidR="00663784" w:rsidRPr="0050295E" w:rsidRDefault="00663784" w:rsidP="00663784">
      <w:pPr>
        <w:suppressLineNumbers/>
        <w:spacing w:line="240" w:lineRule="auto"/>
      </w:pPr>
    </w:p>
    <w:p w14:paraId="38EB6B2E" w14:textId="77777777" w:rsidR="00663784" w:rsidRPr="0050295E" w:rsidRDefault="00663784" w:rsidP="00663784">
      <w:pPr>
        <w:suppressLineNumbers/>
        <w:spacing w:line="240" w:lineRule="auto"/>
      </w:pPr>
    </w:p>
    <w:p w14:paraId="3A7B8593" w14:textId="77777777" w:rsidR="00663784" w:rsidRPr="0050295E"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5.</w:t>
      </w:r>
      <w:r w:rsidRPr="0050295E">
        <w:rPr>
          <w:b/>
          <w:bCs/>
        </w:rPr>
        <w:tab/>
        <w:t xml:space="preserve">METHOD AND </w:t>
      </w:r>
      <w:r w:rsidRPr="0050295E">
        <w:rPr>
          <w:b/>
          <w:bCs/>
        </w:rPr>
        <w:t>ROUTE(S) OF ADMINISTRATION</w:t>
      </w:r>
    </w:p>
    <w:p w14:paraId="2FC02548" w14:textId="77777777" w:rsidR="00663784" w:rsidRPr="0050295E" w:rsidRDefault="00663784" w:rsidP="00663784">
      <w:pPr>
        <w:suppressLineNumbers/>
        <w:tabs>
          <w:tab w:val="clear" w:pos="567"/>
          <w:tab w:val="left" w:pos="4997"/>
        </w:tabs>
        <w:spacing w:line="240" w:lineRule="auto"/>
      </w:pPr>
    </w:p>
    <w:p w14:paraId="7962FC91" w14:textId="77777777" w:rsidR="00663784" w:rsidRPr="0050295E" w:rsidRDefault="005A3D7D" w:rsidP="00663784">
      <w:pPr>
        <w:suppressLineNumbers/>
        <w:spacing w:line="240" w:lineRule="auto"/>
      </w:pPr>
      <w:r w:rsidRPr="0050295E">
        <w:t>Read the package leaflet before use.</w:t>
      </w:r>
    </w:p>
    <w:p w14:paraId="65803678" w14:textId="77777777" w:rsidR="00663784" w:rsidRPr="0050295E" w:rsidRDefault="00663784" w:rsidP="00663784">
      <w:pPr>
        <w:suppressLineNumbers/>
        <w:spacing w:line="240" w:lineRule="auto"/>
      </w:pPr>
    </w:p>
    <w:p w14:paraId="02B673BD" w14:textId="77777777" w:rsidR="00663784" w:rsidRPr="0050295E" w:rsidRDefault="005A3D7D" w:rsidP="00663784">
      <w:pPr>
        <w:spacing w:line="240" w:lineRule="auto"/>
      </w:pPr>
      <w:r w:rsidRPr="0050295E">
        <w:rPr>
          <w:lang w:val="en-US"/>
        </w:rPr>
        <w:t>Oral use</w:t>
      </w:r>
    </w:p>
    <w:p w14:paraId="2C82BA7B" w14:textId="77777777" w:rsidR="00663784" w:rsidRPr="0050295E" w:rsidRDefault="00663784" w:rsidP="00663784">
      <w:pPr>
        <w:suppressLineNumbers/>
        <w:spacing w:line="240" w:lineRule="auto"/>
      </w:pPr>
    </w:p>
    <w:p w14:paraId="2E38C998" w14:textId="77777777" w:rsidR="00663784" w:rsidRDefault="005A3D7D" w:rsidP="00663784">
      <w:pPr>
        <w:suppressLineNumbers/>
        <w:spacing w:line="240" w:lineRule="auto"/>
        <w:rPr>
          <w:b/>
          <w:bCs/>
          <w:lang w:val="en-US"/>
        </w:rPr>
      </w:pPr>
      <w:r>
        <w:rPr>
          <w:b/>
          <w:bCs/>
          <w:lang w:val="en-US"/>
        </w:rPr>
        <w:t>Instructions for use</w:t>
      </w:r>
    </w:p>
    <w:p w14:paraId="539A8C95" w14:textId="77777777" w:rsidR="00663784" w:rsidRPr="0050295E" w:rsidRDefault="00663784" w:rsidP="00663784">
      <w:pPr>
        <w:suppressLineNumbers/>
        <w:spacing w:line="240" w:lineRule="auto"/>
      </w:pPr>
    </w:p>
    <w:p w14:paraId="6B100B17" w14:textId="77777777" w:rsidR="00663784" w:rsidRPr="0050295E" w:rsidRDefault="005A3D7D" w:rsidP="00663784">
      <w:pPr>
        <w:suppressLineNumbers/>
        <w:spacing w:line="240" w:lineRule="auto"/>
        <w:rPr>
          <w:bCs/>
          <w:lang w:val="en-US"/>
        </w:rPr>
      </w:pPr>
      <w:r w:rsidRPr="0050295E">
        <w:t>Mix the entire content of a sachet with 5 mL of age-appropriate soft food or liquid that is at or below room temperature and consume it completely.</w:t>
      </w:r>
    </w:p>
    <w:p w14:paraId="61865ED3" w14:textId="77777777" w:rsidR="00663784" w:rsidRPr="0050295E" w:rsidRDefault="00663784" w:rsidP="00663784">
      <w:pPr>
        <w:suppressLineNumbers/>
        <w:spacing w:line="240" w:lineRule="auto"/>
        <w:rPr>
          <w:bCs/>
          <w:lang w:val="en-US"/>
        </w:rPr>
      </w:pPr>
    </w:p>
    <w:p w14:paraId="7AF0AD06" w14:textId="77777777" w:rsidR="00663784" w:rsidRPr="0050295E" w:rsidRDefault="005A3D7D" w:rsidP="00663784">
      <w:pPr>
        <w:suppressLineNumbers/>
        <w:spacing w:line="240" w:lineRule="auto"/>
      </w:pPr>
      <w:r w:rsidRPr="0050295E">
        <w:t xml:space="preserve">Use </w:t>
      </w:r>
      <w:r w:rsidRPr="0050295E">
        <w:t>within one hour after mixing, just before or after a fat</w:t>
      </w:r>
      <w:r w:rsidRPr="0050295E">
        <w:noBreakHyphen/>
        <w:t>containing meal or snack.</w:t>
      </w:r>
    </w:p>
    <w:p w14:paraId="7E2AC05A" w14:textId="77777777" w:rsidR="00663784" w:rsidRPr="0050295E" w:rsidRDefault="00663784" w:rsidP="00663784">
      <w:pPr>
        <w:suppressLineNumbers/>
        <w:spacing w:line="240" w:lineRule="auto"/>
      </w:pPr>
    </w:p>
    <w:p w14:paraId="49224298" w14:textId="77777777" w:rsidR="00663784" w:rsidRPr="0050295E" w:rsidRDefault="005A3D7D" w:rsidP="00663784">
      <w:pPr>
        <w:suppressLineNumbers/>
        <w:spacing w:line="240" w:lineRule="auto"/>
      </w:pPr>
      <w:r w:rsidRPr="0050295E">
        <w:t>Lift here to open</w:t>
      </w:r>
    </w:p>
    <w:p w14:paraId="42618B79" w14:textId="77777777" w:rsidR="00663784" w:rsidRPr="0050295E" w:rsidRDefault="00663784" w:rsidP="00663784">
      <w:pPr>
        <w:suppressLineNumbers/>
        <w:spacing w:line="240" w:lineRule="auto"/>
      </w:pPr>
    </w:p>
    <w:p w14:paraId="33307B06" w14:textId="77777777" w:rsidR="00663784" w:rsidRPr="0050295E" w:rsidRDefault="00663784" w:rsidP="00663784">
      <w:pPr>
        <w:suppressLineNumbers/>
        <w:spacing w:line="240" w:lineRule="auto"/>
      </w:pPr>
    </w:p>
    <w:p w14:paraId="65EC5564" w14:textId="77777777" w:rsidR="00663784" w:rsidRPr="0050295E" w:rsidRDefault="005A3D7D" w:rsidP="00663784">
      <w:pPr>
        <w:keepNext/>
        <w:suppressLineNumbers/>
        <w:pBdr>
          <w:top w:val="single" w:sz="4" w:space="1" w:color="auto"/>
          <w:left w:val="single" w:sz="4" w:space="4" w:color="auto"/>
          <w:bottom w:val="single" w:sz="4" w:space="1" w:color="auto"/>
          <w:right w:val="single" w:sz="4" w:space="4" w:color="auto"/>
        </w:pBdr>
        <w:spacing w:line="240" w:lineRule="auto"/>
        <w:ind w:left="562" w:hanging="562"/>
        <w:outlineLvl w:val="1"/>
      </w:pPr>
      <w:r w:rsidRPr="0050295E">
        <w:rPr>
          <w:b/>
          <w:bCs/>
        </w:rPr>
        <w:t>6.</w:t>
      </w:r>
      <w:r w:rsidRPr="0050295E">
        <w:rPr>
          <w:b/>
          <w:bCs/>
        </w:rPr>
        <w:tab/>
        <w:t>SPECIAL WARNING THAT THE MEDICINAL PRODUCT MUST BE STORED OUT OF THE SIGHT AND REACH OF CHILDREN</w:t>
      </w:r>
    </w:p>
    <w:p w14:paraId="3694D0B8" w14:textId="77777777" w:rsidR="00663784" w:rsidRPr="0050295E" w:rsidRDefault="00663784" w:rsidP="00663784">
      <w:pPr>
        <w:keepNext/>
        <w:suppressLineNumbers/>
        <w:spacing w:line="240" w:lineRule="auto"/>
      </w:pPr>
    </w:p>
    <w:p w14:paraId="0617F232" w14:textId="77777777" w:rsidR="00663784" w:rsidRPr="0050295E" w:rsidRDefault="005A3D7D" w:rsidP="00663784">
      <w:pPr>
        <w:spacing w:line="240" w:lineRule="auto"/>
      </w:pPr>
      <w:r w:rsidRPr="0050295E">
        <w:t>Keep out of the sight and reach of children.</w:t>
      </w:r>
    </w:p>
    <w:p w14:paraId="5FB3295A" w14:textId="77777777" w:rsidR="00663784" w:rsidRPr="0050295E" w:rsidRDefault="00663784" w:rsidP="00663784">
      <w:pPr>
        <w:spacing w:line="240" w:lineRule="auto"/>
      </w:pPr>
    </w:p>
    <w:p w14:paraId="77463C95" w14:textId="77777777" w:rsidR="00663784" w:rsidRPr="0050295E" w:rsidRDefault="00663784" w:rsidP="00663784">
      <w:pPr>
        <w:spacing w:line="240" w:lineRule="auto"/>
      </w:pPr>
    </w:p>
    <w:p w14:paraId="5C8F06A1" w14:textId="77777777" w:rsidR="00663784" w:rsidRPr="0050295E"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7.</w:t>
      </w:r>
      <w:r w:rsidRPr="0050295E">
        <w:rPr>
          <w:b/>
          <w:bCs/>
        </w:rPr>
        <w:tab/>
      </w:r>
      <w:r w:rsidRPr="0050295E">
        <w:rPr>
          <w:b/>
          <w:bCs/>
        </w:rPr>
        <w:t>OTHER SPECIAL WARNING(S), IF NECESSARY</w:t>
      </w:r>
    </w:p>
    <w:p w14:paraId="75FE3AE8" w14:textId="77777777" w:rsidR="00663784" w:rsidRPr="0050295E" w:rsidRDefault="00663784" w:rsidP="00663784">
      <w:pPr>
        <w:suppressLineNumbers/>
        <w:spacing w:line="240" w:lineRule="auto"/>
      </w:pPr>
    </w:p>
    <w:p w14:paraId="3526D01E" w14:textId="77777777" w:rsidR="00663784" w:rsidRPr="0050295E" w:rsidRDefault="00663784" w:rsidP="00663784">
      <w:pPr>
        <w:suppressLineNumbers/>
        <w:tabs>
          <w:tab w:val="left" w:pos="749"/>
        </w:tabs>
        <w:spacing w:line="240" w:lineRule="auto"/>
      </w:pPr>
    </w:p>
    <w:p w14:paraId="2D0ACFDD" w14:textId="77777777" w:rsidR="00663784" w:rsidRPr="0050295E" w:rsidRDefault="005A3D7D" w:rsidP="00663784">
      <w:pPr>
        <w:keepNext/>
        <w:suppressLineNumbers/>
        <w:pBdr>
          <w:top w:val="single" w:sz="4" w:space="1" w:color="auto"/>
          <w:left w:val="single" w:sz="4" w:space="4" w:color="auto"/>
          <w:bottom w:val="single" w:sz="4" w:space="1" w:color="auto"/>
          <w:right w:val="single" w:sz="4" w:space="4" w:color="auto"/>
        </w:pBdr>
        <w:spacing w:line="240" w:lineRule="auto"/>
        <w:ind w:left="562" w:hanging="562"/>
        <w:outlineLvl w:val="1"/>
      </w:pPr>
      <w:r w:rsidRPr="0050295E">
        <w:rPr>
          <w:b/>
          <w:bCs/>
        </w:rPr>
        <w:t>8.</w:t>
      </w:r>
      <w:r w:rsidRPr="0050295E">
        <w:rPr>
          <w:b/>
          <w:bCs/>
        </w:rPr>
        <w:tab/>
        <w:t>EXPIRY DATE</w:t>
      </w:r>
    </w:p>
    <w:p w14:paraId="12D51745" w14:textId="77777777" w:rsidR="00663784" w:rsidRPr="0050295E" w:rsidRDefault="00663784" w:rsidP="00663784">
      <w:pPr>
        <w:keepNext/>
        <w:suppressLineNumbers/>
        <w:spacing w:line="240" w:lineRule="auto"/>
      </w:pPr>
    </w:p>
    <w:p w14:paraId="13EA7E92" w14:textId="77777777" w:rsidR="00663784" w:rsidRPr="0050295E" w:rsidRDefault="005A3D7D" w:rsidP="00663784">
      <w:pPr>
        <w:suppressLineNumbers/>
        <w:spacing w:line="240" w:lineRule="auto"/>
      </w:pPr>
      <w:r w:rsidRPr="0050295E">
        <w:t>EXP</w:t>
      </w:r>
    </w:p>
    <w:p w14:paraId="26066BFA" w14:textId="77777777" w:rsidR="00663784" w:rsidRPr="0050295E" w:rsidRDefault="00663784" w:rsidP="00663784">
      <w:pPr>
        <w:suppressLineNumbers/>
        <w:spacing w:line="240" w:lineRule="auto"/>
      </w:pPr>
    </w:p>
    <w:p w14:paraId="5F690D7E" w14:textId="77777777" w:rsidR="00663784" w:rsidRPr="0050295E" w:rsidRDefault="00663784" w:rsidP="00663784">
      <w:pPr>
        <w:suppressLineNumbers/>
        <w:spacing w:line="240" w:lineRule="auto"/>
      </w:pPr>
    </w:p>
    <w:p w14:paraId="5C37730A" w14:textId="77777777" w:rsidR="00663784" w:rsidRPr="0050295E" w:rsidRDefault="005A3D7D" w:rsidP="00663784">
      <w:pPr>
        <w:keepNext/>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50295E">
        <w:rPr>
          <w:b/>
          <w:bCs/>
        </w:rPr>
        <w:t>9.</w:t>
      </w:r>
      <w:r w:rsidRPr="0050295E">
        <w:rPr>
          <w:b/>
          <w:bCs/>
        </w:rPr>
        <w:tab/>
        <w:t>SPECIAL STORAGE CONDITIONS</w:t>
      </w:r>
    </w:p>
    <w:p w14:paraId="56451F6C" w14:textId="77777777" w:rsidR="00663784" w:rsidRPr="0050295E" w:rsidRDefault="00663784" w:rsidP="00663784">
      <w:pPr>
        <w:suppressLineNumbers/>
        <w:spacing w:line="240" w:lineRule="auto"/>
      </w:pPr>
    </w:p>
    <w:p w14:paraId="34D35571" w14:textId="77777777" w:rsidR="00663784" w:rsidRPr="0050295E" w:rsidRDefault="00663784" w:rsidP="00663784">
      <w:pPr>
        <w:spacing w:line="240" w:lineRule="auto"/>
      </w:pPr>
    </w:p>
    <w:p w14:paraId="2A819669" w14:textId="77777777" w:rsidR="00663784" w:rsidRPr="0050295E" w:rsidRDefault="005A3D7D"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50295E">
        <w:rPr>
          <w:b/>
          <w:bCs/>
        </w:rPr>
        <w:t>10.</w:t>
      </w:r>
      <w:r w:rsidRPr="0050295E">
        <w:rPr>
          <w:b/>
          <w:bCs/>
        </w:rPr>
        <w:tab/>
        <w:t>SPECIAL PRECAUTIONS FOR DISPOSAL OF UNUSED MEDICINAL PRODUCTS OR WASTE MATERIALS DERIVED FROM SUCH MEDICINAL PRODUCTS, IF APPROPRIATE</w:t>
      </w:r>
    </w:p>
    <w:p w14:paraId="48740320" w14:textId="77777777" w:rsidR="00663784" w:rsidRPr="0050295E" w:rsidRDefault="00663784" w:rsidP="00663784">
      <w:pPr>
        <w:spacing w:line="240" w:lineRule="auto"/>
        <w:rPr>
          <w:b/>
          <w:bCs/>
        </w:rPr>
      </w:pPr>
    </w:p>
    <w:p w14:paraId="25A8B952" w14:textId="77777777" w:rsidR="00663784" w:rsidRPr="0050295E" w:rsidRDefault="00663784" w:rsidP="00663784">
      <w:pPr>
        <w:spacing w:line="240" w:lineRule="auto"/>
        <w:rPr>
          <w:b/>
          <w:bCs/>
        </w:rPr>
      </w:pPr>
    </w:p>
    <w:p w14:paraId="54DA3855" w14:textId="77777777" w:rsidR="00663784" w:rsidRPr="0050295E" w:rsidRDefault="005A3D7D"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50295E">
        <w:rPr>
          <w:b/>
          <w:bCs/>
        </w:rPr>
        <w:t>11.</w:t>
      </w:r>
      <w:r w:rsidRPr="0050295E">
        <w:rPr>
          <w:b/>
          <w:bCs/>
        </w:rPr>
        <w:tab/>
        <w:t xml:space="preserve">NAME AND </w:t>
      </w:r>
      <w:r w:rsidRPr="0050295E">
        <w:rPr>
          <w:b/>
          <w:bCs/>
        </w:rPr>
        <w:t>ADDRESS OF THE MARKETING AUTHORISATION HOLDER</w:t>
      </w:r>
    </w:p>
    <w:p w14:paraId="52B001E6" w14:textId="77777777" w:rsidR="00663784" w:rsidRPr="0050295E" w:rsidRDefault="00663784" w:rsidP="00663784">
      <w:pPr>
        <w:suppressLineNumbers/>
        <w:spacing w:line="240" w:lineRule="auto"/>
      </w:pPr>
    </w:p>
    <w:p w14:paraId="4545B968" w14:textId="77777777" w:rsidR="00663784" w:rsidRPr="00420287" w:rsidRDefault="005A3D7D" w:rsidP="00663784">
      <w:pPr>
        <w:rPr>
          <w:iCs/>
        </w:rPr>
      </w:pPr>
      <w:r w:rsidRPr="00420287">
        <w:rPr>
          <w:iCs/>
        </w:rPr>
        <w:t>Vertex Pharmaceuticals (Ireland) Limited</w:t>
      </w:r>
    </w:p>
    <w:p w14:paraId="1EE6B75B" w14:textId="77777777" w:rsidR="00663784" w:rsidRPr="00420287" w:rsidRDefault="005A3D7D" w:rsidP="00663784">
      <w:pPr>
        <w:rPr>
          <w:iCs/>
        </w:rPr>
      </w:pPr>
      <w:r w:rsidRPr="00420287">
        <w:rPr>
          <w:iCs/>
        </w:rPr>
        <w:t>28-32 Pembroke Street Upper</w:t>
      </w:r>
    </w:p>
    <w:p w14:paraId="1414D91B" w14:textId="77777777" w:rsidR="00663784" w:rsidRPr="00420287" w:rsidRDefault="005A3D7D" w:rsidP="00663784">
      <w:pPr>
        <w:rPr>
          <w:iCs/>
        </w:rPr>
      </w:pPr>
      <w:r w:rsidRPr="00420287">
        <w:rPr>
          <w:iCs/>
        </w:rPr>
        <w:t>Dublin 2</w:t>
      </w:r>
      <w:r>
        <w:rPr>
          <w:iCs/>
        </w:rPr>
        <w:t xml:space="preserve">, </w:t>
      </w:r>
      <w:r w:rsidRPr="00420287">
        <w:rPr>
          <w:iCs/>
        </w:rPr>
        <w:t>D02 EK84</w:t>
      </w:r>
    </w:p>
    <w:p w14:paraId="7ED99960" w14:textId="77777777" w:rsidR="00663784" w:rsidRDefault="005A3D7D" w:rsidP="00663784">
      <w:pPr>
        <w:pStyle w:val="NormalIndent"/>
        <w:spacing w:after="0"/>
        <w:ind w:left="0"/>
        <w:rPr>
          <w:iCs/>
        </w:rPr>
      </w:pPr>
      <w:r w:rsidRPr="00420287">
        <w:rPr>
          <w:iCs/>
        </w:rPr>
        <w:t>Ireland</w:t>
      </w:r>
    </w:p>
    <w:p w14:paraId="7CDDFD65" w14:textId="77777777" w:rsidR="00663784" w:rsidRPr="0050295E" w:rsidRDefault="00663784" w:rsidP="00663784">
      <w:pPr>
        <w:pStyle w:val="NormalIndent"/>
        <w:spacing w:after="0"/>
        <w:ind w:left="0"/>
        <w:rPr>
          <w:lang w:val="en-US"/>
        </w:rPr>
      </w:pPr>
    </w:p>
    <w:p w14:paraId="6B4EFFE7" w14:textId="77777777" w:rsidR="00663784" w:rsidRPr="0050295E" w:rsidRDefault="00663784" w:rsidP="00663784">
      <w:pPr>
        <w:pStyle w:val="NormalIndent"/>
        <w:spacing w:after="0"/>
        <w:ind w:left="0"/>
        <w:rPr>
          <w:lang w:val="en-US"/>
        </w:rPr>
      </w:pPr>
    </w:p>
    <w:p w14:paraId="50BC36A1" w14:textId="77777777" w:rsidR="00663784" w:rsidRPr="0050295E" w:rsidRDefault="005A3D7D" w:rsidP="00663784">
      <w:pPr>
        <w:suppressLineNumbers/>
        <w:pBdr>
          <w:top w:val="single" w:sz="4" w:space="1" w:color="auto"/>
          <w:left w:val="single" w:sz="4" w:space="4" w:color="auto"/>
          <w:bottom w:val="single" w:sz="4" w:space="1" w:color="auto"/>
          <w:right w:val="single" w:sz="4" w:space="4" w:color="auto"/>
        </w:pBdr>
        <w:spacing w:line="240" w:lineRule="auto"/>
        <w:outlineLvl w:val="1"/>
      </w:pPr>
      <w:r w:rsidRPr="0050295E">
        <w:rPr>
          <w:b/>
          <w:bCs/>
        </w:rPr>
        <w:t>12.</w:t>
      </w:r>
      <w:r w:rsidRPr="0050295E">
        <w:rPr>
          <w:b/>
          <w:bCs/>
        </w:rPr>
        <w:tab/>
        <w:t xml:space="preserve">MARKETING AUTHORISATION NUMBER(S) </w:t>
      </w:r>
    </w:p>
    <w:p w14:paraId="5F88A61D" w14:textId="77777777" w:rsidR="00663784" w:rsidRPr="0050295E" w:rsidRDefault="00663784" w:rsidP="00663784">
      <w:pPr>
        <w:suppressLineNumbers/>
        <w:spacing w:line="240" w:lineRule="auto"/>
      </w:pPr>
    </w:p>
    <w:p w14:paraId="18598865" w14:textId="77777777" w:rsidR="00663784" w:rsidRPr="0050295E" w:rsidRDefault="005A3D7D" w:rsidP="00663784">
      <w:pPr>
        <w:suppressLineNumbers/>
        <w:spacing w:line="240" w:lineRule="auto"/>
      </w:pPr>
      <w:r w:rsidRPr="0050295E">
        <w:t>EU/1/12/782/003</w:t>
      </w:r>
    </w:p>
    <w:p w14:paraId="3DD246B6" w14:textId="77777777" w:rsidR="00663784" w:rsidRPr="0050295E" w:rsidRDefault="00663784" w:rsidP="00663784">
      <w:pPr>
        <w:suppressLineNumbers/>
        <w:spacing w:line="240" w:lineRule="auto"/>
      </w:pPr>
    </w:p>
    <w:p w14:paraId="46EF7A8D" w14:textId="77777777" w:rsidR="00663784" w:rsidRPr="0050295E" w:rsidRDefault="00663784" w:rsidP="00663784">
      <w:pPr>
        <w:suppressLineNumbers/>
        <w:spacing w:line="240" w:lineRule="auto"/>
      </w:pPr>
    </w:p>
    <w:p w14:paraId="6C3D432B" w14:textId="77777777" w:rsidR="00663784" w:rsidRPr="0050295E" w:rsidRDefault="005A3D7D" w:rsidP="00663784">
      <w:pPr>
        <w:suppressLineNumbers/>
        <w:pBdr>
          <w:top w:val="single" w:sz="4" w:space="1" w:color="auto"/>
          <w:left w:val="single" w:sz="4" w:space="4" w:color="auto"/>
          <w:bottom w:val="single" w:sz="4" w:space="1" w:color="auto"/>
          <w:right w:val="single" w:sz="4" w:space="4" w:color="auto"/>
        </w:pBdr>
        <w:spacing w:line="240" w:lineRule="auto"/>
        <w:outlineLvl w:val="1"/>
      </w:pPr>
      <w:r w:rsidRPr="0050295E">
        <w:rPr>
          <w:b/>
          <w:bCs/>
        </w:rPr>
        <w:t>13.</w:t>
      </w:r>
      <w:r w:rsidRPr="0050295E">
        <w:rPr>
          <w:b/>
          <w:bCs/>
        </w:rPr>
        <w:tab/>
        <w:t>BATCH NUMBER</w:t>
      </w:r>
    </w:p>
    <w:p w14:paraId="0546C18F" w14:textId="77777777" w:rsidR="00663784" w:rsidRPr="0050295E" w:rsidRDefault="00663784" w:rsidP="00663784">
      <w:pPr>
        <w:suppressLineNumbers/>
        <w:spacing w:line="240" w:lineRule="auto"/>
        <w:rPr>
          <w:iCs/>
        </w:rPr>
      </w:pPr>
    </w:p>
    <w:p w14:paraId="067C4506" w14:textId="77777777" w:rsidR="00663784" w:rsidRPr="0050295E" w:rsidRDefault="005A3D7D" w:rsidP="00663784">
      <w:pPr>
        <w:suppressLineNumbers/>
        <w:spacing w:line="240" w:lineRule="auto"/>
      </w:pPr>
      <w:r w:rsidRPr="0050295E">
        <w:t>Lot</w:t>
      </w:r>
    </w:p>
    <w:p w14:paraId="6870A1E3" w14:textId="77777777" w:rsidR="00663784" w:rsidRPr="0050295E" w:rsidRDefault="00663784" w:rsidP="00663784">
      <w:pPr>
        <w:suppressLineNumbers/>
        <w:spacing w:line="240" w:lineRule="auto"/>
      </w:pPr>
    </w:p>
    <w:p w14:paraId="43FF6FD6" w14:textId="77777777" w:rsidR="00663784" w:rsidRPr="0050295E" w:rsidRDefault="00663784" w:rsidP="00663784">
      <w:pPr>
        <w:suppressLineNumbers/>
        <w:spacing w:line="240" w:lineRule="auto"/>
      </w:pPr>
    </w:p>
    <w:p w14:paraId="39722D93" w14:textId="77777777" w:rsidR="00663784" w:rsidRPr="0050295E" w:rsidRDefault="005A3D7D" w:rsidP="00663784">
      <w:pPr>
        <w:suppressLineNumbers/>
        <w:pBdr>
          <w:top w:val="single" w:sz="4" w:space="1" w:color="auto"/>
          <w:left w:val="single" w:sz="4" w:space="4" w:color="auto"/>
          <w:bottom w:val="single" w:sz="4" w:space="1" w:color="auto"/>
          <w:right w:val="single" w:sz="4" w:space="4" w:color="auto"/>
        </w:pBdr>
        <w:spacing w:line="240" w:lineRule="auto"/>
        <w:outlineLvl w:val="1"/>
      </w:pPr>
      <w:r w:rsidRPr="0050295E">
        <w:rPr>
          <w:b/>
          <w:bCs/>
        </w:rPr>
        <w:t>14.</w:t>
      </w:r>
      <w:r w:rsidRPr="0050295E">
        <w:rPr>
          <w:b/>
          <w:bCs/>
        </w:rPr>
        <w:tab/>
        <w:t xml:space="preserve">GENERAL </w:t>
      </w:r>
      <w:r w:rsidRPr="0050295E">
        <w:rPr>
          <w:b/>
          <w:bCs/>
        </w:rPr>
        <w:t>CLASSIFICATION FOR SUPPLY</w:t>
      </w:r>
    </w:p>
    <w:p w14:paraId="6C4B2928" w14:textId="77777777" w:rsidR="00663784" w:rsidRPr="0050295E" w:rsidRDefault="00663784" w:rsidP="00663784">
      <w:pPr>
        <w:suppressLineNumbers/>
        <w:spacing w:line="240" w:lineRule="auto"/>
        <w:rPr>
          <w:lang w:val="en-US"/>
        </w:rPr>
      </w:pPr>
    </w:p>
    <w:p w14:paraId="1A76CBAF" w14:textId="77777777" w:rsidR="00663784" w:rsidRPr="0050295E" w:rsidRDefault="00663784" w:rsidP="00663784">
      <w:pPr>
        <w:suppressLineNumbers/>
        <w:spacing w:line="240" w:lineRule="auto"/>
        <w:rPr>
          <w:lang w:val="en-US"/>
        </w:rPr>
      </w:pPr>
    </w:p>
    <w:p w14:paraId="5A70BEA2" w14:textId="77777777" w:rsidR="00663784" w:rsidRPr="0050295E" w:rsidRDefault="005A3D7D" w:rsidP="00663784">
      <w:pPr>
        <w:suppressLineNumbers/>
        <w:pBdr>
          <w:top w:val="single" w:sz="4" w:space="2" w:color="auto"/>
          <w:left w:val="single" w:sz="4" w:space="4" w:color="auto"/>
          <w:bottom w:val="single" w:sz="4" w:space="1" w:color="auto"/>
          <w:right w:val="single" w:sz="4" w:space="4" w:color="auto"/>
        </w:pBdr>
        <w:spacing w:line="240" w:lineRule="auto"/>
        <w:outlineLvl w:val="1"/>
      </w:pPr>
      <w:r w:rsidRPr="0050295E">
        <w:rPr>
          <w:b/>
          <w:bCs/>
        </w:rPr>
        <w:t>15.</w:t>
      </w:r>
      <w:r w:rsidRPr="0050295E">
        <w:rPr>
          <w:b/>
          <w:bCs/>
        </w:rPr>
        <w:tab/>
        <w:t>INSTRUCTIONS ON USE</w:t>
      </w:r>
    </w:p>
    <w:p w14:paraId="324E2053" w14:textId="77777777" w:rsidR="00663784" w:rsidRPr="00145A29" w:rsidRDefault="00663784" w:rsidP="00663784">
      <w:pPr>
        <w:suppressLineNumbers/>
        <w:spacing w:line="240" w:lineRule="auto"/>
      </w:pPr>
    </w:p>
    <w:p w14:paraId="7A3AD0F6" w14:textId="77777777" w:rsidR="00663784" w:rsidRPr="00252F51" w:rsidRDefault="00663784" w:rsidP="00663784">
      <w:pPr>
        <w:suppressLineNumbers/>
        <w:spacing w:line="240" w:lineRule="auto"/>
        <w:rPr>
          <w:sz w:val="20"/>
          <w:szCs w:val="20"/>
        </w:rPr>
      </w:pPr>
    </w:p>
    <w:p w14:paraId="3D6F7224" w14:textId="77777777" w:rsidR="00663784" w:rsidRPr="0050295E" w:rsidRDefault="005A3D7D" w:rsidP="00663784">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50295E">
        <w:rPr>
          <w:bCs w:val="0"/>
          <w:sz w:val="22"/>
          <w:szCs w:val="22"/>
        </w:rPr>
        <w:t>16.</w:t>
      </w:r>
      <w:r w:rsidRPr="0050295E">
        <w:rPr>
          <w:bCs w:val="0"/>
          <w:sz w:val="22"/>
          <w:szCs w:val="22"/>
        </w:rPr>
        <w:tab/>
        <w:t>INFORMATION IN BRAILLE</w:t>
      </w:r>
    </w:p>
    <w:p w14:paraId="777AA3D2" w14:textId="77777777" w:rsidR="00663784" w:rsidRPr="0050295E" w:rsidRDefault="00663784" w:rsidP="00663784">
      <w:pPr>
        <w:suppressLineNumbers/>
        <w:spacing w:line="240" w:lineRule="auto"/>
        <w:rPr>
          <w:shd w:val="clear" w:color="auto" w:fill="CCCCCC"/>
        </w:rPr>
      </w:pPr>
    </w:p>
    <w:p w14:paraId="36EB99D7" w14:textId="77777777" w:rsidR="00663784" w:rsidRPr="0050295E" w:rsidRDefault="005A3D7D" w:rsidP="00663784">
      <w:pPr>
        <w:spacing w:line="240" w:lineRule="auto"/>
      </w:pPr>
      <w:r w:rsidRPr="0050295E">
        <w:t>Kalydeco 50 mg granules</w:t>
      </w:r>
    </w:p>
    <w:p w14:paraId="07798BF9" w14:textId="77777777" w:rsidR="00663784" w:rsidRPr="0050295E" w:rsidRDefault="00663784" w:rsidP="00663784">
      <w:pPr>
        <w:spacing w:line="240" w:lineRule="auto"/>
      </w:pPr>
    </w:p>
    <w:p w14:paraId="5CFB9224" w14:textId="77777777" w:rsidR="00663784" w:rsidRPr="0050295E" w:rsidRDefault="00663784" w:rsidP="00663784">
      <w:pPr>
        <w:spacing w:line="240" w:lineRule="auto"/>
      </w:pPr>
    </w:p>
    <w:p w14:paraId="3A22623E" w14:textId="77777777" w:rsidR="00663784" w:rsidRPr="0050295E" w:rsidRDefault="005A3D7D" w:rsidP="00663784">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50295E">
        <w:rPr>
          <w:bCs w:val="0"/>
          <w:sz w:val="22"/>
          <w:szCs w:val="22"/>
        </w:rPr>
        <w:t>17.</w:t>
      </w:r>
      <w:r w:rsidRPr="0050295E">
        <w:rPr>
          <w:bCs w:val="0"/>
          <w:sz w:val="22"/>
          <w:szCs w:val="22"/>
        </w:rPr>
        <w:tab/>
        <w:t>UNIQUE IDENTIFIER – 2D BARCODE</w:t>
      </w:r>
    </w:p>
    <w:p w14:paraId="541FC554" w14:textId="77777777" w:rsidR="00663784" w:rsidRPr="0050295E" w:rsidRDefault="00663784" w:rsidP="00663784">
      <w:pPr>
        <w:suppressLineNumbers/>
        <w:spacing w:line="240" w:lineRule="auto"/>
        <w:rPr>
          <w:bCs/>
          <w:lang w:val="en-US"/>
        </w:rPr>
      </w:pPr>
    </w:p>
    <w:p w14:paraId="61E21B6E" w14:textId="77777777" w:rsidR="00663784" w:rsidRPr="0050295E" w:rsidRDefault="005A3D7D" w:rsidP="00663784">
      <w:pPr>
        <w:tabs>
          <w:tab w:val="clear" w:pos="567"/>
        </w:tabs>
        <w:autoSpaceDE w:val="0"/>
        <w:autoSpaceDN w:val="0"/>
        <w:adjustRightInd w:val="0"/>
        <w:spacing w:line="240" w:lineRule="auto"/>
        <w:rPr>
          <w:rFonts w:eastAsia="TimesNewRomanPSMT"/>
          <w:lang w:val="en-US" w:eastAsia="de-DE"/>
        </w:rPr>
      </w:pPr>
      <w:r w:rsidRPr="0050295E">
        <w:rPr>
          <w:rFonts w:eastAsia="TimesNewRomanPSMT"/>
          <w:highlight w:val="lightGray"/>
          <w:lang w:val="en-US" w:eastAsia="de-DE"/>
        </w:rPr>
        <w:t>2D barcode carrying the unique identifier included.</w:t>
      </w:r>
    </w:p>
    <w:p w14:paraId="3A4324BA" w14:textId="77777777" w:rsidR="00663784" w:rsidRPr="0050295E" w:rsidRDefault="00663784" w:rsidP="00663784">
      <w:pPr>
        <w:spacing w:line="240" w:lineRule="auto"/>
        <w:rPr>
          <w:lang w:val="en-US"/>
        </w:rPr>
      </w:pPr>
    </w:p>
    <w:p w14:paraId="3CE4BE46" w14:textId="77777777" w:rsidR="00663784" w:rsidRPr="0050295E" w:rsidRDefault="00663784" w:rsidP="00663784">
      <w:pPr>
        <w:spacing w:line="240" w:lineRule="auto"/>
        <w:rPr>
          <w:lang w:val="en-US"/>
        </w:rPr>
      </w:pPr>
    </w:p>
    <w:p w14:paraId="2E6460F1" w14:textId="77777777" w:rsidR="00663784" w:rsidRPr="0050295E" w:rsidRDefault="005A3D7D" w:rsidP="00663784">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50295E">
        <w:rPr>
          <w:bCs w:val="0"/>
          <w:sz w:val="22"/>
          <w:szCs w:val="22"/>
        </w:rPr>
        <w:t>18.</w:t>
      </w:r>
      <w:r w:rsidRPr="0050295E">
        <w:rPr>
          <w:bCs w:val="0"/>
          <w:sz w:val="22"/>
          <w:szCs w:val="22"/>
        </w:rPr>
        <w:tab/>
        <w:t>UNIQUE IDENTIFIER – HUMAN READABLE DATA</w:t>
      </w:r>
    </w:p>
    <w:p w14:paraId="5BE7CB66" w14:textId="77777777" w:rsidR="00663784" w:rsidRPr="0050295E" w:rsidRDefault="00663784" w:rsidP="00663784">
      <w:pPr>
        <w:suppressLineNumbers/>
        <w:spacing w:line="240" w:lineRule="auto"/>
        <w:rPr>
          <w:bCs/>
          <w:lang w:val="en-US"/>
        </w:rPr>
      </w:pPr>
    </w:p>
    <w:p w14:paraId="6672FDB1" w14:textId="77777777" w:rsidR="00663784" w:rsidRPr="0050295E" w:rsidRDefault="005A3D7D" w:rsidP="00663784">
      <w:pPr>
        <w:tabs>
          <w:tab w:val="clear" w:pos="567"/>
        </w:tabs>
        <w:autoSpaceDE w:val="0"/>
        <w:autoSpaceDN w:val="0"/>
        <w:adjustRightInd w:val="0"/>
        <w:spacing w:line="240" w:lineRule="auto"/>
        <w:rPr>
          <w:rFonts w:eastAsia="TimesNewRomanPSMT"/>
          <w:lang w:val="en-US" w:eastAsia="de-DE"/>
        </w:rPr>
      </w:pPr>
      <w:r w:rsidRPr="0050295E">
        <w:rPr>
          <w:rFonts w:eastAsia="TimesNewRomanPSMT"/>
          <w:lang w:val="en-US" w:eastAsia="de-DE"/>
        </w:rPr>
        <w:t>PC</w:t>
      </w:r>
    </w:p>
    <w:p w14:paraId="647B4FE2" w14:textId="77777777" w:rsidR="00663784" w:rsidRPr="0050295E" w:rsidRDefault="005A3D7D" w:rsidP="00663784">
      <w:pPr>
        <w:tabs>
          <w:tab w:val="clear" w:pos="567"/>
        </w:tabs>
        <w:autoSpaceDE w:val="0"/>
        <w:autoSpaceDN w:val="0"/>
        <w:adjustRightInd w:val="0"/>
        <w:spacing w:line="240" w:lineRule="auto"/>
        <w:rPr>
          <w:rFonts w:eastAsia="TimesNewRomanPSMT"/>
          <w:lang w:val="en-US" w:eastAsia="de-DE"/>
        </w:rPr>
      </w:pPr>
      <w:r w:rsidRPr="0050295E">
        <w:rPr>
          <w:rFonts w:eastAsia="TimesNewRomanPSMT"/>
          <w:lang w:val="en-US" w:eastAsia="de-DE"/>
        </w:rPr>
        <w:t>SN</w:t>
      </w:r>
    </w:p>
    <w:p w14:paraId="69B4701C" w14:textId="77777777" w:rsidR="00663784" w:rsidRPr="0050295E" w:rsidRDefault="005A3D7D" w:rsidP="00663784">
      <w:pPr>
        <w:spacing w:line="240" w:lineRule="auto"/>
        <w:rPr>
          <w:lang w:val="en-US" w:eastAsia="de-DE"/>
        </w:rPr>
      </w:pPr>
      <w:r w:rsidRPr="0050295E">
        <w:rPr>
          <w:lang w:val="en-US" w:eastAsia="de-DE"/>
        </w:rPr>
        <w:t>NN</w:t>
      </w:r>
    </w:p>
    <w:p w14:paraId="4A3DC84D" w14:textId="77777777" w:rsidR="00663784" w:rsidRPr="00145A29" w:rsidRDefault="005A3D7D" w:rsidP="00663784">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5B2226">
        <w:rPr>
          <w:rFonts w:ascii="Times New Roman" w:hAnsi="Times New Roman" w:cs="Times New Roman"/>
          <w:bCs w:val="0"/>
          <w:sz w:val="22"/>
          <w:szCs w:val="22"/>
          <w:lang w:val="en-US"/>
        </w:rPr>
        <w:br w:type="page"/>
      </w:r>
      <w:r w:rsidRPr="00145A29">
        <w:rPr>
          <w:rFonts w:ascii="Times New Roman" w:hAnsi="Times New Roman" w:cs="Times New Roman"/>
          <w:sz w:val="22"/>
          <w:szCs w:val="22"/>
        </w:rPr>
        <w:t>PARTICULARS TO APPEAR ON THE INTERMEDIATE PACKAGING</w:t>
      </w:r>
    </w:p>
    <w:p w14:paraId="3F39FB8D" w14:textId="77777777" w:rsidR="00663784" w:rsidRPr="00145A29"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14:paraId="2E74384D" w14:textId="77777777" w:rsidR="00663784" w:rsidRPr="00145A29" w:rsidRDefault="005A3D7D" w:rsidP="00663784">
      <w:pPr>
        <w:pBdr>
          <w:top w:val="single" w:sz="4" w:space="1" w:color="auto"/>
          <w:left w:val="single" w:sz="4" w:space="4" w:color="auto"/>
          <w:bottom w:val="single" w:sz="4" w:space="1" w:color="auto"/>
          <w:right w:val="single" w:sz="4" w:space="4" w:color="auto"/>
        </w:pBdr>
        <w:spacing w:line="240" w:lineRule="auto"/>
      </w:pPr>
      <w:r w:rsidRPr="00145A29">
        <w:rPr>
          <w:b/>
          <w:bCs/>
          <w:caps/>
        </w:rPr>
        <w:t>WALLET</w:t>
      </w:r>
      <w:r w:rsidRPr="00145A29">
        <w:rPr>
          <w:b/>
          <w:bCs/>
        </w:rPr>
        <w:t xml:space="preserve"> FOR SACHET</w:t>
      </w:r>
    </w:p>
    <w:p w14:paraId="3BA0A0EA" w14:textId="77777777" w:rsidR="00663784" w:rsidRPr="00145A29" w:rsidRDefault="00663784" w:rsidP="00663784">
      <w:pPr>
        <w:suppressLineNumbers/>
        <w:spacing w:line="240" w:lineRule="auto"/>
      </w:pPr>
    </w:p>
    <w:p w14:paraId="1C49FAAA" w14:textId="77777777" w:rsidR="00663784" w:rsidRPr="00145A29" w:rsidRDefault="00663784" w:rsidP="00663784">
      <w:pPr>
        <w:suppressLineNumbers/>
        <w:tabs>
          <w:tab w:val="clear" w:pos="567"/>
        </w:tabs>
        <w:spacing w:line="240" w:lineRule="auto"/>
        <w:ind w:left="720" w:hanging="720"/>
      </w:pPr>
    </w:p>
    <w:p w14:paraId="5D221470" w14:textId="77777777" w:rsidR="00663784" w:rsidRPr="00145A29"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1.</w:t>
      </w:r>
      <w:r w:rsidRPr="00145A29">
        <w:rPr>
          <w:b/>
          <w:bCs/>
        </w:rPr>
        <w:tab/>
        <w:t>NAME OF THE MEDICINAL PRODUCT</w:t>
      </w:r>
    </w:p>
    <w:p w14:paraId="7F76EDDE" w14:textId="77777777" w:rsidR="00663784" w:rsidRPr="00145A29" w:rsidRDefault="00663784" w:rsidP="00663784">
      <w:pPr>
        <w:suppressLineNumbers/>
        <w:tabs>
          <w:tab w:val="clear" w:pos="567"/>
        </w:tabs>
        <w:spacing w:line="240" w:lineRule="auto"/>
        <w:ind w:left="720" w:hanging="720"/>
      </w:pPr>
    </w:p>
    <w:p w14:paraId="10904E0B" w14:textId="77777777" w:rsidR="00663784" w:rsidRPr="00145A29" w:rsidRDefault="005A3D7D" w:rsidP="00663784">
      <w:pPr>
        <w:tabs>
          <w:tab w:val="clear" w:pos="567"/>
        </w:tabs>
        <w:spacing w:line="240" w:lineRule="auto"/>
        <w:ind w:left="720" w:hanging="720"/>
      </w:pPr>
      <w:r w:rsidRPr="00145A29">
        <w:t>Kalydeco 50 mg granules in sachet</w:t>
      </w:r>
    </w:p>
    <w:p w14:paraId="0B0EC129" w14:textId="77777777" w:rsidR="00663784" w:rsidRPr="00145A29" w:rsidRDefault="005A3D7D" w:rsidP="00663784">
      <w:pPr>
        <w:tabs>
          <w:tab w:val="clear" w:pos="567"/>
        </w:tabs>
        <w:spacing w:line="240" w:lineRule="auto"/>
        <w:ind w:left="720" w:hanging="720"/>
        <w:rPr>
          <w:i/>
          <w:iCs/>
        </w:rPr>
      </w:pPr>
      <w:r w:rsidRPr="00145A29">
        <w:t>ivacaftor</w:t>
      </w:r>
    </w:p>
    <w:p w14:paraId="5014E81B" w14:textId="77777777" w:rsidR="00663784" w:rsidRPr="00145A29" w:rsidRDefault="00663784" w:rsidP="00663784">
      <w:pPr>
        <w:suppressLineNumbers/>
        <w:tabs>
          <w:tab w:val="clear" w:pos="567"/>
        </w:tabs>
        <w:spacing w:line="240" w:lineRule="auto"/>
        <w:ind w:left="720" w:hanging="720"/>
      </w:pPr>
    </w:p>
    <w:p w14:paraId="4D194613" w14:textId="77777777" w:rsidR="00663784" w:rsidRPr="00145A29" w:rsidRDefault="00663784" w:rsidP="00663784">
      <w:pPr>
        <w:suppressLineNumbers/>
        <w:tabs>
          <w:tab w:val="clear" w:pos="567"/>
        </w:tabs>
        <w:spacing w:line="240" w:lineRule="auto"/>
        <w:ind w:left="720" w:hanging="720"/>
      </w:pPr>
    </w:p>
    <w:p w14:paraId="5DA220D1" w14:textId="77777777" w:rsidR="00663784" w:rsidRPr="00145A29"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145A29">
        <w:rPr>
          <w:b/>
          <w:bCs/>
        </w:rPr>
        <w:t>2.</w:t>
      </w:r>
      <w:r w:rsidRPr="00145A29">
        <w:rPr>
          <w:b/>
          <w:bCs/>
        </w:rPr>
        <w:tab/>
        <w:t>STATEMENT OF ACTIVE SUBSTANCE</w:t>
      </w:r>
    </w:p>
    <w:p w14:paraId="2FD1CA91" w14:textId="77777777" w:rsidR="00663784" w:rsidRPr="00145A29" w:rsidRDefault="00663784" w:rsidP="00663784">
      <w:pPr>
        <w:suppressLineNumbers/>
        <w:tabs>
          <w:tab w:val="clear" w:pos="567"/>
        </w:tabs>
        <w:spacing w:line="240" w:lineRule="auto"/>
        <w:ind w:left="720" w:hanging="720"/>
        <w:rPr>
          <w:i/>
          <w:iCs/>
        </w:rPr>
      </w:pPr>
    </w:p>
    <w:p w14:paraId="1E54F1F2" w14:textId="77777777" w:rsidR="00663784" w:rsidRPr="00145A29" w:rsidRDefault="005A3D7D" w:rsidP="00663784">
      <w:pPr>
        <w:widowControl w:val="0"/>
        <w:tabs>
          <w:tab w:val="clear" w:pos="567"/>
        </w:tabs>
        <w:spacing w:line="240" w:lineRule="auto"/>
        <w:ind w:left="720" w:hanging="720"/>
      </w:pPr>
      <w:r w:rsidRPr="00145A29">
        <w:t>Each sachet of granules contains 50 mg of ivacaftor.</w:t>
      </w:r>
    </w:p>
    <w:p w14:paraId="3BD29F84" w14:textId="77777777" w:rsidR="00663784" w:rsidRPr="00145A29" w:rsidRDefault="00663784" w:rsidP="00663784">
      <w:pPr>
        <w:suppressLineNumbers/>
        <w:tabs>
          <w:tab w:val="clear" w:pos="567"/>
        </w:tabs>
        <w:spacing w:line="240" w:lineRule="auto"/>
        <w:ind w:left="720" w:hanging="720"/>
      </w:pPr>
    </w:p>
    <w:p w14:paraId="1A3E5330" w14:textId="77777777" w:rsidR="00663784" w:rsidRPr="00145A29" w:rsidRDefault="00663784" w:rsidP="00663784">
      <w:pPr>
        <w:suppressLineNumbers/>
        <w:tabs>
          <w:tab w:val="clear" w:pos="567"/>
        </w:tabs>
        <w:spacing w:line="240" w:lineRule="auto"/>
        <w:ind w:left="720" w:hanging="720"/>
      </w:pPr>
    </w:p>
    <w:p w14:paraId="640A0FCF" w14:textId="77777777" w:rsidR="00663784" w:rsidRPr="00145A29"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3.</w:t>
      </w:r>
      <w:r w:rsidRPr="00145A29">
        <w:rPr>
          <w:b/>
          <w:bCs/>
        </w:rPr>
        <w:tab/>
        <w:t xml:space="preserve">LIST OF </w:t>
      </w:r>
      <w:r w:rsidRPr="00145A29">
        <w:rPr>
          <w:b/>
          <w:bCs/>
        </w:rPr>
        <w:t>EXCIPIENTS</w:t>
      </w:r>
    </w:p>
    <w:p w14:paraId="710D5AF4" w14:textId="77777777" w:rsidR="00663784" w:rsidRPr="00145A29" w:rsidRDefault="00663784" w:rsidP="00663784">
      <w:pPr>
        <w:suppressLineNumbers/>
        <w:tabs>
          <w:tab w:val="clear" w:pos="567"/>
        </w:tabs>
        <w:spacing w:line="240" w:lineRule="auto"/>
        <w:ind w:left="720" w:hanging="720"/>
      </w:pPr>
    </w:p>
    <w:p w14:paraId="28672BEB" w14:textId="77777777" w:rsidR="00663784" w:rsidRPr="00145A29" w:rsidRDefault="005A3D7D" w:rsidP="00663784">
      <w:pPr>
        <w:tabs>
          <w:tab w:val="clear" w:pos="567"/>
        </w:tabs>
        <w:spacing w:line="240" w:lineRule="auto"/>
        <w:ind w:left="720" w:hanging="720"/>
      </w:pPr>
      <w:r w:rsidRPr="00145A29">
        <w:t>Contains lactose.</w:t>
      </w:r>
    </w:p>
    <w:p w14:paraId="190C91CB" w14:textId="77777777" w:rsidR="00663784" w:rsidRPr="00145A29" w:rsidRDefault="00663784" w:rsidP="00663784">
      <w:pPr>
        <w:tabs>
          <w:tab w:val="clear" w:pos="567"/>
        </w:tabs>
        <w:spacing w:line="240" w:lineRule="auto"/>
        <w:ind w:left="720" w:hanging="720"/>
      </w:pPr>
    </w:p>
    <w:p w14:paraId="1241CDCC" w14:textId="77777777" w:rsidR="00663784" w:rsidRPr="00145A29" w:rsidRDefault="005A3D7D" w:rsidP="00663784">
      <w:pPr>
        <w:tabs>
          <w:tab w:val="clear" w:pos="567"/>
        </w:tabs>
        <w:spacing w:line="240" w:lineRule="auto"/>
        <w:ind w:left="720" w:hanging="720"/>
      </w:pPr>
      <w:r w:rsidRPr="00145A29">
        <w:rPr>
          <w:highlight w:val="lightGray"/>
        </w:rPr>
        <w:t>See leaflet for further information.</w:t>
      </w:r>
    </w:p>
    <w:p w14:paraId="0180D5AB" w14:textId="77777777" w:rsidR="00663784" w:rsidRPr="00145A29" w:rsidRDefault="00663784" w:rsidP="00663784">
      <w:pPr>
        <w:suppressLineNumbers/>
        <w:tabs>
          <w:tab w:val="clear" w:pos="567"/>
        </w:tabs>
        <w:spacing w:line="240" w:lineRule="auto"/>
        <w:ind w:left="720" w:hanging="720"/>
      </w:pPr>
    </w:p>
    <w:p w14:paraId="4691AA55" w14:textId="77777777" w:rsidR="00663784" w:rsidRPr="00145A29" w:rsidRDefault="00663784" w:rsidP="00663784">
      <w:pPr>
        <w:suppressLineNumbers/>
        <w:tabs>
          <w:tab w:val="clear" w:pos="567"/>
        </w:tabs>
        <w:spacing w:line="240" w:lineRule="auto"/>
        <w:ind w:left="720" w:hanging="720"/>
      </w:pPr>
    </w:p>
    <w:p w14:paraId="5D4054F9" w14:textId="77777777" w:rsidR="00663784" w:rsidRPr="00145A29"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4.</w:t>
      </w:r>
      <w:r w:rsidRPr="00145A29">
        <w:rPr>
          <w:b/>
          <w:bCs/>
        </w:rPr>
        <w:tab/>
        <w:t>PHARMACEUTICAL FORM AND CONTENTS</w:t>
      </w:r>
    </w:p>
    <w:p w14:paraId="0808AE73" w14:textId="77777777" w:rsidR="00663784" w:rsidRPr="00145A29" w:rsidRDefault="00663784" w:rsidP="00663784">
      <w:pPr>
        <w:suppressLineNumbers/>
        <w:tabs>
          <w:tab w:val="clear" w:pos="567"/>
        </w:tabs>
        <w:spacing w:line="240" w:lineRule="auto"/>
        <w:ind w:left="720" w:hanging="720"/>
      </w:pPr>
    </w:p>
    <w:p w14:paraId="50192B06" w14:textId="77777777" w:rsidR="00663784" w:rsidRPr="00145A29" w:rsidRDefault="005A3D7D" w:rsidP="00663784">
      <w:pPr>
        <w:tabs>
          <w:tab w:val="clear" w:pos="567"/>
        </w:tabs>
        <w:spacing w:line="240" w:lineRule="auto"/>
        <w:ind w:left="720" w:hanging="720"/>
        <w:rPr>
          <w:lang w:val="en-US"/>
        </w:rPr>
      </w:pPr>
      <w:r w:rsidRPr="00145A29">
        <w:rPr>
          <w:highlight w:val="lightGray"/>
          <w:lang w:val="en-US"/>
        </w:rPr>
        <w:t>Granules in sachet</w:t>
      </w:r>
    </w:p>
    <w:p w14:paraId="70945653" w14:textId="77777777" w:rsidR="00663784" w:rsidRPr="00145A29" w:rsidRDefault="00663784" w:rsidP="00663784">
      <w:pPr>
        <w:tabs>
          <w:tab w:val="clear" w:pos="567"/>
        </w:tabs>
        <w:spacing w:line="240" w:lineRule="auto"/>
        <w:ind w:left="720" w:hanging="720"/>
        <w:rPr>
          <w:lang w:val="en-US"/>
        </w:rPr>
      </w:pPr>
    </w:p>
    <w:p w14:paraId="05C0A37E" w14:textId="77777777" w:rsidR="00663784" w:rsidRPr="00145A29" w:rsidRDefault="005A3D7D" w:rsidP="00663784">
      <w:pPr>
        <w:tabs>
          <w:tab w:val="clear" w:pos="567"/>
        </w:tabs>
        <w:spacing w:line="240" w:lineRule="auto"/>
        <w:ind w:left="720" w:hanging="720"/>
      </w:pPr>
      <w:r w:rsidRPr="00145A29">
        <w:rPr>
          <w:lang w:val="en-US"/>
        </w:rPr>
        <w:t>14 sachets</w:t>
      </w:r>
    </w:p>
    <w:p w14:paraId="4A4CDDA2" w14:textId="77777777" w:rsidR="00663784" w:rsidRPr="00145A29" w:rsidRDefault="00663784" w:rsidP="00663784">
      <w:pPr>
        <w:suppressLineNumbers/>
        <w:tabs>
          <w:tab w:val="clear" w:pos="567"/>
        </w:tabs>
        <w:spacing w:line="240" w:lineRule="auto"/>
        <w:ind w:left="720" w:hanging="720"/>
      </w:pPr>
    </w:p>
    <w:p w14:paraId="01DF66EC" w14:textId="77777777" w:rsidR="00663784" w:rsidRPr="00145A29" w:rsidRDefault="00663784" w:rsidP="00663784">
      <w:pPr>
        <w:suppressLineNumbers/>
        <w:tabs>
          <w:tab w:val="clear" w:pos="567"/>
        </w:tabs>
        <w:spacing w:line="240" w:lineRule="auto"/>
        <w:ind w:left="720" w:hanging="720"/>
      </w:pPr>
    </w:p>
    <w:p w14:paraId="727C21C1" w14:textId="77777777" w:rsidR="00663784" w:rsidRPr="00145A29"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5.</w:t>
      </w:r>
      <w:r w:rsidRPr="00145A29">
        <w:rPr>
          <w:b/>
          <w:bCs/>
        </w:rPr>
        <w:tab/>
        <w:t>METHOD AND ROUTE(S) OF ADMINISTRATION</w:t>
      </w:r>
    </w:p>
    <w:p w14:paraId="1F27E7E6" w14:textId="77777777" w:rsidR="00663784" w:rsidRPr="00145A29" w:rsidRDefault="00663784" w:rsidP="00663784">
      <w:pPr>
        <w:suppressLineNumbers/>
        <w:tabs>
          <w:tab w:val="clear" w:pos="567"/>
        </w:tabs>
        <w:spacing w:line="240" w:lineRule="auto"/>
        <w:ind w:left="720" w:hanging="720"/>
      </w:pPr>
    </w:p>
    <w:p w14:paraId="58F813A2" w14:textId="77777777" w:rsidR="00663784" w:rsidRPr="00145A29" w:rsidRDefault="005A3D7D" w:rsidP="00663784">
      <w:pPr>
        <w:suppressLineNumbers/>
        <w:tabs>
          <w:tab w:val="clear" w:pos="567"/>
        </w:tabs>
        <w:spacing w:line="240" w:lineRule="auto"/>
        <w:ind w:left="720" w:hanging="720"/>
      </w:pPr>
      <w:r w:rsidRPr="00145A29">
        <w:t>Read the package leaflet before use.</w:t>
      </w:r>
    </w:p>
    <w:p w14:paraId="401606B8" w14:textId="77777777" w:rsidR="00663784" w:rsidRPr="00145A29" w:rsidRDefault="00663784" w:rsidP="00663784">
      <w:pPr>
        <w:suppressLineNumbers/>
        <w:tabs>
          <w:tab w:val="clear" w:pos="567"/>
        </w:tabs>
        <w:spacing w:line="240" w:lineRule="auto"/>
        <w:ind w:left="720" w:hanging="720"/>
      </w:pPr>
    </w:p>
    <w:p w14:paraId="280C84A8" w14:textId="77777777" w:rsidR="00663784" w:rsidRPr="00145A29" w:rsidRDefault="005A3D7D" w:rsidP="00663784">
      <w:pPr>
        <w:tabs>
          <w:tab w:val="clear" w:pos="567"/>
        </w:tabs>
        <w:spacing w:line="240" w:lineRule="auto"/>
        <w:ind w:left="720" w:hanging="720"/>
      </w:pPr>
      <w:r w:rsidRPr="00145A29">
        <w:rPr>
          <w:lang w:val="en-US"/>
        </w:rPr>
        <w:t>Oral use</w:t>
      </w:r>
    </w:p>
    <w:p w14:paraId="0349E346" w14:textId="77777777" w:rsidR="00663784" w:rsidRPr="00145A29" w:rsidRDefault="00663784" w:rsidP="00663784">
      <w:pPr>
        <w:tabs>
          <w:tab w:val="clear" w:pos="567"/>
        </w:tabs>
        <w:spacing w:line="240" w:lineRule="auto"/>
        <w:ind w:left="720" w:hanging="720"/>
      </w:pPr>
    </w:p>
    <w:p w14:paraId="44A0976C" w14:textId="77777777" w:rsidR="00663784" w:rsidRDefault="005A3D7D" w:rsidP="00663784">
      <w:pPr>
        <w:suppressLineNumbers/>
        <w:tabs>
          <w:tab w:val="clear" w:pos="567"/>
        </w:tabs>
        <w:spacing w:line="240" w:lineRule="auto"/>
        <w:rPr>
          <w:b/>
          <w:bCs/>
          <w:lang w:val="en-US"/>
        </w:rPr>
      </w:pPr>
      <w:r>
        <w:rPr>
          <w:b/>
          <w:bCs/>
          <w:lang w:val="en-US"/>
        </w:rPr>
        <w:t>Instructions for use</w:t>
      </w:r>
    </w:p>
    <w:p w14:paraId="5FDDDD68" w14:textId="77777777" w:rsidR="00663784" w:rsidRPr="00145A29" w:rsidRDefault="00663784" w:rsidP="00663784">
      <w:pPr>
        <w:suppressLineNumbers/>
        <w:tabs>
          <w:tab w:val="clear" w:pos="567"/>
        </w:tabs>
        <w:spacing w:line="240" w:lineRule="auto"/>
        <w:ind w:left="720" w:hanging="720"/>
      </w:pPr>
    </w:p>
    <w:p w14:paraId="5D83C116" w14:textId="77777777" w:rsidR="00663784" w:rsidRPr="00145A29" w:rsidRDefault="005A3D7D" w:rsidP="00663784">
      <w:pPr>
        <w:suppressLineNumbers/>
        <w:tabs>
          <w:tab w:val="clear" w:pos="567"/>
        </w:tabs>
        <w:spacing w:line="240" w:lineRule="auto"/>
      </w:pPr>
      <w:r w:rsidRPr="00145A29">
        <w:t xml:space="preserve">Mix the entire content of a sachet with 5 mL of age-appropriate soft food or liquid that is at or below room temperature and consume it completely. </w:t>
      </w:r>
    </w:p>
    <w:p w14:paraId="22934ED2" w14:textId="77777777" w:rsidR="00663784" w:rsidRPr="00145A29" w:rsidRDefault="00663784" w:rsidP="00663784">
      <w:pPr>
        <w:suppressLineNumbers/>
        <w:tabs>
          <w:tab w:val="clear" w:pos="567"/>
        </w:tabs>
        <w:spacing w:line="240" w:lineRule="auto"/>
        <w:ind w:left="720" w:hanging="720"/>
      </w:pPr>
    </w:p>
    <w:p w14:paraId="0843A25D" w14:textId="77777777" w:rsidR="00663784" w:rsidRPr="00145A29" w:rsidRDefault="005A3D7D" w:rsidP="00663784">
      <w:pPr>
        <w:suppressLineNumbers/>
        <w:tabs>
          <w:tab w:val="clear" w:pos="567"/>
        </w:tabs>
        <w:spacing w:line="240" w:lineRule="auto"/>
        <w:ind w:left="720" w:hanging="720"/>
      </w:pPr>
      <w:r w:rsidRPr="00145A29">
        <w:t>Use within one hour after mixing, just before or after a fat-containing meal or snack.</w:t>
      </w:r>
    </w:p>
    <w:p w14:paraId="25B8759F" w14:textId="77777777" w:rsidR="00663784" w:rsidRPr="00145A29" w:rsidRDefault="00663784" w:rsidP="00663784">
      <w:pPr>
        <w:suppressLineNumbers/>
        <w:tabs>
          <w:tab w:val="clear" w:pos="567"/>
        </w:tabs>
        <w:spacing w:line="240" w:lineRule="auto"/>
        <w:ind w:left="720" w:hanging="720"/>
      </w:pPr>
    </w:p>
    <w:p w14:paraId="30851234" w14:textId="77777777" w:rsidR="00663784" w:rsidRPr="00145A29" w:rsidRDefault="005A3D7D" w:rsidP="00663784">
      <w:pPr>
        <w:suppressLineNumbers/>
        <w:tabs>
          <w:tab w:val="clear" w:pos="567"/>
        </w:tabs>
        <w:spacing w:line="240" w:lineRule="auto"/>
        <w:ind w:left="720" w:hanging="720"/>
      </w:pPr>
      <w:r w:rsidRPr="00145A29">
        <w:t xml:space="preserve">Use all </w:t>
      </w:r>
      <w:r w:rsidRPr="00145A29">
        <w:t>7 days’ doses before starting a new wallet.</w:t>
      </w:r>
    </w:p>
    <w:p w14:paraId="7C182CA1" w14:textId="77777777" w:rsidR="00663784" w:rsidRPr="00145A29" w:rsidRDefault="00663784" w:rsidP="00663784">
      <w:pPr>
        <w:tabs>
          <w:tab w:val="clear" w:pos="567"/>
        </w:tabs>
        <w:ind w:left="720" w:hanging="720"/>
        <w:rPr>
          <w:bCs/>
        </w:rPr>
      </w:pPr>
    </w:p>
    <w:p w14:paraId="4675113A" w14:textId="77777777" w:rsidR="00663784" w:rsidRPr="00145A29" w:rsidRDefault="005A3D7D" w:rsidP="00663784">
      <w:pPr>
        <w:tabs>
          <w:tab w:val="clear" w:pos="567"/>
        </w:tabs>
        <w:ind w:left="720" w:hanging="720"/>
        <w:rPr>
          <w:bCs/>
        </w:rPr>
      </w:pPr>
      <w:r w:rsidRPr="00145A29">
        <w:rPr>
          <w:bCs/>
        </w:rPr>
        <w:t>Morning</w:t>
      </w:r>
    </w:p>
    <w:p w14:paraId="1422B7EA" w14:textId="77777777" w:rsidR="00663784" w:rsidRPr="00145A29" w:rsidRDefault="00663784" w:rsidP="00663784">
      <w:pPr>
        <w:tabs>
          <w:tab w:val="clear" w:pos="567"/>
        </w:tabs>
        <w:ind w:left="720" w:hanging="720"/>
        <w:rPr>
          <w:bCs/>
        </w:rPr>
      </w:pPr>
    </w:p>
    <w:p w14:paraId="12F63752" w14:textId="77777777" w:rsidR="00663784" w:rsidRPr="00145A29" w:rsidRDefault="005A3D7D" w:rsidP="00663784">
      <w:pPr>
        <w:tabs>
          <w:tab w:val="clear" w:pos="567"/>
        </w:tabs>
        <w:ind w:left="720" w:hanging="720"/>
        <w:rPr>
          <w:bCs/>
        </w:rPr>
      </w:pPr>
      <w:r w:rsidRPr="00145A29">
        <w:rPr>
          <w:bCs/>
        </w:rPr>
        <w:t>Evening</w:t>
      </w:r>
    </w:p>
    <w:p w14:paraId="0AB4F7D2" w14:textId="77777777" w:rsidR="00663784" w:rsidRPr="00145A29" w:rsidRDefault="00663784" w:rsidP="00663784">
      <w:pPr>
        <w:tabs>
          <w:tab w:val="clear" w:pos="567"/>
        </w:tabs>
        <w:ind w:left="720" w:hanging="720"/>
        <w:rPr>
          <w:bCs/>
        </w:rPr>
      </w:pPr>
    </w:p>
    <w:p w14:paraId="5B93DB26" w14:textId="77777777" w:rsidR="00663784" w:rsidRPr="00145A29" w:rsidRDefault="005A3D7D" w:rsidP="00663784">
      <w:pPr>
        <w:tabs>
          <w:tab w:val="clear" w:pos="567"/>
        </w:tabs>
        <w:ind w:left="720" w:hanging="720"/>
        <w:rPr>
          <w:bCs/>
        </w:rPr>
      </w:pPr>
      <w:r w:rsidRPr="00145A29">
        <w:rPr>
          <w:bCs/>
        </w:rPr>
        <w:t>Mon. Tue. Wed. Thu. Fri. Sat. Sun.</w:t>
      </w:r>
    </w:p>
    <w:p w14:paraId="524B32EB" w14:textId="77777777" w:rsidR="00663784" w:rsidRPr="00145A29" w:rsidRDefault="00663784" w:rsidP="00663784">
      <w:pPr>
        <w:tabs>
          <w:tab w:val="clear" w:pos="567"/>
        </w:tabs>
        <w:ind w:left="720" w:hanging="720"/>
      </w:pPr>
    </w:p>
    <w:p w14:paraId="29ED53B7" w14:textId="77777777" w:rsidR="00663784" w:rsidRPr="00145A29" w:rsidRDefault="00663784" w:rsidP="00663784">
      <w:pPr>
        <w:tabs>
          <w:tab w:val="clear" w:pos="567"/>
        </w:tabs>
        <w:ind w:left="720" w:hanging="720"/>
      </w:pPr>
    </w:p>
    <w:p w14:paraId="10B14E01" w14:textId="77777777" w:rsidR="00663784" w:rsidRPr="00145A29" w:rsidRDefault="005A3D7D"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6.</w:t>
      </w:r>
      <w:r w:rsidRPr="00145A29">
        <w:rPr>
          <w:b/>
          <w:bCs/>
        </w:rPr>
        <w:tab/>
        <w:t>SPECIAL WARNING THAT THE MEDICINAL PRODUCT MUST BE STORED OUT OF THE SIGHT AND REACH OF CHILDREN</w:t>
      </w:r>
    </w:p>
    <w:p w14:paraId="7D0A2A84" w14:textId="77777777" w:rsidR="00663784" w:rsidRPr="00145A29" w:rsidRDefault="00663784" w:rsidP="00663784">
      <w:pPr>
        <w:keepNext/>
        <w:suppressLineNumbers/>
        <w:tabs>
          <w:tab w:val="clear" w:pos="567"/>
        </w:tabs>
        <w:spacing w:line="240" w:lineRule="auto"/>
        <w:ind w:left="720" w:hanging="720"/>
      </w:pPr>
    </w:p>
    <w:p w14:paraId="0A0E05F7" w14:textId="77777777" w:rsidR="00663784" w:rsidRPr="00145A29" w:rsidRDefault="005A3D7D" w:rsidP="00663784">
      <w:pPr>
        <w:tabs>
          <w:tab w:val="clear" w:pos="567"/>
        </w:tabs>
        <w:ind w:left="720" w:hanging="720"/>
      </w:pPr>
      <w:r w:rsidRPr="00145A29">
        <w:t>Keep out of the sight and reach of children.</w:t>
      </w:r>
    </w:p>
    <w:p w14:paraId="57077985" w14:textId="77777777" w:rsidR="00663784" w:rsidRPr="00145A29" w:rsidRDefault="00663784" w:rsidP="00663784">
      <w:pPr>
        <w:suppressLineNumbers/>
        <w:tabs>
          <w:tab w:val="clear" w:pos="567"/>
        </w:tabs>
        <w:spacing w:line="240" w:lineRule="auto"/>
        <w:ind w:left="720" w:hanging="720"/>
      </w:pPr>
    </w:p>
    <w:p w14:paraId="54CDC446" w14:textId="77777777" w:rsidR="00663784" w:rsidRPr="00145A29" w:rsidRDefault="00663784" w:rsidP="00663784">
      <w:pPr>
        <w:suppressLineNumbers/>
        <w:tabs>
          <w:tab w:val="clear" w:pos="567"/>
        </w:tabs>
        <w:spacing w:line="240" w:lineRule="auto"/>
        <w:ind w:left="720" w:hanging="720"/>
      </w:pPr>
    </w:p>
    <w:p w14:paraId="74EF8CEA" w14:textId="77777777" w:rsidR="00663784" w:rsidRPr="00145A29"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7.</w:t>
      </w:r>
      <w:r w:rsidRPr="00145A29">
        <w:rPr>
          <w:b/>
          <w:bCs/>
        </w:rPr>
        <w:tab/>
      </w:r>
      <w:r w:rsidRPr="00145A29">
        <w:rPr>
          <w:b/>
          <w:bCs/>
        </w:rPr>
        <w:t>OTHER SPECIAL WARNING(S), IF NECESSARY</w:t>
      </w:r>
    </w:p>
    <w:p w14:paraId="24FDE4E5" w14:textId="77777777" w:rsidR="00663784" w:rsidRPr="00145A29" w:rsidRDefault="00663784" w:rsidP="00663784">
      <w:pPr>
        <w:suppressLineNumbers/>
        <w:tabs>
          <w:tab w:val="clear" w:pos="567"/>
        </w:tabs>
        <w:spacing w:line="240" w:lineRule="auto"/>
        <w:ind w:left="720" w:hanging="720"/>
      </w:pPr>
    </w:p>
    <w:p w14:paraId="3B42F0A5" w14:textId="77777777" w:rsidR="00663784" w:rsidRPr="00145A29" w:rsidRDefault="00663784" w:rsidP="00663784">
      <w:pPr>
        <w:suppressLineNumbers/>
        <w:tabs>
          <w:tab w:val="clear" w:pos="567"/>
          <w:tab w:val="left" w:pos="749"/>
        </w:tabs>
        <w:spacing w:line="240" w:lineRule="auto"/>
        <w:ind w:left="720" w:hanging="720"/>
      </w:pPr>
    </w:p>
    <w:p w14:paraId="1216C069" w14:textId="77777777" w:rsidR="00663784" w:rsidRPr="00145A29"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8.</w:t>
      </w:r>
      <w:r w:rsidRPr="00145A29">
        <w:rPr>
          <w:b/>
          <w:bCs/>
        </w:rPr>
        <w:tab/>
        <w:t>EXPIRY DATE</w:t>
      </w:r>
    </w:p>
    <w:p w14:paraId="0DE04727" w14:textId="77777777" w:rsidR="00663784" w:rsidRPr="00145A29" w:rsidRDefault="00663784" w:rsidP="00663784">
      <w:pPr>
        <w:suppressLineNumbers/>
        <w:tabs>
          <w:tab w:val="clear" w:pos="567"/>
        </w:tabs>
        <w:spacing w:line="240" w:lineRule="auto"/>
        <w:ind w:left="720" w:hanging="720"/>
      </w:pPr>
    </w:p>
    <w:p w14:paraId="70164FD3" w14:textId="77777777" w:rsidR="00663784" w:rsidRPr="00145A29" w:rsidRDefault="00663784" w:rsidP="00663784">
      <w:pPr>
        <w:suppressLineNumbers/>
        <w:tabs>
          <w:tab w:val="clear" w:pos="567"/>
        </w:tabs>
        <w:spacing w:line="240" w:lineRule="auto"/>
        <w:ind w:left="720" w:hanging="720"/>
      </w:pPr>
    </w:p>
    <w:p w14:paraId="23013562" w14:textId="77777777" w:rsidR="00663784" w:rsidRPr="00145A29" w:rsidRDefault="005A3D7D"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9.</w:t>
      </w:r>
      <w:r w:rsidRPr="00145A29">
        <w:rPr>
          <w:b/>
          <w:bCs/>
        </w:rPr>
        <w:tab/>
        <w:t>SPECIAL STORAGE CONDITIONS</w:t>
      </w:r>
    </w:p>
    <w:p w14:paraId="0069C174" w14:textId="77777777" w:rsidR="00663784" w:rsidRPr="00145A29" w:rsidRDefault="00663784" w:rsidP="00663784">
      <w:pPr>
        <w:tabs>
          <w:tab w:val="clear" w:pos="567"/>
        </w:tabs>
        <w:spacing w:line="240" w:lineRule="auto"/>
        <w:ind w:left="720" w:hanging="720"/>
      </w:pPr>
    </w:p>
    <w:p w14:paraId="742F323D" w14:textId="77777777" w:rsidR="00663784" w:rsidRPr="00145A29" w:rsidRDefault="00663784" w:rsidP="00663784">
      <w:pPr>
        <w:suppressLineNumbers/>
        <w:tabs>
          <w:tab w:val="clear" w:pos="567"/>
        </w:tabs>
        <w:spacing w:line="240" w:lineRule="auto"/>
        <w:ind w:left="720" w:hanging="720"/>
      </w:pPr>
    </w:p>
    <w:p w14:paraId="51A749B8" w14:textId="77777777" w:rsidR="00663784" w:rsidRPr="00145A29" w:rsidRDefault="00663784" w:rsidP="00663784">
      <w:pPr>
        <w:suppressLineNumbers/>
        <w:tabs>
          <w:tab w:val="clear" w:pos="567"/>
        </w:tabs>
        <w:spacing w:line="240" w:lineRule="auto"/>
        <w:ind w:left="720" w:hanging="720"/>
      </w:pPr>
    </w:p>
    <w:p w14:paraId="19C3EDF0" w14:textId="77777777" w:rsidR="00663784" w:rsidRPr="00145A29"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145A29">
        <w:rPr>
          <w:b/>
          <w:bCs/>
        </w:rPr>
        <w:t>10.</w:t>
      </w:r>
      <w:r w:rsidRPr="00145A29">
        <w:rPr>
          <w:b/>
          <w:bCs/>
        </w:rPr>
        <w:tab/>
        <w:t>SPECIAL PRECAUTIONS FOR DISPOSAL OF UNUSED MEDICINAL PRODUCTS OR WASTE MATERIALS DERIVED FROM SUCH MEDICINAL PRODUCTS, IF APPROPRIATE</w:t>
      </w:r>
    </w:p>
    <w:p w14:paraId="0C8BDEB7" w14:textId="77777777" w:rsidR="00663784" w:rsidRPr="00145A29" w:rsidRDefault="00663784" w:rsidP="00663784">
      <w:pPr>
        <w:tabs>
          <w:tab w:val="clear" w:pos="567"/>
        </w:tabs>
        <w:ind w:left="720" w:hanging="720"/>
      </w:pPr>
    </w:p>
    <w:p w14:paraId="6CEBD3BE" w14:textId="77777777" w:rsidR="00663784" w:rsidRPr="00145A29" w:rsidRDefault="00663784" w:rsidP="00663784">
      <w:pPr>
        <w:tabs>
          <w:tab w:val="clear" w:pos="567"/>
        </w:tabs>
        <w:ind w:left="720" w:hanging="720"/>
      </w:pPr>
    </w:p>
    <w:p w14:paraId="2E2701E2" w14:textId="77777777" w:rsidR="00663784" w:rsidRPr="00145A29"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145A29">
        <w:rPr>
          <w:b/>
          <w:bCs/>
        </w:rPr>
        <w:t>11.</w:t>
      </w:r>
      <w:r w:rsidRPr="00145A29">
        <w:rPr>
          <w:b/>
          <w:bCs/>
        </w:rPr>
        <w:tab/>
        <w:t xml:space="preserve">NAME AND </w:t>
      </w:r>
      <w:r w:rsidRPr="00145A29">
        <w:rPr>
          <w:b/>
          <w:bCs/>
        </w:rPr>
        <w:t>ADDRESS OF THE MARKETING AUTHORISATION HOLDER</w:t>
      </w:r>
    </w:p>
    <w:p w14:paraId="297FF745" w14:textId="77777777" w:rsidR="00663784" w:rsidRPr="00145A29" w:rsidRDefault="00663784" w:rsidP="00663784">
      <w:pPr>
        <w:suppressLineNumbers/>
        <w:tabs>
          <w:tab w:val="clear" w:pos="567"/>
        </w:tabs>
        <w:spacing w:line="240" w:lineRule="auto"/>
        <w:ind w:left="720" w:hanging="720"/>
      </w:pPr>
    </w:p>
    <w:p w14:paraId="2D3DE670" w14:textId="77777777" w:rsidR="00663784" w:rsidRPr="00420287" w:rsidRDefault="005A3D7D" w:rsidP="00663784">
      <w:pPr>
        <w:rPr>
          <w:iCs/>
        </w:rPr>
      </w:pPr>
      <w:r w:rsidRPr="00420287">
        <w:rPr>
          <w:iCs/>
        </w:rPr>
        <w:t>Vertex Pharmaceuticals (Ireland) Limited</w:t>
      </w:r>
    </w:p>
    <w:p w14:paraId="3ABE1E65" w14:textId="77777777" w:rsidR="00663784" w:rsidRPr="007762E4" w:rsidRDefault="005A3D7D" w:rsidP="00663784">
      <w:pPr>
        <w:rPr>
          <w:iCs/>
          <w:highlight w:val="lightGray"/>
        </w:rPr>
      </w:pPr>
      <w:r w:rsidRPr="007762E4">
        <w:rPr>
          <w:iCs/>
          <w:highlight w:val="lightGray"/>
        </w:rPr>
        <w:t>28-32 Pembroke Street Upper</w:t>
      </w:r>
    </w:p>
    <w:p w14:paraId="2AA0DC03" w14:textId="77777777" w:rsidR="00663784" w:rsidRPr="007762E4" w:rsidRDefault="005A3D7D" w:rsidP="00663784">
      <w:pPr>
        <w:rPr>
          <w:iCs/>
          <w:highlight w:val="lightGray"/>
        </w:rPr>
      </w:pPr>
      <w:r w:rsidRPr="007762E4">
        <w:rPr>
          <w:iCs/>
          <w:highlight w:val="lightGray"/>
        </w:rPr>
        <w:t>Dublin 2, D02 EK84</w:t>
      </w:r>
    </w:p>
    <w:p w14:paraId="78253854" w14:textId="77777777" w:rsidR="00663784" w:rsidRDefault="005A3D7D" w:rsidP="00663784">
      <w:pPr>
        <w:pStyle w:val="NormalIndent"/>
        <w:spacing w:after="0"/>
        <w:ind w:hanging="720"/>
        <w:rPr>
          <w:iCs/>
        </w:rPr>
      </w:pPr>
      <w:r w:rsidRPr="007762E4">
        <w:rPr>
          <w:iCs/>
          <w:highlight w:val="lightGray"/>
        </w:rPr>
        <w:t>Ireland</w:t>
      </w:r>
    </w:p>
    <w:p w14:paraId="46EED52B" w14:textId="77777777" w:rsidR="00663784" w:rsidRPr="00145A29" w:rsidRDefault="00663784" w:rsidP="00663784">
      <w:pPr>
        <w:pStyle w:val="NormalIndent"/>
        <w:spacing w:after="0"/>
        <w:ind w:hanging="720"/>
        <w:rPr>
          <w:lang w:val="en-US"/>
        </w:rPr>
      </w:pPr>
    </w:p>
    <w:p w14:paraId="5374A6C4" w14:textId="77777777" w:rsidR="00663784" w:rsidRPr="00145A29" w:rsidRDefault="00663784" w:rsidP="00663784">
      <w:pPr>
        <w:pStyle w:val="NormalIndent"/>
        <w:spacing w:after="0"/>
        <w:ind w:hanging="720"/>
        <w:rPr>
          <w:lang w:val="en-US"/>
        </w:rPr>
      </w:pPr>
    </w:p>
    <w:p w14:paraId="3D2E865E" w14:textId="77777777" w:rsidR="00663784" w:rsidRPr="00145A29"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12.</w:t>
      </w:r>
      <w:r w:rsidRPr="00145A29">
        <w:rPr>
          <w:b/>
          <w:bCs/>
        </w:rPr>
        <w:tab/>
        <w:t xml:space="preserve">MARKETING AUTHORISATION NUMBER(S) </w:t>
      </w:r>
    </w:p>
    <w:p w14:paraId="3CE5A3D5" w14:textId="77777777" w:rsidR="00663784" w:rsidRPr="00145A29" w:rsidRDefault="00663784" w:rsidP="00663784">
      <w:pPr>
        <w:suppressLineNumbers/>
        <w:tabs>
          <w:tab w:val="clear" w:pos="567"/>
        </w:tabs>
        <w:spacing w:line="240" w:lineRule="auto"/>
        <w:ind w:left="720" w:hanging="720"/>
      </w:pPr>
    </w:p>
    <w:p w14:paraId="50CAFA7E" w14:textId="77777777" w:rsidR="00663784" w:rsidRPr="00145A29" w:rsidRDefault="005A3D7D" w:rsidP="00663784">
      <w:pPr>
        <w:suppressLineNumbers/>
        <w:tabs>
          <w:tab w:val="clear" w:pos="567"/>
        </w:tabs>
        <w:spacing w:line="240" w:lineRule="auto"/>
        <w:ind w:left="720" w:hanging="720"/>
      </w:pPr>
      <w:r w:rsidRPr="00145A29">
        <w:t>EU/1/12/782/003</w:t>
      </w:r>
    </w:p>
    <w:p w14:paraId="15F8A4FE" w14:textId="77777777" w:rsidR="00663784" w:rsidRPr="00145A29" w:rsidRDefault="00663784" w:rsidP="00663784">
      <w:pPr>
        <w:suppressLineNumbers/>
        <w:tabs>
          <w:tab w:val="clear" w:pos="567"/>
        </w:tabs>
        <w:spacing w:line="240" w:lineRule="auto"/>
        <w:ind w:left="720" w:hanging="720"/>
      </w:pPr>
    </w:p>
    <w:p w14:paraId="7EDE695B" w14:textId="77777777" w:rsidR="00663784" w:rsidRPr="00145A29" w:rsidRDefault="00663784" w:rsidP="00663784">
      <w:pPr>
        <w:suppressLineNumbers/>
        <w:tabs>
          <w:tab w:val="clear" w:pos="567"/>
        </w:tabs>
        <w:spacing w:line="240" w:lineRule="auto"/>
        <w:ind w:left="720" w:hanging="720"/>
      </w:pPr>
    </w:p>
    <w:p w14:paraId="357CB408" w14:textId="77777777" w:rsidR="00663784" w:rsidRPr="00145A29"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13.</w:t>
      </w:r>
      <w:r w:rsidRPr="00145A29">
        <w:rPr>
          <w:b/>
          <w:bCs/>
        </w:rPr>
        <w:tab/>
        <w:t>BATCH NUMBER</w:t>
      </w:r>
    </w:p>
    <w:p w14:paraId="0C136702" w14:textId="77777777" w:rsidR="00663784" w:rsidRPr="00145A29" w:rsidRDefault="00663784" w:rsidP="00663784">
      <w:pPr>
        <w:suppressLineNumbers/>
        <w:tabs>
          <w:tab w:val="clear" w:pos="567"/>
        </w:tabs>
        <w:spacing w:line="240" w:lineRule="auto"/>
        <w:ind w:left="720" w:hanging="720"/>
        <w:rPr>
          <w:iCs/>
        </w:rPr>
      </w:pPr>
    </w:p>
    <w:p w14:paraId="5F6371DF" w14:textId="77777777" w:rsidR="00663784" w:rsidRPr="00145A29" w:rsidRDefault="00663784" w:rsidP="00663784">
      <w:pPr>
        <w:suppressLineNumbers/>
        <w:tabs>
          <w:tab w:val="clear" w:pos="567"/>
        </w:tabs>
        <w:spacing w:line="240" w:lineRule="auto"/>
        <w:ind w:left="720" w:hanging="720"/>
      </w:pPr>
    </w:p>
    <w:p w14:paraId="0514500E" w14:textId="77777777" w:rsidR="00663784" w:rsidRPr="00145A29"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14.</w:t>
      </w:r>
      <w:r w:rsidRPr="00145A29">
        <w:rPr>
          <w:b/>
          <w:bCs/>
        </w:rPr>
        <w:tab/>
        <w:t xml:space="preserve">GENERAL </w:t>
      </w:r>
      <w:r w:rsidRPr="00145A29">
        <w:rPr>
          <w:b/>
          <w:bCs/>
        </w:rPr>
        <w:t>CLASSIFICATION FOR SUPPLY</w:t>
      </w:r>
    </w:p>
    <w:p w14:paraId="774FECF8" w14:textId="77777777" w:rsidR="00663784" w:rsidRPr="00145A29" w:rsidRDefault="00663784" w:rsidP="00663784">
      <w:pPr>
        <w:suppressLineNumbers/>
        <w:tabs>
          <w:tab w:val="clear" w:pos="567"/>
        </w:tabs>
        <w:spacing w:line="240" w:lineRule="auto"/>
        <w:ind w:left="720" w:hanging="720"/>
        <w:rPr>
          <w:lang w:val="en-US"/>
        </w:rPr>
      </w:pPr>
    </w:p>
    <w:p w14:paraId="5042D5A9" w14:textId="77777777" w:rsidR="00663784" w:rsidRPr="00145A29" w:rsidRDefault="00663784" w:rsidP="00663784">
      <w:pPr>
        <w:suppressLineNumbers/>
        <w:tabs>
          <w:tab w:val="clear" w:pos="567"/>
        </w:tabs>
        <w:spacing w:line="240" w:lineRule="auto"/>
        <w:ind w:left="720" w:hanging="720"/>
        <w:rPr>
          <w:lang w:val="en-US"/>
        </w:rPr>
      </w:pPr>
    </w:p>
    <w:p w14:paraId="2F0BA011" w14:textId="77777777" w:rsidR="00663784" w:rsidRPr="00145A29" w:rsidRDefault="005A3D7D"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145A29">
        <w:rPr>
          <w:b/>
          <w:bCs/>
        </w:rPr>
        <w:t>15.</w:t>
      </w:r>
      <w:r w:rsidRPr="00145A29">
        <w:rPr>
          <w:b/>
          <w:bCs/>
        </w:rPr>
        <w:tab/>
        <w:t>INSTRUCTIONS ON USE</w:t>
      </w:r>
    </w:p>
    <w:p w14:paraId="6C0886B0" w14:textId="77777777" w:rsidR="00663784" w:rsidRPr="00145A29" w:rsidRDefault="00663784" w:rsidP="00663784">
      <w:pPr>
        <w:suppressLineNumbers/>
        <w:tabs>
          <w:tab w:val="clear" w:pos="567"/>
        </w:tabs>
        <w:spacing w:line="240" w:lineRule="auto"/>
        <w:ind w:left="720" w:hanging="720"/>
      </w:pPr>
    </w:p>
    <w:p w14:paraId="1E23F7F7" w14:textId="77777777" w:rsidR="00663784" w:rsidRPr="00145A29" w:rsidRDefault="00663784" w:rsidP="00663784">
      <w:pPr>
        <w:suppressLineNumbers/>
        <w:tabs>
          <w:tab w:val="clear" w:pos="567"/>
        </w:tabs>
        <w:spacing w:line="240" w:lineRule="auto"/>
        <w:ind w:left="720" w:hanging="720"/>
      </w:pPr>
    </w:p>
    <w:p w14:paraId="64EC731A" w14:textId="77777777" w:rsidR="00663784" w:rsidRPr="00145A29"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145A29">
        <w:rPr>
          <w:bCs w:val="0"/>
          <w:sz w:val="22"/>
          <w:szCs w:val="22"/>
        </w:rPr>
        <w:t>16.</w:t>
      </w:r>
      <w:r w:rsidRPr="00145A29">
        <w:rPr>
          <w:bCs w:val="0"/>
          <w:sz w:val="22"/>
          <w:szCs w:val="22"/>
        </w:rPr>
        <w:tab/>
        <w:t>INFORMATION IN BRAILLE</w:t>
      </w:r>
    </w:p>
    <w:p w14:paraId="5E08AB5F" w14:textId="77777777" w:rsidR="00663784" w:rsidRPr="00145A29" w:rsidRDefault="00663784" w:rsidP="00663784">
      <w:pPr>
        <w:tabs>
          <w:tab w:val="clear" w:pos="567"/>
        </w:tabs>
        <w:spacing w:line="240" w:lineRule="auto"/>
        <w:ind w:left="720" w:hanging="720"/>
      </w:pPr>
    </w:p>
    <w:p w14:paraId="0DA3502E" w14:textId="77777777" w:rsidR="00663784" w:rsidRPr="00145A29" w:rsidRDefault="00663784" w:rsidP="00663784">
      <w:pPr>
        <w:tabs>
          <w:tab w:val="clear" w:pos="567"/>
        </w:tabs>
        <w:spacing w:line="240" w:lineRule="auto"/>
        <w:ind w:left="720" w:hanging="720"/>
      </w:pPr>
    </w:p>
    <w:p w14:paraId="4D47A111" w14:textId="77777777" w:rsidR="00663784" w:rsidRPr="00145A29"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color w:val="008000"/>
          <w:sz w:val="22"/>
          <w:szCs w:val="22"/>
        </w:rPr>
      </w:pPr>
      <w:r w:rsidRPr="00145A29">
        <w:rPr>
          <w:bCs w:val="0"/>
          <w:sz w:val="22"/>
          <w:szCs w:val="22"/>
        </w:rPr>
        <w:t>17.</w:t>
      </w:r>
      <w:r w:rsidRPr="00145A29">
        <w:rPr>
          <w:bCs w:val="0"/>
          <w:sz w:val="22"/>
          <w:szCs w:val="22"/>
        </w:rPr>
        <w:tab/>
        <w:t>UNIQUE IDENTIFIER – 2D BARCODE</w:t>
      </w:r>
    </w:p>
    <w:p w14:paraId="4FFAF765" w14:textId="77777777" w:rsidR="00663784" w:rsidRPr="00145A29" w:rsidRDefault="00663784" w:rsidP="00663784">
      <w:pPr>
        <w:suppressLineNumbers/>
        <w:tabs>
          <w:tab w:val="clear" w:pos="567"/>
        </w:tabs>
        <w:spacing w:line="240" w:lineRule="auto"/>
        <w:ind w:left="720" w:hanging="720"/>
        <w:rPr>
          <w:bCs/>
          <w:lang w:val="en-US"/>
        </w:rPr>
      </w:pPr>
    </w:p>
    <w:p w14:paraId="69F1BEF2" w14:textId="77777777" w:rsidR="00663784" w:rsidRPr="00145A29" w:rsidRDefault="00663784" w:rsidP="00663784">
      <w:pPr>
        <w:suppressLineNumbers/>
        <w:tabs>
          <w:tab w:val="clear" w:pos="567"/>
        </w:tabs>
        <w:spacing w:line="240" w:lineRule="auto"/>
        <w:ind w:left="720" w:hanging="720"/>
        <w:rPr>
          <w:bCs/>
          <w:lang w:val="en-US"/>
        </w:rPr>
      </w:pPr>
    </w:p>
    <w:p w14:paraId="7A374146" w14:textId="77777777" w:rsidR="00663784" w:rsidRPr="00145A29"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color w:val="008000"/>
          <w:sz w:val="22"/>
          <w:szCs w:val="22"/>
        </w:rPr>
      </w:pPr>
      <w:r w:rsidRPr="00145A29">
        <w:rPr>
          <w:bCs w:val="0"/>
          <w:sz w:val="22"/>
          <w:szCs w:val="22"/>
        </w:rPr>
        <w:t>18.</w:t>
      </w:r>
      <w:r w:rsidRPr="00145A29">
        <w:rPr>
          <w:bCs w:val="0"/>
          <w:sz w:val="22"/>
          <w:szCs w:val="22"/>
        </w:rPr>
        <w:tab/>
        <w:t>UNIQUE IDENTIFIER – HUMAN READABLE DATA</w:t>
      </w:r>
    </w:p>
    <w:p w14:paraId="34D001D5" w14:textId="77777777" w:rsidR="00663784" w:rsidRPr="00145A29" w:rsidRDefault="00663784" w:rsidP="00663784">
      <w:pPr>
        <w:suppressLineNumbers/>
        <w:tabs>
          <w:tab w:val="clear" w:pos="567"/>
        </w:tabs>
        <w:spacing w:line="240" w:lineRule="auto"/>
        <w:ind w:left="720" w:hanging="720"/>
        <w:rPr>
          <w:bCs/>
          <w:lang w:val="en-US"/>
        </w:rPr>
      </w:pPr>
    </w:p>
    <w:p w14:paraId="2AE31555" w14:textId="77777777" w:rsidR="00663784" w:rsidRPr="00145A29" w:rsidRDefault="00663784" w:rsidP="00663784">
      <w:pPr>
        <w:tabs>
          <w:tab w:val="clear" w:pos="567"/>
        </w:tabs>
        <w:ind w:left="720" w:hanging="720"/>
      </w:pPr>
    </w:p>
    <w:p w14:paraId="64B62642" w14:textId="77777777" w:rsidR="00663784" w:rsidRPr="00DD12C2" w:rsidRDefault="005A3D7D" w:rsidP="00663784">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bCs w:val="0"/>
          <w:sz w:val="22"/>
          <w:szCs w:val="22"/>
        </w:rPr>
      </w:pPr>
      <w:r w:rsidRPr="001D5FEA">
        <w:rPr>
          <w:rFonts w:ascii="Times New Roman" w:hAnsi="Times New Roman" w:cs="Times New Roman"/>
          <w:bCs w:val="0"/>
          <w:sz w:val="22"/>
          <w:szCs w:val="22"/>
        </w:rPr>
        <w:br w:type="page"/>
      </w:r>
      <w:r w:rsidRPr="00DD12C2">
        <w:rPr>
          <w:rFonts w:ascii="Times New Roman" w:hAnsi="Times New Roman" w:cs="Times New Roman"/>
          <w:bCs w:val="0"/>
          <w:sz w:val="22"/>
          <w:szCs w:val="22"/>
        </w:rPr>
        <w:t>MINIMUM PARTICULARS TO APPEAR ON SMALL IMMEDIATE PACKAGING UNITS</w:t>
      </w:r>
    </w:p>
    <w:p w14:paraId="3AE69DA6" w14:textId="77777777" w:rsidR="00663784" w:rsidRPr="00DD12C2"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p>
    <w:p w14:paraId="3C3AC3D2" w14:textId="77777777" w:rsidR="00663784" w:rsidRPr="00DD12C2"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bCs/>
        </w:rPr>
      </w:pPr>
      <w:r w:rsidRPr="00DD12C2">
        <w:rPr>
          <w:b/>
          <w:bCs/>
        </w:rPr>
        <w:t>SACHETS</w:t>
      </w:r>
    </w:p>
    <w:p w14:paraId="357712F3" w14:textId="77777777" w:rsidR="00663784" w:rsidRDefault="00663784" w:rsidP="00663784">
      <w:pPr>
        <w:suppressLineNumbers/>
        <w:spacing w:line="240" w:lineRule="auto"/>
      </w:pPr>
    </w:p>
    <w:p w14:paraId="341ECEF1" w14:textId="77777777" w:rsidR="00663784" w:rsidRPr="00DD12C2" w:rsidRDefault="00663784" w:rsidP="00663784">
      <w:pPr>
        <w:suppressLineNumbers/>
        <w:spacing w:line="240" w:lineRule="auto"/>
      </w:pPr>
    </w:p>
    <w:p w14:paraId="1CF5C526" w14:textId="77777777" w:rsidR="00663784" w:rsidRPr="00DD12C2" w:rsidRDefault="005A3D7D"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1.</w:t>
      </w:r>
      <w:r w:rsidRPr="00DD12C2">
        <w:rPr>
          <w:b/>
          <w:bCs/>
        </w:rPr>
        <w:tab/>
        <w:t xml:space="preserve">NAME OF </w:t>
      </w:r>
      <w:r w:rsidRPr="00DD12C2">
        <w:rPr>
          <w:b/>
          <w:bCs/>
        </w:rPr>
        <w:t>THE MEDICINAL PRODUCT AND ROUTE(S) OF ADMINISTRATION</w:t>
      </w:r>
    </w:p>
    <w:p w14:paraId="1B99153A" w14:textId="77777777" w:rsidR="00663784" w:rsidRPr="00DD12C2" w:rsidRDefault="00663784" w:rsidP="00663784">
      <w:pPr>
        <w:suppressLineNumbers/>
        <w:spacing w:line="240" w:lineRule="auto"/>
        <w:rPr>
          <w:iCs/>
        </w:rPr>
      </w:pPr>
    </w:p>
    <w:p w14:paraId="5AD0246A" w14:textId="77777777" w:rsidR="00663784" w:rsidRPr="00DD12C2" w:rsidRDefault="005A3D7D" w:rsidP="00663784">
      <w:pPr>
        <w:spacing w:line="240" w:lineRule="auto"/>
      </w:pPr>
      <w:r w:rsidRPr="00DD12C2">
        <w:t>Kalydeco 50 mg granules</w:t>
      </w:r>
    </w:p>
    <w:p w14:paraId="7E11E83F" w14:textId="77777777" w:rsidR="00663784" w:rsidRPr="00DD12C2" w:rsidRDefault="005A3D7D" w:rsidP="00663784">
      <w:pPr>
        <w:spacing w:line="240" w:lineRule="auto"/>
      </w:pPr>
      <w:r>
        <w:t>i</w:t>
      </w:r>
      <w:r w:rsidRPr="00DD12C2">
        <w:t>vacaftor</w:t>
      </w:r>
    </w:p>
    <w:p w14:paraId="1007AEC1" w14:textId="77777777" w:rsidR="00663784" w:rsidRPr="00DD12C2" w:rsidRDefault="005A3D7D" w:rsidP="00663784">
      <w:pPr>
        <w:spacing w:line="240" w:lineRule="auto"/>
      </w:pPr>
      <w:r w:rsidRPr="00DD12C2">
        <w:t>Oral use</w:t>
      </w:r>
    </w:p>
    <w:p w14:paraId="11C7CAF4" w14:textId="77777777" w:rsidR="00663784" w:rsidRPr="00DD12C2" w:rsidRDefault="00663784" w:rsidP="00663784">
      <w:pPr>
        <w:spacing w:line="240" w:lineRule="auto"/>
        <w:rPr>
          <w:i/>
          <w:iCs/>
        </w:rPr>
      </w:pPr>
    </w:p>
    <w:p w14:paraId="38C1A5E4" w14:textId="77777777" w:rsidR="00663784" w:rsidRPr="00DD12C2" w:rsidRDefault="00663784" w:rsidP="00663784">
      <w:pPr>
        <w:spacing w:line="240" w:lineRule="auto"/>
        <w:rPr>
          <w:i/>
          <w:iCs/>
        </w:rPr>
      </w:pPr>
    </w:p>
    <w:p w14:paraId="7805FEF5" w14:textId="77777777" w:rsidR="00663784" w:rsidRPr="00DD12C2" w:rsidRDefault="005A3D7D"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2.</w:t>
      </w:r>
      <w:r w:rsidRPr="00DD12C2">
        <w:rPr>
          <w:b/>
          <w:bCs/>
        </w:rPr>
        <w:tab/>
        <w:t>METHOD OF ADMINISTRATION</w:t>
      </w:r>
    </w:p>
    <w:p w14:paraId="1912E2C2" w14:textId="77777777" w:rsidR="00663784" w:rsidRPr="00DD12C2" w:rsidRDefault="00663784" w:rsidP="00663784">
      <w:pPr>
        <w:suppressLineNumbers/>
        <w:spacing w:line="240" w:lineRule="auto"/>
      </w:pPr>
    </w:p>
    <w:p w14:paraId="0491F9BB" w14:textId="77777777" w:rsidR="00663784" w:rsidRPr="00DD12C2" w:rsidRDefault="00663784" w:rsidP="00663784">
      <w:pPr>
        <w:suppressLineNumbers/>
        <w:spacing w:line="240" w:lineRule="auto"/>
      </w:pPr>
    </w:p>
    <w:p w14:paraId="6F2638D2" w14:textId="77777777" w:rsidR="00663784" w:rsidRPr="00DD12C2" w:rsidRDefault="005A3D7D" w:rsidP="00663784">
      <w:pPr>
        <w:suppressLineNumbers/>
        <w:pBdr>
          <w:top w:val="single" w:sz="4" w:space="1" w:color="auto"/>
          <w:left w:val="single" w:sz="4" w:space="4" w:color="auto"/>
          <w:bottom w:val="single" w:sz="4" w:space="2" w:color="auto"/>
          <w:right w:val="single" w:sz="4" w:space="4" w:color="auto"/>
        </w:pBdr>
        <w:spacing w:line="240" w:lineRule="auto"/>
        <w:outlineLvl w:val="1"/>
        <w:rPr>
          <w:b/>
          <w:bCs/>
        </w:rPr>
      </w:pPr>
      <w:r w:rsidRPr="00DD12C2">
        <w:rPr>
          <w:b/>
          <w:bCs/>
        </w:rPr>
        <w:t>3.</w:t>
      </w:r>
      <w:r w:rsidRPr="00DD12C2">
        <w:rPr>
          <w:b/>
          <w:bCs/>
        </w:rPr>
        <w:tab/>
        <w:t>EXPIRY DATE</w:t>
      </w:r>
    </w:p>
    <w:p w14:paraId="285ED1D8" w14:textId="77777777" w:rsidR="00663784" w:rsidRPr="00DD12C2" w:rsidRDefault="00663784" w:rsidP="00663784">
      <w:pPr>
        <w:suppressLineNumbers/>
        <w:spacing w:line="240" w:lineRule="auto"/>
      </w:pPr>
    </w:p>
    <w:p w14:paraId="58A50131" w14:textId="77777777" w:rsidR="00663784" w:rsidRPr="00DD12C2" w:rsidRDefault="005A3D7D" w:rsidP="00663784">
      <w:pPr>
        <w:suppressLineNumbers/>
        <w:spacing w:line="240" w:lineRule="auto"/>
      </w:pPr>
      <w:r w:rsidRPr="00DD12C2">
        <w:t>EXP</w:t>
      </w:r>
    </w:p>
    <w:p w14:paraId="4D2B97B5" w14:textId="77777777" w:rsidR="00663784" w:rsidRPr="00DD12C2" w:rsidRDefault="00663784" w:rsidP="00663784">
      <w:pPr>
        <w:suppressLineNumbers/>
        <w:spacing w:line="240" w:lineRule="auto"/>
      </w:pPr>
    </w:p>
    <w:p w14:paraId="1C67CB9B" w14:textId="77777777" w:rsidR="00663784" w:rsidRPr="00DD12C2" w:rsidRDefault="00663784" w:rsidP="00663784">
      <w:pPr>
        <w:suppressLineNumbers/>
        <w:spacing w:line="240" w:lineRule="auto"/>
      </w:pPr>
    </w:p>
    <w:p w14:paraId="54FAAC69" w14:textId="77777777" w:rsidR="00663784" w:rsidRPr="00DD12C2" w:rsidRDefault="005A3D7D"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4.</w:t>
      </w:r>
      <w:r w:rsidRPr="00DD12C2">
        <w:rPr>
          <w:b/>
          <w:bCs/>
        </w:rPr>
        <w:tab/>
        <w:t>BATCH NUMBER</w:t>
      </w:r>
    </w:p>
    <w:p w14:paraId="2FB50D57" w14:textId="77777777" w:rsidR="00663784" w:rsidRPr="00DD12C2" w:rsidRDefault="00663784" w:rsidP="00663784">
      <w:pPr>
        <w:suppressLineNumbers/>
        <w:spacing w:line="240" w:lineRule="auto"/>
      </w:pPr>
    </w:p>
    <w:p w14:paraId="4FCD8A3C" w14:textId="77777777" w:rsidR="00663784" w:rsidRPr="00DD12C2" w:rsidRDefault="005A3D7D" w:rsidP="00663784">
      <w:pPr>
        <w:suppressLineNumbers/>
        <w:spacing w:line="240" w:lineRule="auto"/>
      </w:pPr>
      <w:r w:rsidRPr="00DD12C2">
        <w:t>Lot</w:t>
      </w:r>
    </w:p>
    <w:p w14:paraId="1B3D1284" w14:textId="77777777" w:rsidR="00663784" w:rsidRPr="00DD12C2" w:rsidRDefault="00663784" w:rsidP="00663784">
      <w:pPr>
        <w:suppressLineNumbers/>
        <w:spacing w:line="240" w:lineRule="auto"/>
      </w:pPr>
    </w:p>
    <w:p w14:paraId="10FC08F4" w14:textId="77777777" w:rsidR="00663784" w:rsidRPr="00DD12C2" w:rsidRDefault="00663784" w:rsidP="00663784">
      <w:pPr>
        <w:suppressLineNumbers/>
        <w:spacing w:line="240" w:lineRule="auto"/>
      </w:pPr>
    </w:p>
    <w:p w14:paraId="2FF0388E" w14:textId="77777777" w:rsidR="00663784" w:rsidRPr="00DD12C2" w:rsidRDefault="005A3D7D"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5.</w:t>
      </w:r>
      <w:r w:rsidRPr="00DD12C2">
        <w:rPr>
          <w:b/>
          <w:bCs/>
        </w:rPr>
        <w:tab/>
        <w:t>CONTENTS BY WEIGHT, BY VOLUME OR BY UNIT</w:t>
      </w:r>
    </w:p>
    <w:p w14:paraId="2DB6771B" w14:textId="77777777" w:rsidR="00663784" w:rsidRPr="00DD12C2" w:rsidRDefault="00663784" w:rsidP="00663784">
      <w:pPr>
        <w:spacing w:line="240" w:lineRule="auto"/>
      </w:pPr>
    </w:p>
    <w:p w14:paraId="4C040047" w14:textId="77777777" w:rsidR="00663784" w:rsidRPr="00DD12C2" w:rsidRDefault="00663784" w:rsidP="00663784">
      <w:pPr>
        <w:spacing w:line="240" w:lineRule="auto"/>
      </w:pPr>
    </w:p>
    <w:p w14:paraId="508B89D8" w14:textId="77777777" w:rsidR="00663784" w:rsidRPr="00DD12C2" w:rsidRDefault="005A3D7D"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6.</w:t>
      </w:r>
      <w:r w:rsidRPr="00DD12C2">
        <w:rPr>
          <w:b/>
          <w:bCs/>
        </w:rPr>
        <w:tab/>
        <w:t>OTHER</w:t>
      </w:r>
    </w:p>
    <w:p w14:paraId="14340C72" w14:textId="77777777" w:rsidR="00663784" w:rsidRPr="00DD12C2" w:rsidRDefault="00663784" w:rsidP="00663784">
      <w:pPr>
        <w:spacing w:line="240" w:lineRule="auto"/>
      </w:pPr>
    </w:p>
    <w:p w14:paraId="2BCE3740" w14:textId="77777777" w:rsidR="00663784" w:rsidRPr="00DD12C2" w:rsidRDefault="005A3D7D" w:rsidP="00663784">
      <w:pPr>
        <w:spacing w:line="240" w:lineRule="auto"/>
        <w:rPr>
          <w:lang w:val="en-US"/>
        </w:rPr>
      </w:pPr>
      <w:r w:rsidRPr="00DD12C2">
        <w:rPr>
          <w:lang w:val="en-US"/>
        </w:rPr>
        <w:t xml:space="preserve">Vertex </w:t>
      </w:r>
      <w:r w:rsidRPr="00DD12C2">
        <w:rPr>
          <w:lang w:val="en-US"/>
        </w:rPr>
        <w:t>Pharmaceuticals (</w:t>
      </w:r>
      <w:r>
        <w:rPr>
          <w:lang w:val="en-US"/>
        </w:rPr>
        <w:t>Ireland</w:t>
      </w:r>
      <w:r w:rsidRPr="00DD12C2">
        <w:rPr>
          <w:lang w:val="en-US"/>
        </w:rPr>
        <w:t>) Limited</w:t>
      </w:r>
    </w:p>
    <w:p w14:paraId="212A50D1" w14:textId="77777777" w:rsidR="00663784" w:rsidRPr="00DD12C2" w:rsidRDefault="00663784" w:rsidP="00663784">
      <w:pPr>
        <w:spacing w:line="240" w:lineRule="auto"/>
      </w:pPr>
    </w:p>
    <w:p w14:paraId="6F6B2F19" w14:textId="77777777" w:rsidR="00663784" w:rsidRPr="00DD12C2" w:rsidRDefault="005A3D7D" w:rsidP="00663784">
      <w:pPr>
        <w:pStyle w:val="Heading1"/>
        <w:pBdr>
          <w:top w:val="single" w:sz="4" w:space="1" w:color="auto"/>
          <w:left w:val="single" w:sz="4" w:space="4" w:color="auto"/>
          <w:bottom w:val="single" w:sz="4" w:space="1" w:color="auto"/>
          <w:right w:val="single" w:sz="4" w:space="4" w:color="auto"/>
        </w:pBdr>
        <w:spacing w:before="0" w:after="0" w:line="240" w:lineRule="auto"/>
        <w:rPr>
          <w:rFonts w:ascii="Times New Roman" w:hAnsi="Times New Roman" w:cs="Times New Roman"/>
          <w:sz w:val="22"/>
          <w:szCs w:val="22"/>
        </w:rPr>
      </w:pPr>
      <w:r w:rsidRPr="00DD12C2">
        <w:rPr>
          <w:rFonts w:ascii="Times New Roman" w:hAnsi="Times New Roman" w:cs="Times New Roman"/>
          <w:sz w:val="22"/>
          <w:szCs w:val="22"/>
        </w:rPr>
        <w:br w:type="page"/>
        <w:t>PARTICULARS TO APPEAR ON THE OUTER PACKAGING</w:t>
      </w:r>
    </w:p>
    <w:p w14:paraId="7DFAD5BA" w14:textId="77777777" w:rsidR="00663784" w:rsidRPr="00DD12C2"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14:paraId="1AE64652" w14:textId="77777777" w:rsidR="00663784" w:rsidRPr="00DD12C2" w:rsidRDefault="005A3D7D" w:rsidP="00663784">
      <w:pPr>
        <w:pBdr>
          <w:top w:val="single" w:sz="4" w:space="1" w:color="auto"/>
          <w:left w:val="single" w:sz="4" w:space="4" w:color="auto"/>
          <w:bottom w:val="single" w:sz="4" w:space="1" w:color="auto"/>
          <w:right w:val="single" w:sz="4" w:space="4" w:color="auto"/>
        </w:pBdr>
        <w:spacing w:line="240" w:lineRule="auto"/>
      </w:pPr>
      <w:r w:rsidRPr="00DD12C2">
        <w:rPr>
          <w:b/>
          <w:bCs/>
          <w:caps/>
        </w:rPr>
        <w:t>Outer carton</w:t>
      </w:r>
      <w:r w:rsidRPr="00DD12C2">
        <w:rPr>
          <w:b/>
          <w:bCs/>
        </w:rPr>
        <w:t xml:space="preserve"> FOR SACHET</w:t>
      </w:r>
    </w:p>
    <w:p w14:paraId="0F24741C" w14:textId="77777777" w:rsidR="00663784" w:rsidRPr="00DD12C2" w:rsidRDefault="00663784" w:rsidP="00663784">
      <w:pPr>
        <w:suppressLineNumbers/>
        <w:spacing w:line="240" w:lineRule="auto"/>
      </w:pPr>
    </w:p>
    <w:p w14:paraId="0487121E" w14:textId="77777777" w:rsidR="00663784" w:rsidRPr="00DD12C2" w:rsidRDefault="00663784" w:rsidP="00663784">
      <w:pPr>
        <w:suppressLineNumbers/>
        <w:spacing w:line="240" w:lineRule="auto"/>
      </w:pPr>
    </w:p>
    <w:p w14:paraId="4CCEC85D" w14:textId="77777777" w:rsidR="00663784" w:rsidRPr="00DD12C2" w:rsidRDefault="005A3D7D" w:rsidP="00663784">
      <w:pPr>
        <w:suppressLineNumbers/>
        <w:pBdr>
          <w:top w:val="single" w:sz="4" w:space="1" w:color="auto"/>
          <w:left w:val="single" w:sz="4" w:space="4" w:color="auto"/>
          <w:bottom w:val="single" w:sz="4" w:space="0" w:color="auto"/>
          <w:right w:val="single" w:sz="4" w:space="4" w:color="auto"/>
        </w:pBdr>
        <w:spacing w:line="240" w:lineRule="auto"/>
        <w:ind w:left="567" w:hanging="567"/>
        <w:outlineLvl w:val="1"/>
      </w:pPr>
      <w:r w:rsidRPr="00DD12C2">
        <w:rPr>
          <w:b/>
          <w:bCs/>
        </w:rPr>
        <w:t>1.</w:t>
      </w:r>
      <w:r w:rsidRPr="00DD12C2">
        <w:rPr>
          <w:b/>
          <w:bCs/>
        </w:rPr>
        <w:tab/>
        <w:t>NAME OF THE MEDICINAL PRODUCT</w:t>
      </w:r>
    </w:p>
    <w:p w14:paraId="33E96BDB" w14:textId="77777777" w:rsidR="00663784" w:rsidRPr="00DD12C2" w:rsidRDefault="00663784" w:rsidP="00663784">
      <w:pPr>
        <w:suppressLineNumbers/>
        <w:spacing w:line="240" w:lineRule="auto"/>
      </w:pPr>
    </w:p>
    <w:p w14:paraId="1CDB82C2" w14:textId="77777777" w:rsidR="00663784" w:rsidRPr="00DD12C2" w:rsidRDefault="005A3D7D" w:rsidP="00663784">
      <w:pPr>
        <w:spacing w:line="240" w:lineRule="auto"/>
      </w:pPr>
      <w:r w:rsidRPr="00DD12C2">
        <w:t>Kalydeco 75 mg granules in sachet</w:t>
      </w:r>
    </w:p>
    <w:p w14:paraId="2C3409EB" w14:textId="77777777" w:rsidR="00663784" w:rsidRPr="00DD12C2" w:rsidRDefault="005A3D7D" w:rsidP="00663784">
      <w:pPr>
        <w:spacing w:line="240" w:lineRule="auto"/>
        <w:rPr>
          <w:i/>
          <w:iCs/>
        </w:rPr>
      </w:pPr>
      <w:r w:rsidRPr="00DD12C2">
        <w:t>ivacaftor</w:t>
      </w:r>
    </w:p>
    <w:p w14:paraId="636D541C" w14:textId="77777777" w:rsidR="00663784" w:rsidRPr="00DD12C2" w:rsidRDefault="00663784" w:rsidP="00663784">
      <w:pPr>
        <w:suppressLineNumbers/>
        <w:spacing w:line="240" w:lineRule="auto"/>
      </w:pPr>
    </w:p>
    <w:p w14:paraId="7440AAE8" w14:textId="77777777" w:rsidR="00663784" w:rsidRPr="00DD12C2" w:rsidRDefault="00663784" w:rsidP="00663784">
      <w:pPr>
        <w:suppressLineNumbers/>
        <w:spacing w:line="240" w:lineRule="auto"/>
      </w:pPr>
    </w:p>
    <w:p w14:paraId="6FE98655" w14:textId="77777777" w:rsidR="00663784" w:rsidRPr="00DD12C2" w:rsidRDefault="005A3D7D" w:rsidP="00663784">
      <w:pPr>
        <w:suppressLineNumbers/>
        <w:pBdr>
          <w:top w:val="single" w:sz="4" w:space="0" w:color="auto"/>
          <w:left w:val="single" w:sz="4" w:space="4" w:color="auto"/>
          <w:bottom w:val="single" w:sz="4" w:space="1" w:color="auto"/>
          <w:right w:val="single" w:sz="4" w:space="4" w:color="auto"/>
        </w:pBdr>
        <w:spacing w:line="240" w:lineRule="auto"/>
        <w:ind w:left="567" w:hanging="567"/>
        <w:outlineLvl w:val="1"/>
        <w:rPr>
          <w:b/>
          <w:bCs/>
        </w:rPr>
      </w:pPr>
      <w:r w:rsidRPr="00DD12C2">
        <w:rPr>
          <w:b/>
          <w:bCs/>
        </w:rPr>
        <w:t>2.</w:t>
      </w:r>
      <w:r w:rsidRPr="00DD12C2">
        <w:rPr>
          <w:b/>
          <w:bCs/>
        </w:rPr>
        <w:tab/>
        <w:t>STATEMENT OF ACTIVE SUBSTANCE</w:t>
      </w:r>
    </w:p>
    <w:p w14:paraId="6CD3550D" w14:textId="77777777" w:rsidR="00663784" w:rsidRPr="00DD12C2" w:rsidRDefault="00663784" w:rsidP="00663784">
      <w:pPr>
        <w:suppressLineNumbers/>
        <w:spacing w:line="240" w:lineRule="auto"/>
        <w:rPr>
          <w:i/>
          <w:iCs/>
        </w:rPr>
      </w:pPr>
    </w:p>
    <w:p w14:paraId="0272BC67" w14:textId="77777777" w:rsidR="00663784" w:rsidRPr="00DD12C2" w:rsidRDefault="005A3D7D" w:rsidP="00663784">
      <w:pPr>
        <w:widowControl w:val="0"/>
        <w:spacing w:line="240" w:lineRule="auto"/>
      </w:pPr>
      <w:r w:rsidRPr="00DD12C2">
        <w:t xml:space="preserve">Each sachet of granules </w:t>
      </w:r>
      <w:r w:rsidRPr="00DD12C2">
        <w:t>contains 75 mg of ivacaftor.</w:t>
      </w:r>
    </w:p>
    <w:p w14:paraId="06B26575" w14:textId="77777777" w:rsidR="00663784" w:rsidRPr="00DD12C2" w:rsidRDefault="00663784" w:rsidP="00663784">
      <w:pPr>
        <w:suppressLineNumbers/>
        <w:spacing w:line="240" w:lineRule="auto"/>
      </w:pPr>
    </w:p>
    <w:p w14:paraId="04EAE92A" w14:textId="77777777" w:rsidR="00663784" w:rsidRPr="00DD12C2" w:rsidRDefault="00663784" w:rsidP="00663784">
      <w:pPr>
        <w:suppressLineNumbers/>
        <w:spacing w:line="240" w:lineRule="auto"/>
      </w:pPr>
    </w:p>
    <w:p w14:paraId="42FFA872" w14:textId="77777777" w:rsidR="00663784" w:rsidRPr="00DD12C2"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DD12C2">
        <w:rPr>
          <w:b/>
          <w:bCs/>
        </w:rPr>
        <w:t>3.</w:t>
      </w:r>
      <w:r w:rsidRPr="00DD12C2">
        <w:rPr>
          <w:b/>
          <w:bCs/>
        </w:rPr>
        <w:tab/>
        <w:t>LIST OF EXCIPIENTS</w:t>
      </w:r>
    </w:p>
    <w:p w14:paraId="64EDF0D6" w14:textId="77777777" w:rsidR="00663784" w:rsidRPr="00DD12C2" w:rsidRDefault="00663784" w:rsidP="00663784">
      <w:pPr>
        <w:suppressLineNumbers/>
        <w:spacing w:line="240" w:lineRule="auto"/>
      </w:pPr>
    </w:p>
    <w:p w14:paraId="173D295F" w14:textId="77777777" w:rsidR="00663784" w:rsidRPr="00DD12C2" w:rsidRDefault="005A3D7D" w:rsidP="00663784">
      <w:pPr>
        <w:spacing w:line="240" w:lineRule="auto"/>
      </w:pPr>
      <w:r w:rsidRPr="00DD12C2">
        <w:t>Contains lactose.</w:t>
      </w:r>
    </w:p>
    <w:p w14:paraId="2068DD02" w14:textId="77777777" w:rsidR="00663784" w:rsidRPr="00DD12C2" w:rsidRDefault="00663784" w:rsidP="00663784">
      <w:pPr>
        <w:spacing w:line="240" w:lineRule="auto"/>
      </w:pPr>
    </w:p>
    <w:p w14:paraId="71F351BE" w14:textId="77777777" w:rsidR="00663784" w:rsidRPr="00DD12C2" w:rsidRDefault="005A3D7D" w:rsidP="00663784">
      <w:pPr>
        <w:spacing w:line="240" w:lineRule="auto"/>
      </w:pPr>
      <w:r w:rsidRPr="00DD12C2">
        <w:rPr>
          <w:highlight w:val="lightGray"/>
        </w:rPr>
        <w:t>See leaflet for further information.</w:t>
      </w:r>
    </w:p>
    <w:p w14:paraId="1E93D2D2" w14:textId="77777777" w:rsidR="00663784" w:rsidRPr="00DD12C2" w:rsidRDefault="00663784" w:rsidP="00663784">
      <w:pPr>
        <w:suppressLineNumbers/>
        <w:spacing w:line="240" w:lineRule="auto"/>
      </w:pPr>
    </w:p>
    <w:p w14:paraId="280B923D" w14:textId="77777777" w:rsidR="00663784" w:rsidRPr="00DD12C2" w:rsidRDefault="00663784" w:rsidP="00663784">
      <w:pPr>
        <w:suppressLineNumbers/>
        <w:spacing w:line="240" w:lineRule="auto"/>
      </w:pPr>
    </w:p>
    <w:p w14:paraId="5EF600BB" w14:textId="77777777" w:rsidR="00663784" w:rsidRPr="00DD12C2"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DD12C2">
        <w:rPr>
          <w:b/>
          <w:bCs/>
        </w:rPr>
        <w:t>4.</w:t>
      </w:r>
      <w:r w:rsidRPr="00DD12C2">
        <w:rPr>
          <w:b/>
          <w:bCs/>
        </w:rPr>
        <w:tab/>
        <w:t>PHARMACEUTICAL FORM AND CONTENTS</w:t>
      </w:r>
    </w:p>
    <w:p w14:paraId="1E86E638" w14:textId="77777777" w:rsidR="00663784" w:rsidRPr="00DD12C2" w:rsidRDefault="00663784" w:rsidP="00663784">
      <w:pPr>
        <w:suppressLineNumbers/>
        <w:spacing w:line="240" w:lineRule="auto"/>
      </w:pPr>
    </w:p>
    <w:p w14:paraId="383AB57B" w14:textId="77777777" w:rsidR="00663784" w:rsidRPr="00DD12C2" w:rsidRDefault="005A3D7D" w:rsidP="00663784">
      <w:pPr>
        <w:spacing w:line="240" w:lineRule="auto"/>
        <w:rPr>
          <w:lang w:val="en-US"/>
        </w:rPr>
      </w:pPr>
      <w:r w:rsidRPr="00DD12C2">
        <w:rPr>
          <w:highlight w:val="lightGray"/>
          <w:lang w:val="en-US"/>
        </w:rPr>
        <w:t>Granules in sachet</w:t>
      </w:r>
    </w:p>
    <w:p w14:paraId="3F50FFEF" w14:textId="77777777" w:rsidR="00663784" w:rsidRPr="00DD12C2" w:rsidRDefault="00663784" w:rsidP="00663784">
      <w:pPr>
        <w:spacing w:line="240" w:lineRule="auto"/>
        <w:rPr>
          <w:lang w:val="en-US"/>
        </w:rPr>
      </w:pPr>
    </w:p>
    <w:p w14:paraId="21773BE8" w14:textId="77777777" w:rsidR="00663784" w:rsidRPr="00DD12C2" w:rsidRDefault="005A3D7D" w:rsidP="00663784">
      <w:pPr>
        <w:spacing w:line="240" w:lineRule="auto"/>
        <w:rPr>
          <w:lang w:val="en-US"/>
        </w:rPr>
      </w:pPr>
      <w:r w:rsidRPr="00DD12C2">
        <w:rPr>
          <w:lang w:val="en-US"/>
        </w:rPr>
        <w:t>56 sachets</w:t>
      </w:r>
    </w:p>
    <w:p w14:paraId="76420314" w14:textId="77777777" w:rsidR="00663784" w:rsidRPr="00DD12C2" w:rsidRDefault="00663784" w:rsidP="00663784">
      <w:pPr>
        <w:spacing w:line="240" w:lineRule="auto"/>
        <w:rPr>
          <w:lang w:val="en-US"/>
        </w:rPr>
      </w:pPr>
    </w:p>
    <w:p w14:paraId="5D7D0143" w14:textId="77777777" w:rsidR="00663784" w:rsidRPr="00DD12C2" w:rsidRDefault="005A3D7D" w:rsidP="00663784">
      <w:pPr>
        <w:spacing w:line="240" w:lineRule="auto"/>
      </w:pPr>
      <w:r w:rsidRPr="00DD12C2">
        <w:rPr>
          <w:lang w:val="en-US"/>
        </w:rPr>
        <w:t>4 individual wallets with 14 sachets per wallet</w:t>
      </w:r>
    </w:p>
    <w:p w14:paraId="1FA64FDE" w14:textId="77777777" w:rsidR="00663784" w:rsidRPr="00DD12C2" w:rsidRDefault="00663784" w:rsidP="00663784">
      <w:pPr>
        <w:suppressLineNumbers/>
        <w:spacing w:line="240" w:lineRule="auto"/>
      </w:pPr>
    </w:p>
    <w:p w14:paraId="4A52BA09" w14:textId="77777777" w:rsidR="00663784" w:rsidRPr="00DD12C2" w:rsidRDefault="00663784" w:rsidP="00663784">
      <w:pPr>
        <w:suppressLineNumbers/>
        <w:spacing w:line="240" w:lineRule="auto"/>
      </w:pPr>
    </w:p>
    <w:p w14:paraId="62B7C28F" w14:textId="77777777" w:rsidR="00663784" w:rsidRPr="00DD12C2"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DD12C2">
        <w:rPr>
          <w:b/>
          <w:bCs/>
        </w:rPr>
        <w:t>5.</w:t>
      </w:r>
      <w:r w:rsidRPr="00DD12C2">
        <w:rPr>
          <w:b/>
          <w:bCs/>
        </w:rPr>
        <w:tab/>
        <w:t xml:space="preserve">METHOD AND </w:t>
      </w:r>
      <w:r w:rsidRPr="00DD12C2">
        <w:rPr>
          <w:b/>
          <w:bCs/>
        </w:rPr>
        <w:t>ROUTE(S) OF ADMINISTRATION</w:t>
      </w:r>
    </w:p>
    <w:p w14:paraId="3EAFD93E" w14:textId="77777777" w:rsidR="00663784" w:rsidRPr="00DD12C2" w:rsidRDefault="00663784" w:rsidP="00663784">
      <w:pPr>
        <w:suppressLineNumbers/>
        <w:spacing w:line="240" w:lineRule="auto"/>
      </w:pPr>
    </w:p>
    <w:p w14:paraId="7B2DEB93" w14:textId="77777777" w:rsidR="00663784" w:rsidRPr="00DD12C2" w:rsidRDefault="005A3D7D" w:rsidP="00663784">
      <w:pPr>
        <w:suppressLineNumbers/>
        <w:spacing w:line="240" w:lineRule="auto"/>
      </w:pPr>
      <w:r w:rsidRPr="00DD12C2">
        <w:t>Read the package leaflet before use.</w:t>
      </w:r>
    </w:p>
    <w:p w14:paraId="2BB34E41" w14:textId="77777777" w:rsidR="00663784" w:rsidRPr="00DD12C2" w:rsidRDefault="00663784" w:rsidP="00663784">
      <w:pPr>
        <w:suppressLineNumbers/>
        <w:spacing w:line="240" w:lineRule="auto"/>
      </w:pPr>
    </w:p>
    <w:p w14:paraId="18CDE42A" w14:textId="77777777" w:rsidR="00663784" w:rsidRPr="00DD12C2" w:rsidRDefault="005A3D7D" w:rsidP="00663784">
      <w:pPr>
        <w:spacing w:line="240" w:lineRule="auto"/>
      </w:pPr>
      <w:r w:rsidRPr="00DD12C2">
        <w:rPr>
          <w:lang w:val="en-US"/>
        </w:rPr>
        <w:t>Oral use</w:t>
      </w:r>
    </w:p>
    <w:p w14:paraId="2DB6DCDA" w14:textId="77777777" w:rsidR="00663784" w:rsidRPr="00DD12C2" w:rsidRDefault="00663784" w:rsidP="00663784">
      <w:pPr>
        <w:suppressLineNumbers/>
        <w:spacing w:line="240" w:lineRule="auto"/>
      </w:pPr>
    </w:p>
    <w:p w14:paraId="5B435682" w14:textId="77777777" w:rsidR="00663784" w:rsidRDefault="005A3D7D" w:rsidP="00663784">
      <w:pPr>
        <w:suppressLineNumbers/>
        <w:spacing w:line="240" w:lineRule="auto"/>
        <w:rPr>
          <w:b/>
          <w:bCs/>
          <w:lang w:val="en-US"/>
        </w:rPr>
      </w:pPr>
      <w:r>
        <w:rPr>
          <w:b/>
          <w:bCs/>
          <w:lang w:val="en-US"/>
        </w:rPr>
        <w:t>Instructions for use</w:t>
      </w:r>
    </w:p>
    <w:p w14:paraId="415AA5B9" w14:textId="77777777" w:rsidR="00663784" w:rsidRPr="00DD12C2" w:rsidRDefault="00663784" w:rsidP="00663784">
      <w:pPr>
        <w:suppressLineNumbers/>
        <w:spacing w:line="240" w:lineRule="auto"/>
      </w:pPr>
    </w:p>
    <w:p w14:paraId="4D9484A5" w14:textId="77777777" w:rsidR="00663784" w:rsidRPr="00DD12C2" w:rsidRDefault="005A3D7D" w:rsidP="00663784">
      <w:pPr>
        <w:suppressLineNumbers/>
        <w:spacing w:line="240" w:lineRule="auto"/>
        <w:rPr>
          <w:bCs/>
          <w:lang w:val="en-US"/>
        </w:rPr>
      </w:pPr>
      <w:r w:rsidRPr="00DD12C2">
        <w:t>Mix the entire content of a sachet with 5 mL of age-appropriate soft food or liquid that is at or below room temperature and consume it completely.</w:t>
      </w:r>
    </w:p>
    <w:p w14:paraId="55B190FF" w14:textId="77777777" w:rsidR="00663784" w:rsidRPr="00DD12C2" w:rsidRDefault="00663784" w:rsidP="00663784">
      <w:pPr>
        <w:suppressLineNumbers/>
        <w:spacing w:line="240" w:lineRule="auto"/>
        <w:rPr>
          <w:bCs/>
          <w:lang w:val="en-US"/>
        </w:rPr>
      </w:pPr>
    </w:p>
    <w:p w14:paraId="1814656C" w14:textId="77777777" w:rsidR="00663784" w:rsidRPr="00DD12C2" w:rsidRDefault="005A3D7D" w:rsidP="00663784">
      <w:pPr>
        <w:suppressLineNumbers/>
        <w:spacing w:line="240" w:lineRule="auto"/>
      </w:pPr>
      <w:r w:rsidRPr="00DD12C2">
        <w:t xml:space="preserve">Use </w:t>
      </w:r>
      <w:r w:rsidRPr="00DD12C2">
        <w:t>within one hour after mixing, just before or after a fat</w:t>
      </w:r>
      <w:r w:rsidRPr="00DD12C2">
        <w:noBreakHyphen/>
        <w:t>containing meal or snack.</w:t>
      </w:r>
    </w:p>
    <w:p w14:paraId="6183B174" w14:textId="77777777" w:rsidR="00663784" w:rsidRPr="00DD12C2" w:rsidRDefault="00663784" w:rsidP="00663784">
      <w:pPr>
        <w:suppressLineNumbers/>
        <w:spacing w:line="240" w:lineRule="auto"/>
      </w:pPr>
    </w:p>
    <w:p w14:paraId="143BAB73" w14:textId="77777777" w:rsidR="00663784" w:rsidRPr="00DD12C2" w:rsidRDefault="005A3D7D" w:rsidP="00663784">
      <w:pPr>
        <w:suppressLineNumbers/>
        <w:spacing w:line="240" w:lineRule="auto"/>
      </w:pPr>
      <w:r w:rsidRPr="00DD12C2">
        <w:t>Lift here to open</w:t>
      </w:r>
    </w:p>
    <w:p w14:paraId="502D1B5D" w14:textId="77777777" w:rsidR="00663784" w:rsidRPr="00DD12C2" w:rsidRDefault="00663784" w:rsidP="00663784">
      <w:pPr>
        <w:suppressLineNumbers/>
        <w:spacing w:line="240" w:lineRule="auto"/>
      </w:pPr>
    </w:p>
    <w:p w14:paraId="6D7FAEA7" w14:textId="77777777" w:rsidR="00663784" w:rsidRPr="00DD12C2" w:rsidRDefault="00663784" w:rsidP="00663784">
      <w:pPr>
        <w:suppressLineNumbers/>
        <w:spacing w:line="240" w:lineRule="auto"/>
      </w:pPr>
    </w:p>
    <w:p w14:paraId="565C1DC6" w14:textId="77777777" w:rsidR="00663784" w:rsidRPr="00DD12C2" w:rsidRDefault="005A3D7D" w:rsidP="00663784">
      <w:pPr>
        <w:keepNext/>
        <w:suppressLineNumbers/>
        <w:pBdr>
          <w:top w:val="single" w:sz="4" w:space="1" w:color="auto"/>
          <w:left w:val="single" w:sz="4" w:space="4" w:color="auto"/>
          <w:bottom w:val="single" w:sz="4" w:space="1" w:color="auto"/>
          <w:right w:val="single" w:sz="4" w:space="4" w:color="auto"/>
        </w:pBdr>
        <w:spacing w:line="240" w:lineRule="auto"/>
        <w:ind w:left="562" w:hanging="562"/>
        <w:outlineLvl w:val="1"/>
      </w:pPr>
      <w:r w:rsidRPr="00DD12C2">
        <w:rPr>
          <w:b/>
          <w:bCs/>
        </w:rPr>
        <w:t>6.</w:t>
      </w:r>
      <w:r w:rsidRPr="00DD12C2">
        <w:rPr>
          <w:b/>
          <w:bCs/>
        </w:rPr>
        <w:tab/>
        <w:t>SPECIAL WARNING THAT THE MEDICINAL PRODUCT MUST BE STORED OUT OF THE SIGHT AND REACH OF CHILDREN</w:t>
      </w:r>
    </w:p>
    <w:p w14:paraId="26EF1E5B" w14:textId="77777777" w:rsidR="00663784" w:rsidRPr="00DD12C2" w:rsidRDefault="00663784" w:rsidP="00663784">
      <w:pPr>
        <w:keepNext/>
        <w:suppressLineNumbers/>
        <w:spacing w:line="240" w:lineRule="auto"/>
      </w:pPr>
    </w:p>
    <w:p w14:paraId="3E6C5257" w14:textId="77777777" w:rsidR="00663784" w:rsidRPr="00DD12C2" w:rsidRDefault="005A3D7D" w:rsidP="00663784">
      <w:pPr>
        <w:spacing w:line="240" w:lineRule="auto"/>
      </w:pPr>
      <w:r w:rsidRPr="00DD12C2">
        <w:t>Keep out of the sight and reach of children.</w:t>
      </w:r>
    </w:p>
    <w:p w14:paraId="5C9F9FCE" w14:textId="77777777" w:rsidR="00663784" w:rsidRPr="00DD12C2" w:rsidRDefault="00663784" w:rsidP="00663784">
      <w:pPr>
        <w:spacing w:line="240" w:lineRule="auto"/>
      </w:pPr>
    </w:p>
    <w:p w14:paraId="72C2979F" w14:textId="77777777" w:rsidR="00663784" w:rsidRPr="00DD12C2" w:rsidRDefault="00663784" w:rsidP="00663784">
      <w:pPr>
        <w:spacing w:line="240" w:lineRule="auto"/>
      </w:pPr>
    </w:p>
    <w:p w14:paraId="2E3F9D48" w14:textId="77777777" w:rsidR="00663784" w:rsidRPr="00DD12C2" w:rsidRDefault="005A3D7D" w:rsidP="00663784">
      <w:pPr>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DD12C2">
        <w:rPr>
          <w:b/>
          <w:bCs/>
        </w:rPr>
        <w:t>7.</w:t>
      </w:r>
      <w:r w:rsidRPr="00DD12C2">
        <w:rPr>
          <w:b/>
          <w:bCs/>
        </w:rPr>
        <w:tab/>
        <w:t>O</w:t>
      </w:r>
      <w:r w:rsidRPr="00DD12C2">
        <w:rPr>
          <w:b/>
          <w:bCs/>
        </w:rPr>
        <w:t>THER SPECIAL WARNING(S), IF NECESSARY</w:t>
      </w:r>
    </w:p>
    <w:p w14:paraId="5981A9FF" w14:textId="77777777" w:rsidR="00663784" w:rsidRPr="00DD12C2" w:rsidRDefault="00663784" w:rsidP="00663784">
      <w:pPr>
        <w:suppressLineNumbers/>
        <w:spacing w:line="240" w:lineRule="auto"/>
      </w:pPr>
    </w:p>
    <w:p w14:paraId="5E63897B" w14:textId="77777777" w:rsidR="00663784" w:rsidRPr="00DD12C2" w:rsidRDefault="00663784" w:rsidP="00663784">
      <w:pPr>
        <w:suppressLineNumbers/>
        <w:tabs>
          <w:tab w:val="left" w:pos="749"/>
        </w:tabs>
        <w:spacing w:line="240" w:lineRule="auto"/>
      </w:pPr>
    </w:p>
    <w:p w14:paraId="2B9E1877" w14:textId="77777777" w:rsidR="00663784" w:rsidRPr="00DD12C2" w:rsidRDefault="005A3D7D" w:rsidP="00663784">
      <w:pPr>
        <w:keepNext/>
        <w:suppressLineNumbers/>
        <w:pBdr>
          <w:top w:val="single" w:sz="4" w:space="1" w:color="auto"/>
          <w:left w:val="single" w:sz="4" w:space="4" w:color="auto"/>
          <w:bottom w:val="single" w:sz="4" w:space="1" w:color="auto"/>
          <w:right w:val="single" w:sz="4" w:space="4" w:color="auto"/>
        </w:pBdr>
        <w:spacing w:line="240" w:lineRule="auto"/>
        <w:ind w:left="562" w:hanging="562"/>
        <w:outlineLvl w:val="1"/>
      </w:pPr>
      <w:r w:rsidRPr="00DD12C2">
        <w:rPr>
          <w:b/>
          <w:bCs/>
        </w:rPr>
        <w:t>8.</w:t>
      </w:r>
      <w:r w:rsidRPr="00DD12C2">
        <w:rPr>
          <w:b/>
          <w:bCs/>
        </w:rPr>
        <w:tab/>
        <w:t>EXPIRY DATE</w:t>
      </w:r>
    </w:p>
    <w:p w14:paraId="6B1D4C78" w14:textId="77777777" w:rsidR="00663784" w:rsidRPr="00DD12C2" w:rsidRDefault="00663784" w:rsidP="00663784">
      <w:pPr>
        <w:keepNext/>
        <w:suppressLineNumbers/>
        <w:spacing w:line="240" w:lineRule="auto"/>
      </w:pPr>
    </w:p>
    <w:p w14:paraId="5E0B7D1F" w14:textId="77777777" w:rsidR="00663784" w:rsidRPr="00DD12C2" w:rsidRDefault="005A3D7D" w:rsidP="00663784">
      <w:pPr>
        <w:suppressLineNumbers/>
        <w:spacing w:line="240" w:lineRule="auto"/>
      </w:pPr>
      <w:r w:rsidRPr="00DD12C2">
        <w:t xml:space="preserve">EXP </w:t>
      </w:r>
    </w:p>
    <w:p w14:paraId="79CBECE5" w14:textId="77777777" w:rsidR="00663784" w:rsidRPr="00DD12C2" w:rsidRDefault="00663784" w:rsidP="00663784">
      <w:pPr>
        <w:suppressLineNumbers/>
        <w:spacing w:line="240" w:lineRule="auto"/>
      </w:pPr>
    </w:p>
    <w:p w14:paraId="1F4BF6D8" w14:textId="77777777" w:rsidR="00663784" w:rsidRPr="00DD12C2" w:rsidRDefault="00663784" w:rsidP="00663784">
      <w:pPr>
        <w:suppressLineNumbers/>
        <w:spacing w:line="240" w:lineRule="auto"/>
      </w:pPr>
    </w:p>
    <w:p w14:paraId="40497471" w14:textId="77777777" w:rsidR="00663784" w:rsidRPr="00DD12C2" w:rsidRDefault="005A3D7D" w:rsidP="00663784">
      <w:pPr>
        <w:keepNext/>
        <w:suppressLineNumbers/>
        <w:pBdr>
          <w:top w:val="single" w:sz="4" w:space="1" w:color="auto"/>
          <w:left w:val="single" w:sz="4" w:space="4" w:color="auto"/>
          <w:bottom w:val="single" w:sz="4" w:space="1" w:color="auto"/>
          <w:right w:val="single" w:sz="4" w:space="4" w:color="auto"/>
        </w:pBdr>
        <w:spacing w:line="240" w:lineRule="auto"/>
        <w:ind w:left="567" w:hanging="567"/>
        <w:outlineLvl w:val="1"/>
      </w:pPr>
      <w:r w:rsidRPr="00DD12C2">
        <w:rPr>
          <w:b/>
          <w:bCs/>
        </w:rPr>
        <w:t>9.</w:t>
      </w:r>
      <w:r w:rsidRPr="00DD12C2">
        <w:rPr>
          <w:b/>
          <w:bCs/>
        </w:rPr>
        <w:tab/>
        <w:t>SPECIAL STORAGE CONDITIONS</w:t>
      </w:r>
    </w:p>
    <w:p w14:paraId="5D04E0D3" w14:textId="77777777" w:rsidR="00663784" w:rsidRPr="00DD12C2" w:rsidRDefault="00663784" w:rsidP="00663784">
      <w:pPr>
        <w:suppressLineNumbers/>
        <w:spacing w:line="240" w:lineRule="auto"/>
      </w:pPr>
    </w:p>
    <w:p w14:paraId="1F31ED53" w14:textId="77777777" w:rsidR="00663784" w:rsidRPr="00DD12C2" w:rsidRDefault="00663784" w:rsidP="00663784">
      <w:pPr>
        <w:spacing w:line="240" w:lineRule="auto"/>
      </w:pPr>
    </w:p>
    <w:p w14:paraId="596A477E" w14:textId="77777777" w:rsidR="00663784" w:rsidRPr="00DD12C2" w:rsidRDefault="005A3D7D"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10.</w:t>
      </w:r>
      <w:r w:rsidRPr="00DD12C2">
        <w:rPr>
          <w:b/>
          <w:bCs/>
        </w:rPr>
        <w:tab/>
        <w:t>SPECIAL PRECAUTIONS FOR DISPOSAL OF UNUSED MEDICINAL PRODUCTS OR WASTE MATERIALS DERIVED FROM SUCH MEDICINAL PRODUCTS, IF APPROPRIATE</w:t>
      </w:r>
    </w:p>
    <w:p w14:paraId="5D458B68" w14:textId="77777777" w:rsidR="00663784" w:rsidRPr="00DD12C2" w:rsidRDefault="00663784" w:rsidP="00663784">
      <w:pPr>
        <w:spacing w:line="240" w:lineRule="auto"/>
        <w:rPr>
          <w:b/>
          <w:bCs/>
        </w:rPr>
      </w:pPr>
    </w:p>
    <w:p w14:paraId="5001FE6E" w14:textId="77777777" w:rsidR="00663784" w:rsidRPr="00DD12C2" w:rsidRDefault="00663784" w:rsidP="00663784">
      <w:pPr>
        <w:spacing w:line="240" w:lineRule="auto"/>
        <w:rPr>
          <w:b/>
          <w:bCs/>
        </w:rPr>
      </w:pPr>
    </w:p>
    <w:p w14:paraId="778AA025" w14:textId="77777777" w:rsidR="00663784" w:rsidRPr="00DD12C2" w:rsidRDefault="005A3D7D" w:rsidP="00663784">
      <w:pPr>
        <w:suppressLineNumbers/>
        <w:pBdr>
          <w:top w:val="single" w:sz="4" w:space="1" w:color="auto"/>
          <w:left w:val="single" w:sz="4" w:space="4" w:color="auto"/>
          <w:bottom w:val="single" w:sz="4" w:space="1" w:color="auto"/>
          <w:right w:val="single" w:sz="4" w:space="4" w:color="auto"/>
        </w:pBdr>
        <w:spacing w:line="240" w:lineRule="auto"/>
        <w:outlineLvl w:val="1"/>
        <w:rPr>
          <w:b/>
          <w:bCs/>
        </w:rPr>
      </w:pPr>
      <w:r w:rsidRPr="00DD12C2">
        <w:rPr>
          <w:b/>
          <w:bCs/>
        </w:rPr>
        <w:t>11.</w:t>
      </w:r>
      <w:r w:rsidRPr="00DD12C2">
        <w:rPr>
          <w:b/>
          <w:bCs/>
        </w:rPr>
        <w:tab/>
        <w:t xml:space="preserve">NAME AND </w:t>
      </w:r>
      <w:r w:rsidRPr="00DD12C2">
        <w:rPr>
          <w:b/>
          <w:bCs/>
        </w:rPr>
        <w:t>ADDRESS OF THE MARKETING AUTHORISATION HOLDER</w:t>
      </w:r>
    </w:p>
    <w:p w14:paraId="1C2E91A5" w14:textId="77777777" w:rsidR="00663784" w:rsidRPr="00DD12C2" w:rsidRDefault="00663784" w:rsidP="00663784">
      <w:pPr>
        <w:suppressLineNumbers/>
        <w:spacing w:line="240" w:lineRule="auto"/>
      </w:pPr>
    </w:p>
    <w:p w14:paraId="4196377D" w14:textId="77777777" w:rsidR="00663784" w:rsidRPr="00420287" w:rsidRDefault="005A3D7D" w:rsidP="00663784">
      <w:pPr>
        <w:rPr>
          <w:iCs/>
        </w:rPr>
      </w:pPr>
      <w:r w:rsidRPr="00420287">
        <w:rPr>
          <w:iCs/>
        </w:rPr>
        <w:t>Vertex Pharmaceuticals (Ireland) Limited</w:t>
      </w:r>
    </w:p>
    <w:p w14:paraId="3ADB9A5D" w14:textId="77777777" w:rsidR="00663784" w:rsidRPr="00420287" w:rsidRDefault="005A3D7D" w:rsidP="00663784">
      <w:pPr>
        <w:rPr>
          <w:iCs/>
        </w:rPr>
      </w:pPr>
      <w:r w:rsidRPr="00420287">
        <w:rPr>
          <w:iCs/>
        </w:rPr>
        <w:t>28-32 Pembroke Street Upper</w:t>
      </w:r>
    </w:p>
    <w:p w14:paraId="15BDC777" w14:textId="77777777" w:rsidR="00663784" w:rsidRPr="00420287" w:rsidRDefault="005A3D7D" w:rsidP="00663784">
      <w:pPr>
        <w:rPr>
          <w:iCs/>
        </w:rPr>
      </w:pPr>
      <w:r w:rsidRPr="00420287">
        <w:rPr>
          <w:iCs/>
        </w:rPr>
        <w:t>Dublin 2</w:t>
      </w:r>
      <w:r>
        <w:rPr>
          <w:iCs/>
        </w:rPr>
        <w:t xml:space="preserve">, </w:t>
      </w:r>
      <w:r w:rsidRPr="00420287">
        <w:rPr>
          <w:iCs/>
        </w:rPr>
        <w:t>D02 EK84</w:t>
      </w:r>
    </w:p>
    <w:p w14:paraId="2C99E65D" w14:textId="77777777" w:rsidR="00663784" w:rsidRDefault="005A3D7D" w:rsidP="00663784">
      <w:pPr>
        <w:pStyle w:val="NormalIndent"/>
        <w:spacing w:after="0"/>
        <w:ind w:left="0"/>
        <w:rPr>
          <w:iCs/>
        </w:rPr>
      </w:pPr>
      <w:r w:rsidRPr="00420287">
        <w:rPr>
          <w:iCs/>
        </w:rPr>
        <w:t>Ireland</w:t>
      </w:r>
    </w:p>
    <w:p w14:paraId="2727583A" w14:textId="77777777" w:rsidR="00663784" w:rsidRPr="00DD12C2" w:rsidRDefault="00663784" w:rsidP="00663784">
      <w:pPr>
        <w:pStyle w:val="NormalIndent"/>
        <w:spacing w:after="0"/>
        <w:ind w:left="0"/>
        <w:rPr>
          <w:lang w:val="en-US"/>
        </w:rPr>
      </w:pPr>
    </w:p>
    <w:p w14:paraId="2B7065C4" w14:textId="77777777" w:rsidR="00663784" w:rsidRPr="00DD12C2" w:rsidRDefault="00663784" w:rsidP="00663784">
      <w:pPr>
        <w:pStyle w:val="NormalIndent"/>
        <w:spacing w:after="0"/>
        <w:ind w:left="0"/>
        <w:rPr>
          <w:lang w:val="en-US"/>
        </w:rPr>
      </w:pPr>
    </w:p>
    <w:p w14:paraId="11FCC8A1" w14:textId="77777777" w:rsidR="00663784" w:rsidRPr="00DD12C2" w:rsidRDefault="005A3D7D" w:rsidP="00663784">
      <w:pPr>
        <w:suppressLineNumbers/>
        <w:pBdr>
          <w:top w:val="single" w:sz="4" w:space="1" w:color="auto"/>
          <w:left w:val="single" w:sz="4" w:space="4" w:color="auto"/>
          <w:bottom w:val="single" w:sz="4" w:space="1" w:color="auto"/>
          <w:right w:val="single" w:sz="4" w:space="4" w:color="auto"/>
        </w:pBdr>
        <w:spacing w:line="240" w:lineRule="auto"/>
        <w:outlineLvl w:val="1"/>
      </w:pPr>
      <w:r w:rsidRPr="00DD12C2">
        <w:rPr>
          <w:b/>
          <w:bCs/>
        </w:rPr>
        <w:t>12.</w:t>
      </w:r>
      <w:r w:rsidRPr="00DD12C2">
        <w:rPr>
          <w:b/>
          <w:bCs/>
        </w:rPr>
        <w:tab/>
        <w:t xml:space="preserve">MARKETING AUTHORISATION NUMBER(S) </w:t>
      </w:r>
    </w:p>
    <w:p w14:paraId="29A97359" w14:textId="77777777" w:rsidR="00663784" w:rsidRPr="00DD12C2" w:rsidRDefault="00663784" w:rsidP="00663784">
      <w:pPr>
        <w:suppressLineNumbers/>
        <w:spacing w:line="240" w:lineRule="auto"/>
      </w:pPr>
    </w:p>
    <w:p w14:paraId="64BAF346" w14:textId="77777777" w:rsidR="00663784" w:rsidRPr="00DD12C2" w:rsidRDefault="005A3D7D" w:rsidP="00663784">
      <w:pPr>
        <w:suppressLineNumbers/>
        <w:spacing w:line="240" w:lineRule="auto"/>
      </w:pPr>
      <w:r w:rsidRPr="00DD12C2">
        <w:t>EU/1/12/782/004</w:t>
      </w:r>
    </w:p>
    <w:p w14:paraId="7313AB61" w14:textId="77777777" w:rsidR="00663784" w:rsidRPr="00DD12C2" w:rsidRDefault="00663784" w:rsidP="00663784">
      <w:pPr>
        <w:suppressLineNumbers/>
        <w:spacing w:line="240" w:lineRule="auto"/>
      </w:pPr>
    </w:p>
    <w:p w14:paraId="54A2981B" w14:textId="77777777" w:rsidR="00663784" w:rsidRPr="00DD12C2" w:rsidRDefault="00663784" w:rsidP="00663784">
      <w:pPr>
        <w:suppressLineNumbers/>
        <w:spacing w:line="240" w:lineRule="auto"/>
      </w:pPr>
    </w:p>
    <w:p w14:paraId="7CB224FD" w14:textId="77777777" w:rsidR="00663784" w:rsidRPr="00DD12C2" w:rsidRDefault="005A3D7D" w:rsidP="00663784">
      <w:pPr>
        <w:suppressLineNumbers/>
        <w:pBdr>
          <w:top w:val="single" w:sz="4" w:space="1" w:color="auto"/>
          <w:left w:val="single" w:sz="4" w:space="4" w:color="auto"/>
          <w:bottom w:val="single" w:sz="4" w:space="1" w:color="auto"/>
          <w:right w:val="single" w:sz="4" w:space="4" w:color="auto"/>
        </w:pBdr>
        <w:spacing w:line="240" w:lineRule="auto"/>
        <w:outlineLvl w:val="1"/>
      </w:pPr>
      <w:r w:rsidRPr="00DD12C2">
        <w:rPr>
          <w:b/>
          <w:bCs/>
        </w:rPr>
        <w:t>13.</w:t>
      </w:r>
      <w:r w:rsidRPr="00DD12C2">
        <w:rPr>
          <w:b/>
          <w:bCs/>
        </w:rPr>
        <w:tab/>
        <w:t>BATCH NUMBER</w:t>
      </w:r>
    </w:p>
    <w:p w14:paraId="5941EE4D" w14:textId="77777777" w:rsidR="00663784" w:rsidRPr="00DD12C2" w:rsidRDefault="00663784" w:rsidP="00663784">
      <w:pPr>
        <w:suppressLineNumbers/>
        <w:spacing w:line="240" w:lineRule="auto"/>
        <w:rPr>
          <w:iCs/>
        </w:rPr>
      </w:pPr>
    </w:p>
    <w:p w14:paraId="515FEB7E" w14:textId="77777777" w:rsidR="00663784" w:rsidRPr="00DD12C2" w:rsidRDefault="005A3D7D" w:rsidP="00663784">
      <w:pPr>
        <w:suppressLineNumbers/>
        <w:spacing w:line="240" w:lineRule="auto"/>
      </w:pPr>
      <w:r w:rsidRPr="00DD12C2">
        <w:t>Lot</w:t>
      </w:r>
    </w:p>
    <w:p w14:paraId="67DA33B6" w14:textId="77777777" w:rsidR="00663784" w:rsidRPr="00DD12C2" w:rsidRDefault="00663784" w:rsidP="00663784">
      <w:pPr>
        <w:spacing w:line="240" w:lineRule="auto"/>
      </w:pPr>
    </w:p>
    <w:p w14:paraId="38FEBF62" w14:textId="77777777" w:rsidR="00663784" w:rsidRPr="00DD12C2" w:rsidRDefault="00663784" w:rsidP="00663784">
      <w:pPr>
        <w:spacing w:line="240" w:lineRule="auto"/>
      </w:pPr>
    </w:p>
    <w:p w14:paraId="2000EC85" w14:textId="77777777" w:rsidR="00663784" w:rsidRPr="00DD12C2" w:rsidRDefault="005A3D7D" w:rsidP="00663784">
      <w:pPr>
        <w:suppressLineNumbers/>
        <w:pBdr>
          <w:top w:val="single" w:sz="4" w:space="1" w:color="auto"/>
          <w:left w:val="single" w:sz="4" w:space="4" w:color="auto"/>
          <w:bottom w:val="single" w:sz="4" w:space="1" w:color="auto"/>
          <w:right w:val="single" w:sz="4" w:space="4" w:color="auto"/>
        </w:pBdr>
        <w:spacing w:line="240" w:lineRule="auto"/>
        <w:outlineLvl w:val="1"/>
      </w:pPr>
      <w:r w:rsidRPr="00DD12C2">
        <w:rPr>
          <w:b/>
          <w:bCs/>
        </w:rPr>
        <w:t>14.</w:t>
      </w:r>
      <w:r w:rsidRPr="00DD12C2">
        <w:rPr>
          <w:b/>
          <w:bCs/>
        </w:rPr>
        <w:tab/>
        <w:t xml:space="preserve">GENERAL </w:t>
      </w:r>
      <w:r w:rsidRPr="00DD12C2">
        <w:rPr>
          <w:b/>
          <w:bCs/>
        </w:rPr>
        <w:t>CLASSIFICATION FOR SUPPLY</w:t>
      </w:r>
    </w:p>
    <w:p w14:paraId="5E7E5C97" w14:textId="77777777" w:rsidR="00663784" w:rsidRPr="00DD12C2" w:rsidRDefault="00663784" w:rsidP="00663784">
      <w:pPr>
        <w:suppressLineNumbers/>
        <w:spacing w:line="240" w:lineRule="auto"/>
        <w:rPr>
          <w:lang w:val="en-US"/>
        </w:rPr>
      </w:pPr>
    </w:p>
    <w:p w14:paraId="30B3087D" w14:textId="77777777" w:rsidR="00663784" w:rsidRPr="00DD12C2" w:rsidRDefault="00663784" w:rsidP="00663784">
      <w:pPr>
        <w:suppressLineNumbers/>
        <w:spacing w:line="240" w:lineRule="auto"/>
        <w:rPr>
          <w:lang w:val="en-US"/>
        </w:rPr>
      </w:pPr>
    </w:p>
    <w:p w14:paraId="5F597202" w14:textId="77777777" w:rsidR="00663784" w:rsidRPr="00DD12C2" w:rsidRDefault="005A3D7D" w:rsidP="00663784">
      <w:pPr>
        <w:suppressLineNumbers/>
        <w:pBdr>
          <w:top w:val="single" w:sz="4" w:space="2" w:color="auto"/>
          <w:left w:val="single" w:sz="4" w:space="4" w:color="auto"/>
          <w:bottom w:val="single" w:sz="4" w:space="1" w:color="auto"/>
          <w:right w:val="single" w:sz="4" w:space="4" w:color="auto"/>
        </w:pBdr>
        <w:spacing w:line="240" w:lineRule="auto"/>
        <w:outlineLvl w:val="1"/>
      </w:pPr>
      <w:r w:rsidRPr="00DD12C2">
        <w:rPr>
          <w:b/>
          <w:bCs/>
        </w:rPr>
        <w:t>15.</w:t>
      </w:r>
      <w:r w:rsidRPr="00DD12C2">
        <w:rPr>
          <w:b/>
          <w:bCs/>
        </w:rPr>
        <w:tab/>
        <w:t>INSTRUCTIONS ON USE</w:t>
      </w:r>
    </w:p>
    <w:p w14:paraId="0577A553" w14:textId="77777777" w:rsidR="00663784" w:rsidRPr="00DD12C2" w:rsidRDefault="00663784" w:rsidP="00663784">
      <w:pPr>
        <w:suppressLineNumbers/>
        <w:spacing w:line="240" w:lineRule="auto"/>
        <w:rPr>
          <w:i/>
        </w:rPr>
      </w:pPr>
    </w:p>
    <w:p w14:paraId="5A0E1886" w14:textId="77777777" w:rsidR="00663784" w:rsidRPr="00DD12C2" w:rsidRDefault="00663784" w:rsidP="00663784">
      <w:pPr>
        <w:suppressLineNumbers/>
        <w:spacing w:line="240" w:lineRule="auto"/>
      </w:pPr>
    </w:p>
    <w:p w14:paraId="69CFAF6F" w14:textId="77777777" w:rsidR="00663784" w:rsidRPr="00DD12C2" w:rsidRDefault="005A3D7D" w:rsidP="00663784">
      <w:pPr>
        <w:suppressLineNumbers/>
        <w:pBdr>
          <w:top w:val="single" w:sz="4" w:space="1" w:color="auto"/>
          <w:left w:val="single" w:sz="4" w:space="4" w:color="auto"/>
          <w:bottom w:val="single" w:sz="4" w:space="0" w:color="auto"/>
          <w:right w:val="single" w:sz="4" w:space="4" w:color="auto"/>
        </w:pBdr>
        <w:spacing w:line="240" w:lineRule="auto"/>
      </w:pPr>
      <w:r w:rsidRPr="00DD12C2">
        <w:rPr>
          <w:b/>
          <w:bCs/>
        </w:rPr>
        <w:t>16.</w:t>
      </w:r>
      <w:r w:rsidRPr="00DD12C2">
        <w:rPr>
          <w:b/>
          <w:bCs/>
        </w:rPr>
        <w:tab/>
        <w:t>INFORMATION IN BRAILLE</w:t>
      </w:r>
    </w:p>
    <w:p w14:paraId="5F8A1E99" w14:textId="77777777" w:rsidR="00663784" w:rsidRPr="00DD12C2" w:rsidRDefault="00663784" w:rsidP="00663784">
      <w:pPr>
        <w:suppressLineNumbers/>
        <w:spacing w:line="240" w:lineRule="auto"/>
        <w:rPr>
          <w:shd w:val="clear" w:color="auto" w:fill="CCCCCC"/>
        </w:rPr>
      </w:pPr>
    </w:p>
    <w:p w14:paraId="50C4B54A" w14:textId="77777777" w:rsidR="00663784" w:rsidRPr="00DD12C2" w:rsidRDefault="005A3D7D" w:rsidP="00663784">
      <w:pPr>
        <w:suppressLineNumbers/>
        <w:spacing w:line="240" w:lineRule="auto"/>
      </w:pPr>
      <w:r w:rsidRPr="00DD12C2">
        <w:t>Kalydeco 75 mg granules</w:t>
      </w:r>
    </w:p>
    <w:p w14:paraId="256BAC54" w14:textId="77777777" w:rsidR="00663784" w:rsidRPr="00DD12C2" w:rsidRDefault="00663784" w:rsidP="00663784">
      <w:pPr>
        <w:suppressLineNumbers/>
        <w:spacing w:line="240" w:lineRule="auto"/>
      </w:pPr>
    </w:p>
    <w:p w14:paraId="2EBEE131" w14:textId="77777777" w:rsidR="00663784" w:rsidRPr="00DD12C2" w:rsidRDefault="00663784" w:rsidP="00663784">
      <w:pPr>
        <w:suppressLineNumbers/>
        <w:spacing w:line="240" w:lineRule="auto"/>
      </w:pPr>
    </w:p>
    <w:p w14:paraId="6BD1E3FF" w14:textId="77777777" w:rsidR="00663784" w:rsidRPr="00DD12C2" w:rsidRDefault="005A3D7D" w:rsidP="00663784">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DD12C2">
        <w:rPr>
          <w:bCs w:val="0"/>
          <w:sz w:val="22"/>
          <w:szCs w:val="22"/>
        </w:rPr>
        <w:t>17.</w:t>
      </w:r>
      <w:r w:rsidRPr="00DD12C2">
        <w:rPr>
          <w:bCs w:val="0"/>
          <w:sz w:val="22"/>
          <w:szCs w:val="22"/>
        </w:rPr>
        <w:tab/>
        <w:t>UNIQUE IDENTIFIER – 2D BARCODE</w:t>
      </w:r>
    </w:p>
    <w:p w14:paraId="6E24AD9D" w14:textId="77777777" w:rsidR="00663784" w:rsidRPr="00DD12C2" w:rsidRDefault="00663784" w:rsidP="00663784">
      <w:pPr>
        <w:suppressLineNumbers/>
        <w:spacing w:line="240" w:lineRule="auto"/>
        <w:rPr>
          <w:bCs/>
          <w:lang w:val="en-US"/>
        </w:rPr>
      </w:pPr>
    </w:p>
    <w:p w14:paraId="1025432B" w14:textId="77777777" w:rsidR="00663784" w:rsidRPr="00DD12C2" w:rsidRDefault="005A3D7D" w:rsidP="00663784">
      <w:pPr>
        <w:tabs>
          <w:tab w:val="clear" w:pos="567"/>
        </w:tabs>
        <w:autoSpaceDE w:val="0"/>
        <w:autoSpaceDN w:val="0"/>
        <w:adjustRightInd w:val="0"/>
        <w:spacing w:line="240" w:lineRule="auto"/>
        <w:rPr>
          <w:rFonts w:eastAsia="TimesNewRomanPSMT"/>
          <w:lang w:val="en-US" w:eastAsia="de-DE"/>
        </w:rPr>
      </w:pPr>
      <w:r w:rsidRPr="00DD12C2">
        <w:rPr>
          <w:rFonts w:eastAsia="TimesNewRomanPSMT"/>
          <w:highlight w:val="lightGray"/>
          <w:lang w:val="en-US" w:eastAsia="de-DE"/>
        </w:rPr>
        <w:t>2D barcode carrying the unique identifier included.</w:t>
      </w:r>
    </w:p>
    <w:p w14:paraId="008E8817" w14:textId="77777777" w:rsidR="00663784" w:rsidRPr="00DD12C2" w:rsidRDefault="00663784" w:rsidP="00663784">
      <w:pPr>
        <w:spacing w:line="240" w:lineRule="auto"/>
        <w:rPr>
          <w:lang w:val="en-US"/>
        </w:rPr>
      </w:pPr>
    </w:p>
    <w:p w14:paraId="7707880F" w14:textId="77777777" w:rsidR="00663784" w:rsidRPr="00DD12C2" w:rsidRDefault="00663784" w:rsidP="00663784">
      <w:pPr>
        <w:spacing w:line="240" w:lineRule="auto"/>
        <w:rPr>
          <w:lang w:val="en-US"/>
        </w:rPr>
      </w:pPr>
    </w:p>
    <w:p w14:paraId="76FBA002" w14:textId="77777777" w:rsidR="00663784" w:rsidRPr="00DD12C2" w:rsidRDefault="005A3D7D" w:rsidP="00663784">
      <w:pPr>
        <w:pStyle w:val="Heading2"/>
        <w:pBdr>
          <w:top w:val="single" w:sz="4" w:space="1" w:color="auto"/>
          <w:left w:val="single" w:sz="4" w:space="4" w:color="auto"/>
          <w:bottom w:val="single" w:sz="4" w:space="1" w:color="auto"/>
          <w:right w:val="single" w:sz="4" w:space="4" w:color="auto"/>
        </w:pBdr>
        <w:spacing w:before="0" w:after="0"/>
        <w:rPr>
          <w:sz w:val="22"/>
          <w:szCs w:val="22"/>
        </w:rPr>
      </w:pPr>
      <w:r w:rsidRPr="00DD12C2">
        <w:rPr>
          <w:bCs w:val="0"/>
          <w:sz w:val="22"/>
          <w:szCs w:val="22"/>
        </w:rPr>
        <w:t>18.</w:t>
      </w:r>
      <w:r w:rsidRPr="00DD12C2">
        <w:rPr>
          <w:bCs w:val="0"/>
          <w:sz w:val="22"/>
          <w:szCs w:val="22"/>
        </w:rPr>
        <w:tab/>
        <w:t>UNIQUE IDENTIFIER – HUMAN READABLE DATA</w:t>
      </w:r>
    </w:p>
    <w:p w14:paraId="2E365C25" w14:textId="77777777" w:rsidR="00663784" w:rsidRPr="00DD12C2" w:rsidRDefault="00663784" w:rsidP="00663784">
      <w:pPr>
        <w:keepNext/>
        <w:suppressLineNumbers/>
        <w:spacing w:line="240" w:lineRule="auto"/>
        <w:rPr>
          <w:bCs/>
          <w:lang w:val="en-US"/>
        </w:rPr>
      </w:pPr>
    </w:p>
    <w:p w14:paraId="7679D52C" w14:textId="77777777" w:rsidR="00663784" w:rsidRPr="00DD12C2" w:rsidRDefault="005A3D7D" w:rsidP="00663784">
      <w:pPr>
        <w:keepNext/>
        <w:tabs>
          <w:tab w:val="clear" w:pos="567"/>
        </w:tabs>
        <w:autoSpaceDE w:val="0"/>
        <w:autoSpaceDN w:val="0"/>
        <w:adjustRightInd w:val="0"/>
        <w:spacing w:line="240" w:lineRule="auto"/>
        <w:rPr>
          <w:rFonts w:eastAsia="TimesNewRomanPSMT"/>
          <w:lang w:val="en-US" w:eastAsia="de-DE"/>
        </w:rPr>
      </w:pPr>
      <w:r w:rsidRPr="00DD12C2">
        <w:rPr>
          <w:rFonts w:eastAsia="TimesNewRomanPSMT"/>
          <w:lang w:val="en-US" w:eastAsia="de-DE"/>
        </w:rPr>
        <w:t>PC</w:t>
      </w:r>
    </w:p>
    <w:p w14:paraId="3AF4021B" w14:textId="77777777" w:rsidR="00663784" w:rsidRPr="00DD12C2" w:rsidRDefault="005A3D7D" w:rsidP="00663784">
      <w:pPr>
        <w:tabs>
          <w:tab w:val="clear" w:pos="567"/>
        </w:tabs>
        <w:autoSpaceDE w:val="0"/>
        <w:autoSpaceDN w:val="0"/>
        <w:adjustRightInd w:val="0"/>
        <w:spacing w:line="240" w:lineRule="auto"/>
        <w:rPr>
          <w:rFonts w:eastAsia="TimesNewRomanPSMT"/>
          <w:lang w:val="en-US" w:eastAsia="de-DE"/>
        </w:rPr>
      </w:pPr>
      <w:r w:rsidRPr="00DD12C2">
        <w:rPr>
          <w:rFonts w:eastAsia="TimesNewRomanPSMT"/>
          <w:lang w:val="en-US" w:eastAsia="de-DE"/>
        </w:rPr>
        <w:t>SN</w:t>
      </w:r>
    </w:p>
    <w:p w14:paraId="3E0188DF" w14:textId="77777777" w:rsidR="00663784" w:rsidRPr="00DD12C2" w:rsidRDefault="005A3D7D" w:rsidP="00663784">
      <w:pPr>
        <w:suppressLineNumbers/>
        <w:spacing w:line="240" w:lineRule="auto"/>
        <w:rPr>
          <w:rFonts w:eastAsia="TimesNewRomanPSMT"/>
          <w:color w:val="000000"/>
          <w:lang w:val="en-US" w:eastAsia="de-DE"/>
        </w:rPr>
      </w:pPr>
      <w:r w:rsidRPr="00DD12C2">
        <w:rPr>
          <w:rFonts w:eastAsia="TimesNewRomanPSMT"/>
          <w:color w:val="000000"/>
          <w:lang w:val="en-US" w:eastAsia="de-DE"/>
        </w:rPr>
        <w:t>NN</w:t>
      </w:r>
    </w:p>
    <w:p w14:paraId="5BEC9C4A" w14:textId="77777777" w:rsidR="00663784" w:rsidRPr="00ED65DF" w:rsidRDefault="005A3D7D" w:rsidP="00663784">
      <w:pPr>
        <w:pStyle w:val="Heading1"/>
        <w:pBdr>
          <w:top w:val="single" w:sz="4" w:space="1" w:color="auto"/>
          <w:left w:val="single" w:sz="4" w:space="4" w:color="auto"/>
          <w:bottom w:val="single" w:sz="4" w:space="1" w:color="auto"/>
          <w:right w:val="single" w:sz="4" w:space="4" w:color="auto"/>
        </w:pBdr>
        <w:rPr>
          <w:rFonts w:ascii="Times New Roman" w:hAnsi="Times New Roman" w:cs="Times New Roman"/>
          <w:sz w:val="22"/>
          <w:szCs w:val="22"/>
        </w:rPr>
      </w:pPr>
      <w:r w:rsidRPr="00ED65DF">
        <w:rPr>
          <w:rFonts w:ascii="Times New Roman" w:eastAsia="TimesNewRomanPSMT" w:hAnsi="Times New Roman" w:cs="Times New Roman"/>
          <w:color w:val="000000"/>
          <w:sz w:val="22"/>
          <w:szCs w:val="22"/>
          <w:lang w:val="en-US" w:eastAsia="de-DE"/>
        </w:rPr>
        <w:br w:type="page"/>
      </w:r>
      <w:r w:rsidRPr="00ED65DF">
        <w:rPr>
          <w:rFonts w:ascii="Times New Roman" w:hAnsi="Times New Roman" w:cs="Times New Roman"/>
          <w:sz w:val="22"/>
          <w:szCs w:val="22"/>
        </w:rPr>
        <w:t>PARTICULARS TO APPEAR ON THE INTERMEDIATE PACKAGING</w:t>
      </w:r>
    </w:p>
    <w:p w14:paraId="1F34B573" w14:textId="77777777" w:rsidR="00663784" w:rsidRPr="00ED65DF" w:rsidRDefault="00663784" w:rsidP="00663784">
      <w:pPr>
        <w:suppressLineNumbers/>
        <w:pBdr>
          <w:top w:val="single" w:sz="4" w:space="1" w:color="auto"/>
          <w:left w:val="single" w:sz="4" w:space="4" w:color="auto"/>
          <w:bottom w:val="single" w:sz="4" w:space="1" w:color="auto"/>
          <w:right w:val="single" w:sz="4" w:space="4" w:color="auto"/>
        </w:pBdr>
        <w:spacing w:line="240" w:lineRule="auto"/>
        <w:ind w:left="567" w:hanging="567"/>
        <w:rPr>
          <w:b/>
        </w:rPr>
      </w:pPr>
    </w:p>
    <w:p w14:paraId="4421CC34" w14:textId="77777777" w:rsidR="00663784" w:rsidRPr="00A808AC" w:rsidRDefault="005A3D7D" w:rsidP="00663784">
      <w:pPr>
        <w:pBdr>
          <w:top w:val="single" w:sz="4" w:space="1" w:color="auto"/>
          <w:left w:val="single" w:sz="4" w:space="4" w:color="auto"/>
          <w:bottom w:val="single" w:sz="4" w:space="1" w:color="auto"/>
          <w:right w:val="single" w:sz="4" w:space="4" w:color="auto"/>
        </w:pBdr>
        <w:spacing w:line="240" w:lineRule="auto"/>
      </w:pPr>
      <w:r w:rsidRPr="00A808AC">
        <w:rPr>
          <w:b/>
          <w:bCs/>
          <w:caps/>
        </w:rPr>
        <w:t>WALLET</w:t>
      </w:r>
      <w:r w:rsidRPr="00A808AC">
        <w:rPr>
          <w:b/>
          <w:bCs/>
        </w:rPr>
        <w:t xml:space="preserve"> FOR SACHET</w:t>
      </w:r>
    </w:p>
    <w:p w14:paraId="5FA3AF0C" w14:textId="77777777" w:rsidR="00663784" w:rsidRPr="00A808AC" w:rsidRDefault="00663784" w:rsidP="00663784">
      <w:pPr>
        <w:suppressLineNumbers/>
        <w:spacing w:line="240" w:lineRule="auto"/>
      </w:pPr>
    </w:p>
    <w:p w14:paraId="257F3621" w14:textId="77777777" w:rsidR="00663784" w:rsidRPr="00A808AC" w:rsidRDefault="00663784" w:rsidP="00663784">
      <w:pPr>
        <w:suppressLineNumbers/>
        <w:spacing w:line="240" w:lineRule="auto"/>
      </w:pPr>
    </w:p>
    <w:p w14:paraId="1C4C5081"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w:t>
      </w:r>
      <w:r w:rsidRPr="00A808AC">
        <w:rPr>
          <w:b/>
          <w:bCs/>
        </w:rPr>
        <w:tab/>
        <w:t>NAME OF THE MEDICINAL PRODUCT</w:t>
      </w:r>
    </w:p>
    <w:p w14:paraId="36B92767" w14:textId="77777777" w:rsidR="00663784" w:rsidRPr="00A808AC" w:rsidRDefault="00663784" w:rsidP="00663784">
      <w:pPr>
        <w:suppressLineNumbers/>
        <w:tabs>
          <w:tab w:val="clear" w:pos="567"/>
        </w:tabs>
        <w:spacing w:line="240" w:lineRule="auto"/>
        <w:ind w:left="720" w:hanging="720"/>
      </w:pPr>
    </w:p>
    <w:p w14:paraId="78295948" w14:textId="77777777" w:rsidR="00663784" w:rsidRPr="00A808AC" w:rsidRDefault="005A3D7D" w:rsidP="00663784">
      <w:pPr>
        <w:tabs>
          <w:tab w:val="clear" w:pos="567"/>
        </w:tabs>
        <w:spacing w:line="240" w:lineRule="auto"/>
        <w:ind w:left="720" w:hanging="720"/>
      </w:pPr>
      <w:r w:rsidRPr="00A808AC">
        <w:t>Kalydeco 75</w:t>
      </w:r>
      <w:r>
        <w:t> mg</w:t>
      </w:r>
      <w:r w:rsidRPr="00A808AC">
        <w:t xml:space="preserve"> granules in sachet</w:t>
      </w:r>
    </w:p>
    <w:p w14:paraId="65530834" w14:textId="77777777" w:rsidR="00663784" w:rsidRPr="00A808AC" w:rsidRDefault="005A3D7D" w:rsidP="00663784">
      <w:pPr>
        <w:tabs>
          <w:tab w:val="clear" w:pos="567"/>
        </w:tabs>
        <w:spacing w:line="240" w:lineRule="auto"/>
        <w:ind w:left="720" w:hanging="720"/>
        <w:rPr>
          <w:i/>
          <w:iCs/>
        </w:rPr>
      </w:pPr>
      <w:r>
        <w:t>i</w:t>
      </w:r>
      <w:r w:rsidRPr="00A808AC">
        <w:t>vacaftor</w:t>
      </w:r>
    </w:p>
    <w:p w14:paraId="3D6EA635" w14:textId="77777777" w:rsidR="00663784" w:rsidRPr="00A808AC" w:rsidRDefault="00663784" w:rsidP="00663784">
      <w:pPr>
        <w:suppressLineNumbers/>
        <w:tabs>
          <w:tab w:val="clear" w:pos="567"/>
        </w:tabs>
        <w:spacing w:line="240" w:lineRule="auto"/>
        <w:ind w:left="720" w:hanging="720"/>
      </w:pPr>
    </w:p>
    <w:p w14:paraId="58EB07A2" w14:textId="77777777" w:rsidR="00663784" w:rsidRPr="00A808AC" w:rsidRDefault="00663784" w:rsidP="00663784">
      <w:pPr>
        <w:suppressLineNumbers/>
        <w:tabs>
          <w:tab w:val="clear" w:pos="567"/>
        </w:tabs>
        <w:spacing w:line="240" w:lineRule="auto"/>
        <w:ind w:left="720" w:hanging="720"/>
      </w:pPr>
    </w:p>
    <w:p w14:paraId="4B90BD86"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STATEMENT OF ACTIVE SUBSTANCE</w:t>
      </w:r>
    </w:p>
    <w:p w14:paraId="0AC39832" w14:textId="77777777" w:rsidR="00663784" w:rsidRPr="00A808AC" w:rsidRDefault="00663784" w:rsidP="00663784">
      <w:pPr>
        <w:suppressLineNumbers/>
        <w:tabs>
          <w:tab w:val="clear" w:pos="567"/>
        </w:tabs>
        <w:spacing w:line="240" w:lineRule="auto"/>
        <w:ind w:left="720" w:hanging="720"/>
        <w:rPr>
          <w:i/>
          <w:iCs/>
        </w:rPr>
      </w:pPr>
    </w:p>
    <w:p w14:paraId="0CB279D4" w14:textId="77777777" w:rsidR="00663784" w:rsidRPr="00A808AC" w:rsidRDefault="005A3D7D" w:rsidP="00663784">
      <w:pPr>
        <w:widowControl w:val="0"/>
        <w:tabs>
          <w:tab w:val="clear" w:pos="567"/>
        </w:tabs>
        <w:spacing w:line="240" w:lineRule="auto"/>
        <w:ind w:left="720" w:hanging="720"/>
      </w:pPr>
      <w:r w:rsidRPr="00A808AC">
        <w:t>Each sachet of granules contains 75</w:t>
      </w:r>
      <w:r>
        <w:t> mg</w:t>
      </w:r>
      <w:r w:rsidRPr="00A808AC">
        <w:t xml:space="preserve"> of ivacaftor.</w:t>
      </w:r>
    </w:p>
    <w:p w14:paraId="35F86E51" w14:textId="77777777" w:rsidR="00663784" w:rsidRPr="00A808AC" w:rsidRDefault="00663784" w:rsidP="00663784">
      <w:pPr>
        <w:suppressLineNumbers/>
        <w:tabs>
          <w:tab w:val="clear" w:pos="567"/>
        </w:tabs>
        <w:spacing w:line="240" w:lineRule="auto"/>
        <w:ind w:left="720" w:hanging="720"/>
      </w:pPr>
    </w:p>
    <w:p w14:paraId="16ACEB07" w14:textId="77777777" w:rsidR="00663784" w:rsidRPr="00A808AC" w:rsidRDefault="00663784" w:rsidP="00663784">
      <w:pPr>
        <w:suppressLineNumbers/>
        <w:tabs>
          <w:tab w:val="clear" w:pos="567"/>
        </w:tabs>
        <w:spacing w:line="240" w:lineRule="auto"/>
        <w:ind w:left="720" w:hanging="720"/>
      </w:pPr>
    </w:p>
    <w:p w14:paraId="02C1179B"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3.</w:t>
      </w:r>
      <w:r w:rsidRPr="00A808AC">
        <w:rPr>
          <w:b/>
          <w:bCs/>
        </w:rPr>
        <w:tab/>
        <w:t xml:space="preserve">LIST OF </w:t>
      </w:r>
      <w:r w:rsidRPr="00A808AC">
        <w:rPr>
          <w:b/>
          <w:bCs/>
        </w:rPr>
        <w:t>EXCIPIENTS</w:t>
      </w:r>
    </w:p>
    <w:p w14:paraId="44B3414B" w14:textId="77777777" w:rsidR="00663784" w:rsidRPr="00A808AC" w:rsidRDefault="00663784" w:rsidP="00663784">
      <w:pPr>
        <w:suppressLineNumbers/>
        <w:tabs>
          <w:tab w:val="clear" w:pos="567"/>
        </w:tabs>
        <w:spacing w:line="240" w:lineRule="auto"/>
        <w:ind w:left="720" w:hanging="720"/>
      </w:pPr>
    </w:p>
    <w:p w14:paraId="2BDCA5A1" w14:textId="77777777" w:rsidR="00663784" w:rsidRPr="00EF029B" w:rsidRDefault="005A3D7D" w:rsidP="00663784">
      <w:pPr>
        <w:tabs>
          <w:tab w:val="clear" w:pos="567"/>
        </w:tabs>
        <w:spacing w:line="240" w:lineRule="auto"/>
        <w:ind w:left="720" w:hanging="720"/>
      </w:pPr>
      <w:r w:rsidRPr="00EF029B">
        <w:t>Contains lactose.</w:t>
      </w:r>
    </w:p>
    <w:p w14:paraId="4ACAD1A0" w14:textId="77777777" w:rsidR="00663784" w:rsidRPr="00EF029B" w:rsidRDefault="00663784" w:rsidP="00663784">
      <w:pPr>
        <w:tabs>
          <w:tab w:val="clear" w:pos="567"/>
        </w:tabs>
        <w:spacing w:line="240" w:lineRule="auto"/>
        <w:ind w:left="720" w:hanging="720"/>
      </w:pPr>
    </w:p>
    <w:p w14:paraId="61D8D38B" w14:textId="77777777" w:rsidR="00663784" w:rsidRPr="00EF029B" w:rsidRDefault="005A3D7D" w:rsidP="00663784">
      <w:pPr>
        <w:tabs>
          <w:tab w:val="clear" w:pos="567"/>
        </w:tabs>
        <w:spacing w:line="240" w:lineRule="auto"/>
        <w:ind w:left="720" w:hanging="720"/>
      </w:pPr>
      <w:r w:rsidRPr="00EF029B">
        <w:rPr>
          <w:highlight w:val="lightGray"/>
        </w:rPr>
        <w:t>See leaflet for further information.</w:t>
      </w:r>
    </w:p>
    <w:p w14:paraId="56387554" w14:textId="77777777" w:rsidR="00663784" w:rsidRPr="00EF029B" w:rsidRDefault="00663784" w:rsidP="00663784">
      <w:pPr>
        <w:suppressLineNumbers/>
        <w:tabs>
          <w:tab w:val="clear" w:pos="567"/>
        </w:tabs>
        <w:spacing w:line="240" w:lineRule="auto"/>
        <w:ind w:left="720" w:hanging="720"/>
      </w:pPr>
    </w:p>
    <w:p w14:paraId="4EF9FEB1" w14:textId="77777777" w:rsidR="00663784" w:rsidRPr="00EF029B" w:rsidRDefault="00663784" w:rsidP="00663784">
      <w:pPr>
        <w:suppressLineNumbers/>
        <w:tabs>
          <w:tab w:val="clear" w:pos="567"/>
        </w:tabs>
        <w:spacing w:line="240" w:lineRule="auto"/>
        <w:ind w:left="720" w:hanging="720"/>
      </w:pPr>
    </w:p>
    <w:p w14:paraId="67ACAAB5" w14:textId="77777777" w:rsidR="00663784" w:rsidRPr="00EF029B"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EF029B">
        <w:rPr>
          <w:b/>
          <w:bCs/>
        </w:rPr>
        <w:t>4.</w:t>
      </w:r>
      <w:r w:rsidRPr="00EF029B">
        <w:rPr>
          <w:b/>
          <w:bCs/>
        </w:rPr>
        <w:tab/>
        <w:t>PHARMACEUTICAL FORM AND CONTENTS</w:t>
      </w:r>
    </w:p>
    <w:p w14:paraId="661DDCDC" w14:textId="77777777" w:rsidR="00663784" w:rsidRPr="00EF029B" w:rsidRDefault="00663784" w:rsidP="00663784">
      <w:pPr>
        <w:suppressLineNumbers/>
        <w:tabs>
          <w:tab w:val="clear" w:pos="567"/>
        </w:tabs>
        <w:spacing w:line="240" w:lineRule="auto"/>
        <w:ind w:left="720" w:hanging="720"/>
      </w:pPr>
    </w:p>
    <w:p w14:paraId="22AECE79" w14:textId="77777777" w:rsidR="00663784" w:rsidRPr="00EF029B" w:rsidRDefault="005A3D7D" w:rsidP="00663784">
      <w:pPr>
        <w:tabs>
          <w:tab w:val="clear" w:pos="567"/>
        </w:tabs>
        <w:spacing w:line="240" w:lineRule="auto"/>
        <w:ind w:left="720" w:hanging="720"/>
        <w:rPr>
          <w:lang w:val="en-US"/>
        </w:rPr>
      </w:pPr>
      <w:r w:rsidRPr="00EF029B">
        <w:rPr>
          <w:highlight w:val="lightGray"/>
          <w:lang w:val="en-US"/>
        </w:rPr>
        <w:t>Granules in sachet</w:t>
      </w:r>
    </w:p>
    <w:p w14:paraId="2733B6AD" w14:textId="77777777" w:rsidR="00663784" w:rsidRPr="00EF029B" w:rsidRDefault="00663784" w:rsidP="00663784">
      <w:pPr>
        <w:tabs>
          <w:tab w:val="clear" w:pos="567"/>
        </w:tabs>
        <w:spacing w:line="240" w:lineRule="auto"/>
        <w:ind w:left="720" w:hanging="720"/>
        <w:rPr>
          <w:lang w:val="en-US"/>
        </w:rPr>
      </w:pPr>
    </w:p>
    <w:p w14:paraId="05F3BF9A" w14:textId="77777777" w:rsidR="00663784" w:rsidRPr="00EF029B" w:rsidRDefault="005A3D7D" w:rsidP="00663784">
      <w:pPr>
        <w:tabs>
          <w:tab w:val="clear" w:pos="567"/>
        </w:tabs>
        <w:spacing w:line="240" w:lineRule="auto"/>
        <w:ind w:left="720" w:hanging="720"/>
      </w:pPr>
      <w:r w:rsidRPr="00EF029B">
        <w:rPr>
          <w:lang w:val="en-US"/>
        </w:rPr>
        <w:t>14 sachets</w:t>
      </w:r>
    </w:p>
    <w:p w14:paraId="730A259F" w14:textId="77777777" w:rsidR="00663784" w:rsidRPr="00EF029B" w:rsidRDefault="00663784" w:rsidP="00663784">
      <w:pPr>
        <w:suppressLineNumbers/>
        <w:tabs>
          <w:tab w:val="clear" w:pos="567"/>
        </w:tabs>
        <w:spacing w:line="240" w:lineRule="auto"/>
        <w:ind w:left="720" w:hanging="720"/>
      </w:pPr>
    </w:p>
    <w:p w14:paraId="67524B2E" w14:textId="77777777" w:rsidR="00663784" w:rsidRPr="00EF029B" w:rsidRDefault="00663784" w:rsidP="00663784">
      <w:pPr>
        <w:suppressLineNumbers/>
        <w:tabs>
          <w:tab w:val="clear" w:pos="567"/>
        </w:tabs>
        <w:spacing w:line="240" w:lineRule="auto"/>
        <w:ind w:left="720" w:hanging="720"/>
      </w:pPr>
    </w:p>
    <w:p w14:paraId="5B1B1ED1" w14:textId="77777777" w:rsidR="00663784" w:rsidRPr="00EF029B"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EF029B">
        <w:rPr>
          <w:b/>
          <w:bCs/>
        </w:rPr>
        <w:t>5.</w:t>
      </w:r>
      <w:r w:rsidRPr="00EF029B">
        <w:rPr>
          <w:b/>
          <w:bCs/>
        </w:rPr>
        <w:tab/>
        <w:t>METHOD AND ROUTE(S) OF ADMINISTRATION</w:t>
      </w:r>
    </w:p>
    <w:p w14:paraId="3A7A2279" w14:textId="77777777" w:rsidR="00663784" w:rsidRPr="00EF029B" w:rsidRDefault="00663784" w:rsidP="00663784">
      <w:pPr>
        <w:suppressLineNumbers/>
        <w:tabs>
          <w:tab w:val="clear" w:pos="567"/>
        </w:tabs>
        <w:spacing w:line="240" w:lineRule="auto"/>
        <w:ind w:left="720" w:hanging="720"/>
      </w:pPr>
    </w:p>
    <w:p w14:paraId="7A896108" w14:textId="77777777" w:rsidR="00663784" w:rsidRPr="00EF029B" w:rsidRDefault="005A3D7D" w:rsidP="00663784">
      <w:pPr>
        <w:suppressLineNumbers/>
        <w:tabs>
          <w:tab w:val="clear" w:pos="567"/>
        </w:tabs>
        <w:spacing w:line="240" w:lineRule="auto"/>
        <w:ind w:left="720" w:hanging="720"/>
      </w:pPr>
      <w:r w:rsidRPr="00EF029B">
        <w:t>Read the package leaflet before use.</w:t>
      </w:r>
    </w:p>
    <w:p w14:paraId="035C7163" w14:textId="77777777" w:rsidR="00663784" w:rsidRPr="00EF029B" w:rsidRDefault="00663784" w:rsidP="00663784">
      <w:pPr>
        <w:suppressLineNumbers/>
        <w:tabs>
          <w:tab w:val="clear" w:pos="567"/>
        </w:tabs>
        <w:spacing w:line="240" w:lineRule="auto"/>
        <w:ind w:left="720" w:hanging="720"/>
      </w:pPr>
    </w:p>
    <w:p w14:paraId="0C7691A6" w14:textId="77777777" w:rsidR="00663784" w:rsidRPr="00EF029B" w:rsidRDefault="005A3D7D" w:rsidP="00663784">
      <w:pPr>
        <w:tabs>
          <w:tab w:val="clear" w:pos="567"/>
        </w:tabs>
        <w:spacing w:line="240" w:lineRule="auto"/>
        <w:ind w:left="720" w:hanging="720"/>
      </w:pPr>
      <w:r w:rsidRPr="00EF029B">
        <w:rPr>
          <w:lang w:val="en-US"/>
        </w:rPr>
        <w:t>Oral use</w:t>
      </w:r>
    </w:p>
    <w:p w14:paraId="3BBE4700" w14:textId="77777777" w:rsidR="00663784" w:rsidRPr="00EF029B" w:rsidRDefault="00663784" w:rsidP="00663784">
      <w:pPr>
        <w:tabs>
          <w:tab w:val="clear" w:pos="567"/>
        </w:tabs>
        <w:spacing w:line="240" w:lineRule="auto"/>
        <w:ind w:left="720" w:hanging="720"/>
      </w:pPr>
    </w:p>
    <w:p w14:paraId="0DB69F99" w14:textId="77777777" w:rsidR="00663784" w:rsidRDefault="005A3D7D" w:rsidP="00663784">
      <w:pPr>
        <w:suppressLineNumbers/>
        <w:tabs>
          <w:tab w:val="clear" w:pos="567"/>
        </w:tabs>
        <w:spacing w:line="240" w:lineRule="auto"/>
        <w:rPr>
          <w:b/>
          <w:bCs/>
          <w:lang w:val="en-US"/>
        </w:rPr>
      </w:pPr>
      <w:r>
        <w:rPr>
          <w:b/>
          <w:bCs/>
          <w:lang w:val="en-US"/>
        </w:rPr>
        <w:t>Instructions for use</w:t>
      </w:r>
    </w:p>
    <w:p w14:paraId="321566D5" w14:textId="77777777" w:rsidR="00663784" w:rsidRPr="00EF029B" w:rsidRDefault="00663784" w:rsidP="00663784">
      <w:pPr>
        <w:suppressLineNumbers/>
        <w:tabs>
          <w:tab w:val="clear" w:pos="567"/>
        </w:tabs>
        <w:spacing w:line="240" w:lineRule="auto"/>
        <w:ind w:left="720" w:hanging="720"/>
      </w:pPr>
    </w:p>
    <w:p w14:paraId="7A16C055" w14:textId="77777777" w:rsidR="00663784" w:rsidRPr="00EF029B" w:rsidRDefault="005A3D7D" w:rsidP="00663784">
      <w:pPr>
        <w:suppressLineNumbers/>
        <w:tabs>
          <w:tab w:val="clear" w:pos="567"/>
        </w:tabs>
        <w:spacing w:line="240" w:lineRule="auto"/>
      </w:pPr>
      <w:r w:rsidRPr="00EF029B">
        <w:t>Mix the entire content of a sachet with 5 mL of age-appropriate soft food or liquid that is at or below room temperature and consume it completely.</w:t>
      </w:r>
    </w:p>
    <w:p w14:paraId="55DD7D9B" w14:textId="77777777" w:rsidR="00663784" w:rsidRPr="00EF029B" w:rsidRDefault="00663784" w:rsidP="00663784">
      <w:pPr>
        <w:suppressLineNumbers/>
        <w:tabs>
          <w:tab w:val="clear" w:pos="567"/>
        </w:tabs>
        <w:spacing w:line="240" w:lineRule="auto"/>
        <w:ind w:left="720" w:hanging="720"/>
      </w:pPr>
    </w:p>
    <w:p w14:paraId="2D287F8C" w14:textId="77777777" w:rsidR="00663784" w:rsidRPr="00EF029B" w:rsidRDefault="005A3D7D" w:rsidP="00663784">
      <w:pPr>
        <w:suppressLineNumbers/>
        <w:tabs>
          <w:tab w:val="clear" w:pos="567"/>
        </w:tabs>
        <w:spacing w:line="240" w:lineRule="auto"/>
        <w:ind w:left="720" w:hanging="720"/>
      </w:pPr>
      <w:r w:rsidRPr="00EF029B">
        <w:t>Use within one hour after mixing, just before or after a fat-containing meal or snack.</w:t>
      </w:r>
    </w:p>
    <w:p w14:paraId="05B1E858" w14:textId="77777777" w:rsidR="00663784" w:rsidRPr="00EF029B" w:rsidRDefault="00663784" w:rsidP="00663784">
      <w:pPr>
        <w:suppressLineNumbers/>
        <w:tabs>
          <w:tab w:val="clear" w:pos="567"/>
        </w:tabs>
        <w:spacing w:line="240" w:lineRule="auto"/>
        <w:ind w:left="720" w:hanging="720"/>
      </w:pPr>
    </w:p>
    <w:p w14:paraId="152B1A37" w14:textId="77777777" w:rsidR="00663784" w:rsidRPr="00EF029B" w:rsidRDefault="005A3D7D" w:rsidP="00663784">
      <w:pPr>
        <w:suppressLineNumbers/>
        <w:tabs>
          <w:tab w:val="clear" w:pos="567"/>
        </w:tabs>
        <w:spacing w:line="240" w:lineRule="auto"/>
        <w:ind w:left="720" w:hanging="720"/>
      </w:pPr>
      <w:r w:rsidRPr="00EF029B">
        <w:t xml:space="preserve">Use all </w:t>
      </w:r>
      <w:r w:rsidRPr="00EF029B">
        <w:t>7 days’ doses before starting a new wallet.</w:t>
      </w:r>
    </w:p>
    <w:p w14:paraId="319963D5" w14:textId="77777777" w:rsidR="00663784" w:rsidRPr="00EF029B" w:rsidRDefault="00663784" w:rsidP="00663784">
      <w:pPr>
        <w:suppressLineNumbers/>
        <w:tabs>
          <w:tab w:val="clear" w:pos="567"/>
        </w:tabs>
        <w:spacing w:line="240" w:lineRule="auto"/>
        <w:ind w:left="720" w:hanging="720"/>
      </w:pPr>
    </w:p>
    <w:p w14:paraId="6497B087" w14:textId="77777777" w:rsidR="00663784" w:rsidRPr="00EF029B" w:rsidRDefault="005A3D7D" w:rsidP="00663784">
      <w:pPr>
        <w:tabs>
          <w:tab w:val="clear" w:pos="567"/>
        </w:tabs>
        <w:ind w:left="720" w:hanging="720"/>
        <w:rPr>
          <w:bCs/>
        </w:rPr>
      </w:pPr>
      <w:r w:rsidRPr="00EF029B">
        <w:rPr>
          <w:bCs/>
        </w:rPr>
        <w:t>Morning</w:t>
      </w:r>
    </w:p>
    <w:p w14:paraId="2A5C1631" w14:textId="77777777" w:rsidR="00663784" w:rsidRPr="00EF029B" w:rsidRDefault="00663784" w:rsidP="00663784">
      <w:pPr>
        <w:tabs>
          <w:tab w:val="clear" w:pos="567"/>
        </w:tabs>
        <w:ind w:left="720" w:hanging="720"/>
        <w:rPr>
          <w:bCs/>
        </w:rPr>
      </w:pPr>
    </w:p>
    <w:p w14:paraId="29CC25E7" w14:textId="77777777" w:rsidR="00663784" w:rsidRPr="00EF029B" w:rsidRDefault="005A3D7D" w:rsidP="00663784">
      <w:pPr>
        <w:tabs>
          <w:tab w:val="clear" w:pos="567"/>
        </w:tabs>
        <w:ind w:left="720" w:hanging="720"/>
        <w:rPr>
          <w:bCs/>
        </w:rPr>
      </w:pPr>
      <w:r w:rsidRPr="00EF029B">
        <w:rPr>
          <w:bCs/>
        </w:rPr>
        <w:t>Evening</w:t>
      </w:r>
    </w:p>
    <w:p w14:paraId="17D6C911" w14:textId="77777777" w:rsidR="00663784" w:rsidRPr="00EF029B" w:rsidRDefault="00663784" w:rsidP="00663784">
      <w:pPr>
        <w:tabs>
          <w:tab w:val="clear" w:pos="567"/>
        </w:tabs>
        <w:ind w:left="720" w:hanging="720"/>
        <w:rPr>
          <w:bCs/>
        </w:rPr>
      </w:pPr>
    </w:p>
    <w:p w14:paraId="25EC42DB" w14:textId="77777777" w:rsidR="00663784" w:rsidRPr="00EF029B" w:rsidRDefault="005A3D7D" w:rsidP="00663784">
      <w:pPr>
        <w:tabs>
          <w:tab w:val="clear" w:pos="567"/>
        </w:tabs>
        <w:ind w:left="720" w:hanging="720"/>
        <w:rPr>
          <w:bCs/>
        </w:rPr>
      </w:pPr>
      <w:r w:rsidRPr="00EF029B">
        <w:rPr>
          <w:bCs/>
        </w:rPr>
        <w:t>Mon. Tue. Wed. Thu. Fri. Sat. Sun.</w:t>
      </w:r>
    </w:p>
    <w:p w14:paraId="73CD8F71" w14:textId="77777777" w:rsidR="00663784" w:rsidRPr="00EF029B" w:rsidRDefault="00663784" w:rsidP="00663784">
      <w:pPr>
        <w:tabs>
          <w:tab w:val="clear" w:pos="567"/>
        </w:tabs>
        <w:ind w:left="720" w:hanging="720"/>
      </w:pPr>
    </w:p>
    <w:p w14:paraId="3004D19F" w14:textId="77777777" w:rsidR="00663784" w:rsidRPr="00EF029B" w:rsidRDefault="00663784" w:rsidP="00663784">
      <w:pPr>
        <w:tabs>
          <w:tab w:val="clear" w:pos="567"/>
        </w:tabs>
        <w:ind w:left="720" w:hanging="720"/>
      </w:pPr>
    </w:p>
    <w:p w14:paraId="43EA8612" w14:textId="77777777" w:rsidR="00663784" w:rsidRPr="00A808AC" w:rsidRDefault="005A3D7D" w:rsidP="00663784">
      <w:pPr>
        <w:keepNext/>
        <w:suppressLineNumbers/>
        <w:pBdr>
          <w:top w:val="single" w:sz="4" w:space="1" w:color="auto"/>
          <w:left w:val="single" w:sz="4" w:space="4" w:color="auto"/>
          <w:bottom w:val="single" w:sz="4" w:space="1" w:color="auto"/>
          <w:right w:val="single" w:sz="4" w:space="4" w:color="auto"/>
        </w:pBdr>
        <w:tabs>
          <w:tab w:val="clear" w:pos="567"/>
          <w:tab w:val="left" w:pos="4680"/>
        </w:tabs>
        <w:spacing w:line="240" w:lineRule="auto"/>
        <w:ind w:left="720" w:hanging="720"/>
        <w:outlineLvl w:val="1"/>
      </w:pPr>
      <w:r w:rsidRPr="00EF029B">
        <w:rPr>
          <w:b/>
          <w:bCs/>
        </w:rPr>
        <w:t>6.</w:t>
      </w:r>
      <w:r w:rsidRPr="00EF029B">
        <w:rPr>
          <w:b/>
          <w:bCs/>
        </w:rPr>
        <w:tab/>
        <w:t>SPECIAL</w:t>
      </w:r>
      <w:r w:rsidRPr="00A808AC">
        <w:rPr>
          <w:b/>
          <w:bCs/>
        </w:rPr>
        <w:t xml:space="preserve"> WARNING THAT THE MEDICINAL PRODUCT MUST BE STORED OUT OF THE SIGHT AND REACH OF CHILDREN</w:t>
      </w:r>
    </w:p>
    <w:p w14:paraId="17263B0E" w14:textId="77777777" w:rsidR="00663784" w:rsidRPr="00A808AC" w:rsidRDefault="00663784" w:rsidP="00663784">
      <w:pPr>
        <w:keepNext/>
        <w:suppressLineNumbers/>
        <w:tabs>
          <w:tab w:val="clear" w:pos="567"/>
          <w:tab w:val="left" w:pos="4680"/>
        </w:tabs>
        <w:spacing w:line="240" w:lineRule="auto"/>
        <w:ind w:left="720" w:hanging="720"/>
      </w:pPr>
    </w:p>
    <w:p w14:paraId="30B44BBF" w14:textId="77777777" w:rsidR="00663784" w:rsidRPr="00A808AC" w:rsidRDefault="005A3D7D" w:rsidP="00663784">
      <w:pPr>
        <w:tabs>
          <w:tab w:val="clear" w:pos="567"/>
        </w:tabs>
        <w:ind w:left="720" w:hanging="720"/>
      </w:pPr>
      <w:r w:rsidRPr="00A808AC">
        <w:t>Keep out of the sight and reach of children.</w:t>
      </w:r>
    </w:p>
    <w:p w14:paraId="0FCAB90E" w14:textId="77777777" w:rsidR="00663784" w:rsidRPr="00A808AC" w:rsidRDefault="00663784" w:rsidP="00663784">
      <w:pPr>
        <w:suppressLineNumbers/>
        <w:tabs>
          <w:tab w:val="clear" w:pos="567"/>
        </w:tabs>
        <w:spacing w:line="240" w:lineRule="auto"/>
        <w:ind w:left="720" w:hanging="720"/>
      </w:pPr>
    </w:p>
    <w:p w14:paraId="6F29F951" w14:textId="77777777" w:rsidR="00663784" w:rsidRPr="00A808AC" w:rsidRDefault="00663784" w:rsidP="00663784">
      <w:pPr>
        <w:suppressLineNumbers/>
        <w:tabs>
          <w:tab w:val="clear" w:pos="567"/>
        </w:tabs>
        <w:spacing w:line="240" w:lineRule="auto"/>
        <w:ind w:left="720" w:hanging="720"/>
      </w:pPr>
    </w:p>
    <w:p w14:paraId="384E9136"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7.</w:t>
      </w:r>
      <w:r w:rsidRPr="00A808AC">
        <w:rPr>
          <w:b/>
          <w:bCs/>
        </w:rPr>
        <w:tab/>
      </w:r>
      <w:r w:rsidRPr="00A808AC">
        <w:rPr>
          <w:b/>
          <w:bCs/>
        </w:rPr>
        <w:t>OTHER SPECIAL WARNING(S), IF NECESSARY</w:t>
      </w:r>
    </w:p>
    <w:p w14:paraId="392596F7" w14:textId="77777777" w:rsidR="00663784" w:rsidRPr="00A808AC" w:rsidRDefault="00663784" w:rsidP="00663784">
      <w:pPr>
        <w:suppressLineNumbers/>
        <w:tabs>
          <w:tab w:val="clear" w:pos="567"/>
        </w:tabs>
        <w:spacing w:line="240" w:lineRule="auto"/>
        <w:ind w:left="720" w:hanging="720"/>
      </w:pPr>
    </w:p>
    <w:p w14:paraId="721D4D1B" w14:textId="77777777" w:rsidR="00663784" w:rsidRPr="00A808AC" w:rsidRDefault="00663784" w:rsidP="00663784">
      <w:pPr>
        <w:suppressLineNumbers/>
        <w:tabs>
          <w:tab w:val="clear" w:pos="567"/>
          <w:tab w:val="left" w:pos="749"/>
        </w:tabs>
        <w:spacing w:line="240" w:lineRule="auto"/>
        <w:ind w:left="720" w:hanging="720"/>
      </w:pPr>
    </w:p>
    <w:p w14:paraId="6923FAAB"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8.</w:t>
      </w:r>
      <w:r w:rsidRPr="00A808AC">
        <w:rPr>
          <w:b/>
          <w:bCs/>
        </w:rPr>
        <w:tab/>
        <w:t>EXPIRY DATE</w:t>
      </w:r>
    </w:p>
    <w:p w14:paraId="245467B0" w14:textId="77777777" w:rsidR="00663784" w:rsidRPr="00A808AC" w:rsidRDefault="00663784" w:rsidP="00663784">
      <w:pPr>
        <w:suppressLineNumbers/>
        <w:tabs>
          <w:tab w:val="clear" w:pos="567"/>
        </w:tabs>
        <w:spacing w:line="240" w:lineRule="auto"/>
        <w:ind w:left="720" w:hanging="720"/>
      </w:pPr>
    </w:p>
    <w:p w14:paraId="551A7E30" w14:textId="77777777" w:rsidR="00663784" w:rsidRPr="00A808AC" w:rsidRDefault="00663784" w:rsidP="00663784">
      <w:pPr>
        <w:suppressLineNumbers/>
        <w:tabs>
          <w:tab w:val="clear" w:pos="567"/>
        </w:tabs>
        <w:spacing w:line="240" w:lineRule="auto"/>
        <w:ind w:left="720" w:hanging="720"/>
      </w:pPr>
    </w:p>
    <w:p w14:paraId="7467DA91" w14:textId="77777777" w:rsidR="00663784" w:rsidRPr="00A808AC" w:rsidRDefault="005A3D7D" w:rsidP="00663784">
      <w:pPr>
        <w:keepNext/>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9.</w:t>
      </w:r>
      <w:r w:rsidRPr="00A808AC">
        <w:rPr>
          <w:b/>
          <w:bCs/>
        </w:rPr>
        <w:tab/>
        <w:t>SPECIAL STORAGE CONDITIONS</w:t>
      </w:r>
    </w:p>
    <w:p w14:paraId="4F38D26E" w14:textId="77777777" w:rsidR="00663784" w:rsidRPr="00A808AC" w:rsidRDefault="00663784" w:rsidP="00663784">
      <w:pPr>
        <w:tabs>
          <w:tab w:val="clear" w:pos="567"/>
        </w:tabs>
        <w:spacing w:line="240" w:lineRule="auto"/>
        <w:ind w:left="720" w:hanging="720"/>
      </w:pPr>
    </w:p>
    <w:p w14:paraId="51ED9336" w14:textId="77777777" w:rsidR="00663784" w:rsidRPr="00A808AC" w:rsidRDefault="00663784" w:rsidP="00663784">
      <w:pPr>
        <w:suppressLineNumbers/>
        <w:tabs>
          <w:tab w:val="clear" w:pos="567"/>
        </w:tabs>
        <w:spacing w:line="240" w:lineRule="auto"/>
        <w:ind w:left="720" w:hanging="720"/>
      </w:pPr>
    </w:p>
    <w:p w14:paraId="223562E0"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10.</w:t>
      </w:r>
      <w:r w:rsidRPr="00A808AC">
        <w:rPr>
          <w:b/>
          <w:bCs/>
        </w:rPr>
        <w:tab/>
        <w:t>SPECIAL PRECAUTIONS FOR DISPOSAL OF UNUSED MEDICINAL PRODUCTS OR WASTE MATERIALS DERIVED FROM SUCH MEDICINAL PRODUCTS, IF APPROPRIATE</w:t>
      </w:r>
    </w:p>
    <w:p w14:paraId="751EE032" w14:textId="77777777" w:rsidR="00663784" w:rsidRPr="00A808AC" w:rsidRDefault="00663784" w:rsidP="00663784">
      <w:pPr>
        <w:suppressLineNumbers/>
        <w:tabs>
          <w:tab w:val="clear" w:pos="567"/>
        </w:tabs>
        <w:spacing w:line="240" w:lineRule="auto"/>
        <w:ind w:left="720" w:hanging="720"/>
      </w:pPr>
    </w:p>
    <w:p w14:paraId="3C8BE08A" w14:textId="77777777" w:rsidR="00663784" w:rsidRPr="00A808AC" w:rsidRDefault="00663784" w:rsidP="00663784">
      <w:pPr>
        <w:suppressLineNumbers/>
        <w:tabs>
          <w:tab w:val="clear" w:pos="567"/>
        </w:tabs>
        <w:spacing w:line="240" w:lineRule="auto"/>
        <w:ind w:left="720" w:hanging="720"/>
      </w:pPr>
    </w:p>
    <w:p w14:paraId="5D31EA12"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11.</w:t>
      </w:r>
      <w:r w:rsidRPr="00A808AC">
        <w:rPr>
          <w:b/>
          <w:bCs/>
        </w:rPr>
        <w:tab/>
        <w:t xml:space="preserve">NAME AND </w:t>
      </w:r>
      <w:r w:rsidRPr="00A808AC">
        <w:rPr>
          <w:b/>
          <w:bCs/>
        </w:rPr>
        <w:t>ADDRESS OF THE MARKETING AUTHORISATION HOLDER</w:t>
      </w:r>
    </w:p>
    <w:p w14:paraId="5EED8982" w14:textId="77777777" w:rsidR="00663784" w:rsidRPr="00A808AC" w:rsidRDefault="00663784" w:rsidP="00663784">
      <w:pPr>
        <w:suppressLineNumbers/>
        <w:tabs>
          <w:tab w:val="clear" w:pos="567"/>
        </w:tabs>
        <w:spacing w:line="240" w:lineRule="auto"/>
        <w:ind w:left="720" w:hanging="720"/>
      </w:pPr>
    </w:p>
    <w:p w14:paraId="59C11951" w14:textId="77777777" w:rsidR="00663784" w:rsidRPr="00420287" w:rsidRDefault="005A3D7D" w:rsidP="00663784">
      <w:pPr>
        <w:rPr>
          <w:iCs/>
        </w:rPr>
      </w:pPr>
      <w:r w:rsidRPr="00420287">
        <w:rPr>
          <w:iCs/>
        </w:rPr>
        <w:t>Vertex Pharmaceuticals (Ireland) Limited</w:t>
      </w:r>
    </w:p>
    <w:p w14:paraId="5FF51124" w14:textId="77777777" w:rsidR="00663784" w:rsidRPr="007762E4" w:rsidRDefault="005A3D7D" w:rsidP="00663784">
      <w:pPr>
        <w:rPr>
          <w:iCs/>
          <w:highlight w:val="lightGray"/>
        </w:rPr>
      </w:pPr>
      <w:r w:rsidRPr="007762E4">
        <w:rPr>
          <w:iCs/>
          <w:highlight w:val="lightGray"/>
        </w:rPr>
        <w:t>28-32 Pembroke Street Upper</w:t>
      </w:r>
    </w:p>
    <w:p w14:paraId="579F6E50" w14:textId="77777777" w:rsidR="00663784" w:rsidRPr="007762E4" w:rsidRDefault="005A3D7D" w:rsidP="00663784">
      <w:pPr>
        <w:rPr>
          <w:iCs/>
          <w:highlight w:val="lightGray"/>
        </w:rPr>
      </w:pPr>
      <w:r w:rsidRPr="007762E4">
        <w:rPr>
          <w:iCs/>
          <w:highlight w:val="lightGray"/>
        </w:rPr>
        <w:t>Dublin 2, D02 EK84</w:t>
      </w:r>
    </w:p>
    <w:p w14:paraId="1A57E3E8" w14:textId="77777777" w:rsidR="00663784" w:rsidRDefault="005A3D7D" w:rsidP="00663784">
      <w:pPr>
        <w:pStyle w:val="NormalIndent"/>
        <w:spacing w:after="0"/>
        <w:ind w:hanging="720"/>
        <w:rPr>
          <w:iCs/>
        </w:rPr>
      </w:pPr>
      <w:r w:rsidRPr="007762E4">
        <w:rPr>
          <w:iCs/>
          <w:highlight w:val="lightGray"/>
        </w:rPr>
        <w:t>Ireland</w:t>
      </w:r>
    </w:p>
    <w:p w14:paraId="38CF03E3" w14:textId="77777777" w:rsidR="00663784" w:rsidRPr="00A808AC" w:rsidRDefault="00663784" w:rsidP="00663784">
      <w:pPr>
        <w:pStyle w:val="NormalIndent"/>
        <w:spacing w:after="0"/>
        <w:ind w:hanging="720"/>
        <w:rPr>
          <w:lang w:val="en-US"/>
        </w:rPr>
      </w:pPr>
    </w:p>
    <w:p w14:paraId="78D4F5AD" w14:textId="77777777" w:rsidR="00663784" w:rsidRPr="00A808AC" w:rsidRDefault="00663784" w:rsidP="00663784">
      <w:pPr>
        <w:pStyle w:val="NormalIndent"/>
        <w:spacing w:after="0"/>
        <w:ind w:hanging="720"/>
        <w:rPr>
          <w:lang w:val="en-US"/>
        </w:rPr>
      </w:pPr>
    </w:p>
    <w:p w14:paraId="1CE1E25D"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12.</w:t>
      </w:r>
      <w:r w:rsidRPr="00A808AC">
        <w:rPr>
          <w:b/>
          <w:bCs/>
        </w:rPr>
        <w:tab/>
        <w:t xml:space="preserve">MARKETING AUTHORISATION NUMBER(S) </w:t>
      </w:r>
    </w:p>
    <w:p w14:paraId="20B5CEA6" w14:textId="77777777" w:rsidR="00663784" w:rsidRPr="00A808AC" w:rsidRDefault="00663784" w:rsidP="00663784">
      <w:pPr>
        <w:suppressLineNumbers/>
        <w:tabs>
          <w:tab w:val="clear" w:pos="567"/>
        </w:tabs>
        <w:spacing w:line="240" w:lineRule="auto"/>
        <w:ind w:left="720" w:hanging="720"/>
        <w:rPr>
          <w:rFonts w:cs="Verdana"/>
        </w:rPr>
      </w:pPr>
    </w:p>
    <w:p w14:paraId="79C56701" w14:textId="77777777" w:rsidR="00663784" w:rsidRPr="00A808AC" w:rsidRDefault="005A3D7D" w:rsidP="00663784">
      <w:pPr>
        <w:suppressLineNumbers/>
        <w:tabs>
          <w:tab w:val="clear" w:pos="567"/>
        </w:tabs>
        <w:spacing w:line="240" w:lineRule="auto"/>
        <w:ind w:left="720" w:hanging="720"/>
      </w:pPr>
      <w:r w:rsidRPr="00A808AC">
        <w:t>EU/1/12/782/004</w:t>
      </w:r>
    </w:p>
    <w:p w14:paraId="250D941D" w14:textId="77777777" w:rsidR="00663784" w:rsidRPr="00A808AC" w:rsidRDefault="00663784" w:rsidP="00663784">
      <w:pPr>
        <w:suppressLineNumbers/>
        <w:tabs>
          <w:tab w:val="clear" w:pos="567"/>
        </w:tabs>
        <w:spacing w:line="240" w:lineRule="auto"/>
        <w:ind w:left="720" w:hanging="720"/>
      </w:pPr>
    </w:p>
    <w:p w14:paraId="14F7F507" w14:textId="77777777" w:rsidR="00663784" w:rsidRPr="00A808AC" w:rsidRDefault="00663784" w:rsidP="00663784">
      <w:pPr>
        <w:suppressLineNumbers/>
        <w:tabs>
          <w:tab w:val="clear" w:pos="567"/>
        </w:tabs>
        <w:spacing w:line="240" w:lineRule="auto"/>
        <w:ind w:left="720" w:hanging="720"/>
      </w:pPr>
    </w:p>
    <w:p w14:paraId="077FD4E1"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13.</w:t>
      </w:r>
      <w:r w:rsidRPr="00A808AC">
        <w:rPr>
          <w:b/>
          <w:bCs/>
        </w:rPr>
        <w:tab/>
        <w:t>BATCH NUMBER</w:t>
      </w:r>
    </w:p>
    <w:p w14:paraId="4E166C37" w14:textId="77777777" w:rsidR="00663784" w:rsidRPr="00A808AC" w:rsidRDefault="00663784" w:rsidP="00663784">
      <w:pPr>
        <w:suppressLineNumbers/>
        <w:tabs>
          <w:tab w:val="clear" w:pos="567"/>
        </w:tabs>
        <w:spacing w:line="240" w:lineRule="auto"/>
        <w:ind w:left="720" w:hanging="720"/>
        <w:rPr>
          <w:iCs/>
        </w:rPr>
      </w:pPr>
    </w:p>
    <w:p w14:paraId="4D4267D3" w14:textId="77777777" w:rsidR="00663784" w:rsidRPr="00A808AC" w:rsidRDefault="00663784" w:rsidP="00663784">
      <w:pPr>
        <w:suppressLineNumbers/>
        <w:tabs>
          <w:tab w:val="clear" w:pos="567"/>
        </w:tabs>
        <w:spacing w:line="240" w:lineRule="auto"/>
        <w:ind w:left="720" w:hanging="720"/>
      </w:pPr>
    </w:p>
    <w:p w14:paraId="0795EE6F"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14.</w:t>
      </w:r>
      <w:r w:rsidRPr="00A808AC">
        <w:rPr>
          <w:b/>
          <w:bCs/>
        </w:rPr>
        <w:tab/>
        <w:t xml:space="preserve">GENERAL </w:t>
      </w:r>
      <w:r w:rsidRPr="00A808AC">
        <w:rPr>
          <w:b/>
          <w:bCs/>
        </w:rPr>
        <w:t>CLASSIFICATION FOR SUPPLY</w:t>
      </w:r>
    </w:p>
    <w:p w14:paraId="1DE8D791" w14:textId="77777777" w:rsidR="00663784" w:rsidRPr="00A808AC" w:rsidRDefault="00663784" w:rsidP="00663784">
      <w:pPr>
        <w:suppressLineNumbers/>
        <w:tabs>
          <w:tab w:val="clear" w:pos="567"/>
        </w:tabs>
        <w:spacing w:line="240" w:lineRule="auto"/>
        <w:ind w:left="720" w:hanging="720"/>
        <w:rPr>
          <w:lang w:val="en-US"/>
        </w:rPr>
      </w:pPr>
    </w:p>
    <w:p w14:paraId="08A294D8" w14:textId="77777777" w:rsidR="00663784" w:rsidRPr="00A808AC" w:rsidRDefault="00663784" w:rsidP="00663784">
      <w:pPr>
        <w:suppressLineNumbers/>
        <w:tabs>
          <w:tab w:val="clear" w:pos="567"/>
        </w:tabs>
        <w:spacing w:line="240" w:lineRule="auto"/>
        <w:ind w:left="720" w:hanging="720"/>
        <w:rPr>
          <w:lang w:val="en-US"/>
        </w:rPr>
      </w:pPr>
    </w:p>
    <w:p w14:paraId="6034DAAA" w14:textId="77777777" w:rsidR="00663784" w:rsidRPr="00A808AC" w:rsidRDefault="005A3D7D" w:rsidP="00663784">
      <w:pPr>
        <w:suppressLineNumbers/>
        <w:pBdr>
          <w:top w:val="single" w:sz="4" w:space="2" w:color="auto"/>
          <w:left w:val="single" w:sz="4" w:space="4" w:color="auto"/>
          <w:bottom w:val="single" w:sz="4" w:space="1" w:color="auto"/>
          <w:right w:val="single" w:sz="4" w:space="4" w:color="auto"/>
        </w:pBdr>
        <w:tabs>
          <w:tab w:val="clear" w:pos="567"/>
        </w:tabs>
        <w:spacing w:line="240" w:lineRule="auto"/>
        <w:ind w:left="720" w:hanging="720"/>
        <w:outlineLvl w:val="1"/>
      </w:pPr>
      <w:r w:rsidRPr="00A808AC">
        <w:rPr>
          <w:b/>
          <w:bCs/>
        </w:rPr>
        <w:t>15.</w:t>
      </w:r>
      <w:r w:rsidRPr="00A808AC">
        <w:rPr>
          <w:b/>
          <w:bCs/>
        </w:rPr>
        <w:tab/>
        <w:t>INSTRUCTIONS ON USE</w:t>
      </w:r>
    </w:p>
    <w:p w14:paraId="66B58E70" w14:textId="77777777" w:rsidR="00663784" w:rsidRPr="00A808AC" w:rsidRDefault="00663784" w:rsidP="00663784">
      <w:pPr>
        <w:suppressLineNumbers/>
        <w:tabs>
          <w:tab w:val="clear" w:pos="567"/>
        </w:tabs>
        <w:spacing w:line="240" w:lineRule="auto"/>
        <w:ind w:left="720" w:hanging="720"/>
      </w:pPr>
    </w:p>
    <w:p w14:paraId="5E2640FE" w14:textId="77777777" w:rsidR="00663784" w:rsidRPr="00A808AC" w:rsidRDefault="00663784" w:rsidP="00663784">
      <w:pPr>
        <w:suppressLineNumbers/>
        <w:tabs>
          <w:tab w:val="clear" w:pos="567"/>
        </w:tabs>
        <w:spacing w:line="240" w:lineRule="auto"/>
        <w:ind w:left="720" w:hanging="720"/>
      </w:pPr>
    </w:p>
    <w:p w14:paraId="7C983619" w14:textId="77777777" w:rsidR="00663784" w:rsidRPr="00ED65DF"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ED65DF">
        <w:rPr>
          <w:bCs w:val="0"/>
          <w:sz w:val="22"/>
          <w:szCs w:val="22"/>
        </w:rPr>
        <w:t>16.</w:t>
      </w:r>
      <w:r w:rsidRPr="00ED65DF">
        <w:rPr>
          <w:bCs w:val="0"/>
          <w:sz w:val="22"/>
          <w:szCs w:val="22"/>
        </w:rPr>
        <w:tab/>
        <w:t>INFORMATION IN BRAILLE</w:t>
      </w:r>
    </w:p>
    <w:p w14:paraId="76605783" w14:textId="77777777" w:rsidR="00663784" w:rsidRDefault="00663784" w:rsidP="00663784">
      <w:pPr>
        <w:tabs>
          <w:tab w:val="clear" w:pos="567"/>
        </w:tabs>
        <w:spacing w:line="240" w:lineRule="auto"/>
        <w:ind w:left="720" w:hanging="720"/>
        <w:rPr>
          <w:bCs/>
        </w:rPr>
      </w:pPr>
    </w:p>
    <w:p w14:paraId="690A354C" w14:textId="77777777" w:rsidR="00663784" w:rsidRDefault="00663784" w:rsidP="00663784">
      <w:pPr>
        <w:tabs>
          <w:tab w:val="clear" w:pos="567"/>
        </w:tabs>
        <w:spacing w:line="240" w:lineRule="auto"/>
        <w:ind w:left="720" w:hanging="720"/>
        <w:rPr>
          <w:bCs/>
        </w:rPr>
      </w:pPr>
    </w:p>
    <w:p w14:paraId="47AB966D" w14:textId="77777777" w:rsidR="00663784" w:rsidRPr="007B0741"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C83CF5">
        <w:rPr>
          <w:bCs w:val="0"/>
          <w:sz w:val="22"/>
          <w:szCs w:val="22"/>
        </w:rPr>
        <w:t>17.</w:t>
      </w:r>
      <w:r w:rsidRPr="00C83CF5">
        <w:rPr>
          <w:bCs w:val="0"/>
          <w:sz w:val="22"/>
          <w:szCs w:val="22"/>
        </w:rPr>
        <w:tab/>
        <w:t>UNIQUE IDENTIFIER – 2D BARCODE</w:t>
      </w:r>
    </w:p>
    <w:p w14:paraId="1CB6AA11" w14:textId="77777777" w:rsidR="00663784" w:rsidRPr="00C83CF5" w:rsidRDefault="00663784" w:rsidP="00663784">
      <w:pPr>
        <w:suppressLineNumbers/>
        <w:tabs>
          <w:tab w:val="clear" w:pos="567"/>
        </w:tabs>
        <w:spacing w:line="240" w:lineRule="auto"/>
        <w:ind w:left="720" w:hanging="720"/>
        <w:rPr>
          <w:bCs/>
          <w:lang w:val="en-US"/>
        </w:rPr>
      </w:pPr>
    </w:p>
    <w:p w14:paraId="26A7192E" w14:textId="77777777" w:rsidR="00663784" w:rsidRPr="00C83CF5" w:rsidRDefault="00663784" w:rsidP="00663784">
      <w:pPr>
        <w:suppressLineNumbers/>
        <w:tabs>
          <w:tab w:val="clear" w:pos="567"/>
        </w:tabs>
        <w:spacing w:line="240" w:lineRule="auto"/>
        <w:ind w:left="720" w:hanging="720"/>
        <w:rPr>
          <w:bCs/>
          <w:lang w:val="en-US"/>
        </w:rPr>
      </w:pPr>
    </w:p>
    <w:p w14:paraId="737DCCBB" w14:textId="77777777" w:rsidR="00663784" w:rsidRPr="007B0741" w:rsidRDefault="005A3D7D" w:rsidP="00663784">
      <w:pPr>
        <w:pStyle w:val="Heading2"/>
        <w:pBdr>
          <w:top w:val="single" w:sz="4" w:space="1" w:color="auto"/>
          <w:left w:val="single" w:sz="4" w:space="4" w:color="auto"/>
          <w:bottom w:val="single" w:sz="4" w:space="1" w:color="auto"/>
          <w:right w:val="single" w:sz="4" w:space="4" w:color="auto"/>
        </w:pBdr>
        <w:spacing w:before="0" w:after="0"/>
        <w:ind w:left="720" w:hanging="720"/>
        <w:rPr>
          <w:sz w:val="22"/>
          <w:szCs w:val="22"/>
        </w:rPr>
      </w:pPr>
      <w:r w:rsidRPr="00C83CF5">
        <w:rPr>
          <w:bCs w:val="0"/>
          <w:sz w:val="22"/>
          <w:szCs w:val="22"/>
        </w:rPr>
        <w:t>18.</w:t>
      </w:r>
      <w:r w:rsidRPr="00C83CF5">
        <w:rPr>
          <w:bCs w:val="0"/>
          <w:sz w:val="22"/>
          <w:szCs w:val="22"/>
        </w:rPr>
        <w:tab/>
        <w:t>UNIQUE IDENTIFIER – HUMAN READABLE DATA</w:t>
      </w:r>
    </w:p>
    <w:p w14:paraId="3C2405AA" w14:textId="77777777" w:rsidR="00663784" w:rsidRDefault="00663784" w:rsidP="00663784">
      <w:pPr>
        <w:suppressLineNumbers/>
        <w:tabs>
          <w:tab w:val="clear" w:pos="567"/>
        </w:tabs>
        <w:spacing w:line="240" w:lineRule="auto"/>
        <w:ind w:left="720" w:hanging="720"/>
        <w:rPr>
          <w:bCs/>
          <w:lang w:val="en-US"/>
        </w:rPr>
      </w:pPr>
    </w:p>
    <w:p w14:paraId="4CFA1B9B" w14:textId="77777777" w:rsidR="00663784" w:rsidRPr="00A808AC" w:rsidRDefault="00663784" w:rsidP="00663784">
      <w:pPr>
        <w:rPr>
          <w:bCs/>
        </w:rPr>
      </w:pPr>
    </w:p>
    <w:p w14:paraId="3201E2C6" w14:textId="77777777" w:rsidR="00663784" w:rsidRPr="00ED65DF" w:rsidRDefault="005A3D7D" w:rsidP="00663784">
      <w:pPr>
        <w:pStyle w:val="Heading1"/>
        <w:pBdr>
          <w:top w:val="single" w:sz="4" w:space="1" w:color="auto"/>
          <w:left w:val="single" w:sz="4" w:space="4" w:color="auto"/>
          <w:bottom w:val="single" w:sz="4" w:space="1" w:color="auto"/>
          <w:right w:val="single" w:sz="4" w:space="4" w:color="auto"/>
        </w:pBdr>
        <w:tabs>
          <w:tab w:val="clear" w:pos="567"/>
        </w:tabs>
        <w:spacing w:before="0" w:after="0" w:line="240" w:lineRule="auto"/>
        <w:ind w:left="720" w:hanging="720"/>
        <w:rPr>
          <w:rFonts w:ascii="Times New Roman" w:hAnsi="Times New Roman" w:cs="Times New Roman"/>
          <w:bCs w:val="0"/>
          <w:sz w:val="22"/>
          <w:szCs w:val="22"/>
        </w:rPr>
      </w:pPr>
      <w:r w:rsidRPr="00ED65DF">
        <w:rPr>
          <w:rFonts w:ascii="Times New Roman" w:hAnsi="Times New Roman" w:cs="Times New Roman"/>
          <w:bCs w:val="0"/>
          <w:sz w:val="22"/>
          <w:szCs w:val="22"/>
        </w:rPr>
        <w:br w:type="page"/>
        <w:t>MINIMUM PARTICULARS TO APPEAR ON SMALL IMMEDIATE PACKAGING UNITS</w:t>
      </w:r>
    </w:p>
    <w:p w14:paraId="0D659B20" w14:textId="77777777" w:rsidR="00663784" w:rsidRPr="00A808AC" w:rsidRDefault="00663784"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rPr>
          <w:b/>
          <w:bCs/>
        </w:rPr>
      </w:pPr>
    </w:p>
    <w:p w14:paraId="0DFCE243"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rPr>
          <w:b/>
          <w:bCs/>
        </w:rPr>
      </w:pPr>
      <w:r w:rsidRPr="00A808AC">
        <w:rPr>
          <w:b/>
          <w:bCs/>
        </w:rPr>
        <w:t>SACHETS</w:t>
      </w:r>
    </w:p>
    <w:p w14:paraId="3980CA54" w14:textId="77777777" w:rsidR="00663784" w:rsidRPr="00A808AC" w:rsidRDefault="00663784" w:rsidP="00663784">
      <w:pPr>
        <w:suppressLineNumbers/>
        <w:tabs>
          <w:tab w:val="clear" w:pos="567"/>
        </w:tabs>
        <w:spacing w:line="240" w:lineRule="auto"/>
        <w:ind w:left="720" w:hanging="720"/>
      </w:pPr>
    </w:p>
    <w:p w14:paraId="1CDED5E1"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1.</w:t>
      </w:r>
      <w:r w:rsidRPr="00A808AC">
        <w:rPr>
          <w:b/>
          <w:bCs/>
        </w:rPr>
        <w:tab/>
        <w:t xml:space="preserve">NAME OF </w:t>
      </w:r>
      <w:r w:rsidRPr="00A808AC">
        <w:rPr>
          <w:b/>
          <w:bCs/>
        </w:rPr>
        <w:t>THE MEDICINAL PRODUCT AND ROUTE(S) OF ADMINISTRATION</w:t>
      </w:r>
    </w:p>
    <w:p w14:paraId="2BBFD8A7" w14:textId="77777777" w:rsidR="00663784" w:rsidRPr="00A808AC" w:rsidRDefault="00663784" w:rsidP="00663784">
      <w:pPr>
        <w:suppressLineNumbers/>
        <w:tabs>
          <w:tab w:val="clear" w:pos="567"/>
        </w:tabs>
        <w:spacing w:line="240" w:lineRule="auto"/>
        <w:ind w:left="720" w:hanging="720"/>
        <w:rPr>
          <w:iCs/>
        </w:rPr>
      </w:pPr>
    </w:p>
    <w:p w14:paraId="79E7562E" w14:textId="77777777" w:rsidR="00663784" w:rsidRPr="00A808AC" w:rsidRDefault="005A3D7D" w:rsidP="00663784">
      <w:pPr>
        <w:tabs>
          <w:tab w:val="clear" w:pos="567"/>
        </w:tabs>
        <w:spacing w:line="240" w:lineRule="auto"/>
        <w:ind w:left="720" w:hanging="720"/>
      </w:pPr>
      <w:r w:rsidRPr="00A808AC">
        <w:t>Kalydeco 75</w:t>
      </w:r>
      <w:r>
        <w:t> mg</w:t>
      </w:r>
      <w:r w:rsidRPr="00A808AC">
        <w:t xml:space="preserve"> granules</w:t>
      </w:r>
    </w:p>
    <w:p w14:paraId="3AE228E8" w14:textId="77777777" w:rsidR="00663784" w:rsidRPr="00A808AC" w:rsidRDefault="005A3D7D" w:rsidP="00663784">
      <w:pPr>
        <w:tabs>
          <w:tab w:val="clear" w:pos="567"/>
        </w:tabs>
        <w:spacing w:line="240" w:lineRule="auto"/>
        <w:ind w:left="720" w:hanging="720"/>
      </w:pPr>
      <w:r>
        <w:t>i</w:t>
      </w:r>
      <w:r w:rsidRPr="00A808AC">
        <w:t>vacaftor</w:t>
      </w:r>
    </w:p>
    <w:p w14:paraId="11483269" w14:textId="77777777" w:rsidR="00663784" w:rsidRPr="00A808AC" w:rsidRDefault="005A3D7D" w:rsidP="00663784">
      <w:pPr>
        <w:tabs>
          <w:tab w:val="clear" w:pos="567"/>
        </w:tabs>
        <w:spacing w:line="240" w:lineRule="auto"/>
        <w:ind w:left="720" w:hanging="720"/>
      </w:pPr>
      <w:r w:rsidRPr="00A808AC">
        <w:t>Oral use</w:t>
      </w:r>
    </w:p>
    <w:p w14:paraId="19C2AFBA" w14:textId="77777777" w:rsidR="00663784" w:rsidRPr="00A808AC" w:rsidRDefault="00663784" w:rsidP="00663784">
      <w:pPr>
        <w:tabs>
          <w:tab w:val="clear" w:pos="567"/>
        </w:tabs>
        <w:spacing w:line="240" w:lineRule="auto"/>
        <w:ind w:left="720" w:hanging="720"/>
        <w:rPr>
          <w:i/>
          <w:iCs/>
        </w:rPr>
      </w:pPr>
    </w:p>
    <w:p w14:paraId="5CDC3448" w14:textId="77777777" w:rsidR="00663784" w:rsidRPr="00A808AC" w:rsidRDefault="00663784" w:rsidP="00663784">
      <w:pPr>
        <w:tabs>
          <w:tab w:val="clear" w:pos="567"/>
        </w:tabs>
        <w:spacing w:line="240" w:lineRule="auto"/>
        <w:ind w:left="720" w:hanging="720"/>
        <w:rPr>
          <w:i/>
          <w:iCs/>
        </w:rPr>
      </w:pPr>
    </w:p>
    <w:p w14:paraId="06CE9377"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2.</w:t>
      </w:r>
      <w:r w:rsidRPr="00A808AC">
        <w:rPr>
          <w:b/>
          <w:bCs/>
        </w:rPr>
        <w:tab/>
        <w:t>METHOD OF ADMINISTRATION</w:t>
      </w:r>
    </w:p>
    <w:p w14:paraId="3DFBDF86" w14:textId="77777777" w:rsidR="00663784" w:rsidRPr="00A808AC" w:rsidRDefault="00663784" w:rsidP="00663784">
      <w:pPr>
        <w:suppressLineNumbers/>
        <w:tabs>
          <w:tab w:val="clear" w:pos="567"/>
        </w:tabs>
        <w:spacing w:line="240" w:lineRule="auto"/>
        <w:ind w:left="720" w:hanging="720"/>
      </w:pPr>
    </w:p>
    <w:p w14:paraId="02BAE05D" w14:textId="77777777" w:rsidR="00663784" w:rsidRPr="00A808AC" w:rsidRDefault="00663784" w:rsidP="00663784">
      <w:pPr>
        <w:suppressLineNumbers/>
        <w:tabs>
          <w:tab w:val="clear" w:pos="567"/>
        </w:tabs>
        <w:spacing w:line="240" w:lineRule="auto"/>
        <w:ind w:left="720" w:hanging="720"/>
      </w:pPr>
    </w:p>
    <w:p w14:paraId="563E0A9A" w14:textId="77777777" w:rsidR="00663784" w:rsidRPr="00A808AC" w:rsidRDefault="005A3D7D" w:rsidP="00663784">
      <w:pPr>
        <w:suppressLineNumbers/>
        <w:pBdr>
          <w:top w:val="single" w:sz="4" w:space="1" w:color="auto"/>
          <w:left w:val="single" w:sz="4" w:space="4" w:color="auto"/>
          <w:bottom w:val="single" w:sz="4" w:space="2" w:color="auto"/>
          <w:right w:val="single" w:sz="4" w:space="4" w:color="auto"/>
        </w:pBdr>
        <w:tabs>
          <w:tab w:val="clear" w:pos="567"/>
        </w:tabs>
        <w:spacing w:line="240" w:lineRule="auto"/>
        <w:ind w:left="720" w:hanging="720"/>
        <w:outlineLvl w:val="1"/>
        <w:rPr>
          <w:b/>
          <w:bCs/>
        </w:rPr>
      </w:pPr>
      <w:r w:rsidRPr="00A808AC">
        <w:rPr>
          <w:b/>
          <w:bCs/>
        </w:rPr>
        <w:t>3.</w:t>
      </w:r>
      <w:r w:rsidRPr="00A808AC">
        <w:rPr>
          <w:b/>
          <w:bCs/>
        </w:rPr>
        <w:tab/>
        <w:t>EXPIRY DATE</w:t>
      </w:r>
    </w:p>
    <w:p w14:paraId="2529A658" w14:textId="77777777" w:rsidR="00663784" w:rsidRPr="00A808AC" w:rsidRDefault="00663784" w:rsidP="00663784">
      <w:pPr>
        <w:suppressLineNumbers/>
        <w:tabs>
          <w:tab w:val="clear" w:pos="567"/>
        </w:tabs>
        <w:spacing w:line="240" w:lineRule="auto"/>
        <w:ind w:left="720" w:hanging="720"/>
      </w:pPr>
    </w:p>
    <w:p w14:paraId="49DF33C4" w14:textId="77777777" w:rsidR="00663784" w:rsidRPr="00A808AC" w:rsidRDefault="005A3D7D" w:rsidP="00663784">
      <w:pPr>
        <w:suppressLineNumbers/>
        <w:tabs>
          <w:tab w:val="clear" w:pos="567"/>
        </w:tabs>
        <w:spacing w:line="240" w:lineRule="auto"/>
        <w:ind w:left="720" w:hanging="720"/>
      </w:pPr>
      <w:r w:rsidRPr="00A808AC">
        <w:t>EXP</w:t>
      </w:r>
    </w:p>
    <w:p w14:paraId="12D1D014" w14:textId="77777777" w:rsidR="00663784" w:rsidRPr="00A808AC" w:rsidRDefault="00663784" w:rsidP="00663784">
      <w:pPr>
        <w:suppressLineNumbers/>
        <w:tabs>
          <w:tab w:val="clear" w:pos="567"/>
        </w:tabs>
        <w:spacing w:line="240" w:lineRule="auto"/>
        <w:ind w:left="720" w:hanging="720"/>
      </w:pPr>
    </w:p>
    <w:p w14:paraId="16285BFF" w14:textId="77777777" w:rsidR="00663784" w:rsidRPr="00A808AC" w:rsidRDefault="00663784" w:rsidP="00663784">
      <w:pPr>
        <w:suppressLineNumbers/>
        <w:tabs>
          <w:tab w:val="clear" w:pos="567"/>
        </w:tabs>
        <w:spacing w:line="240" w:lineRule="auto"/>
        <w:ind w:left="720" w:hanging="720"/>
      </w:pPr>
    </w:p>
    <w:p w14:paraId="255DF91D"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4.</w:t>
      </w:r>
      <w:r w:rsidRPr="00A808AC">
        <w:rPr>
          <w:b/>
          <w:bCs/>
        </w:rPr>
        <w:tab/>
        <w:t>BATCH NUMBER</w:t>
      </w:r>
    </w:p>
    <w:p w14:paraId="212A9F36" w14:textId="77777777" w:rsidR="00663784" w:rsidRPr="00A808AC" w:rsidRDefault="00663784" w:rsidP="00663784">
      <w:pPr>
        <w:suppressLineNumbers/>
        <w:tabs>
          <w:tab w:val="clear" w:pos="567"/>
        </w:tabs>
        <w:spacing w:line="240" w:lineRule="auto"/>
        <w:ind w:left="720" w:hanging="720"/>
      </w:pPr>
    </w:p>
    <w:p w14:paraId="7B2A8DA4" w14:textId="77777777" w:rsidR="00663784" w:rsidRPr="00A808AC" w:rsidRDefault="005A3D7D" w:rsidP="00663784">
      <w:pPr>
        <w:suppressLineNumbers/>
        <w:tabs>
          <w:tab w:val="clear" w:pos="567"/>
        </w:tabs>
        <w:spacing w:line="240" w:lineRule="auto"/>
        <w:ind w:left="720" w:hanging="720"/>
      </w:pPr>
      <w:r w:rsidRPr="00A808AC">
        <w:t>Lot</w:t>
      </w:r>
    </w:p>
    <w:p w14:paraId="2A88C12B" w14:textId="77777777" w:rsidR="00663784" w:rsidRPr="00A808AC" w:rsidRDefault="00663784" w:rsidP="00663784">
      <w:pPr>
        <w:suppressLineNumbers/>
        <w:tabs>
          <w:tab w:val="clear" w:pos="567"/>
        </w:tabs>
        <w:spacing w:line="240" w:lineRule="auto"/>
        <w:ind w:left="720" w:hanging="720"/>
      </w:pPr>
    </w:p>
    <w:p w14:paraId="5B675A5F" w14:textId="77777777" w:rsidR="00663784" w:rsidRPr="00A808AC" w:rsidRDefault="00663784" w:rsidP="00663784">
      <w:pPr>
        <w:suppressLineNumbers/>
        <w:tabs>
          <w:tab w:val="clear" w:pos="567"/>
        </w:tabs>
        <w:spacing w:line="240" w:lineRule="auto"/>
        <w:ind w:left="720" w:hanging="720"/>
      </w:pPr>
    </w:p>
    <w:p w14:paraId="2702E0DB"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5.</w:t>
      </w:r>
      <w:r w:rsidRPr="00A808AC">
        <w:rPr>
          <w:b/>
          <w:bCs/>
        </w:rPr>
        <w:tab/>
        <w:t>CONTENTS BY WEIGHT, BY VOLUME OR BY UNIT</w:t>
      </w:r>
    </w:p>
    <w:p w14:paraId="3478EC14" w14:textId="77777777" w:rsidR="00663784" w:rsidRPr="00A808AC" w:rsidRDefault="00663784" w:rsidP="00663784">
      <w:pPr>
        <w:tabs>
          <w:tab w:val="clear" w:pos="567"/>
        </w:tabs>
        <w:spacing w:line="240" w:lineRule="auto"/>
        <w:ind w:left="720" w:hanging="720"/>
      </w:pPr>
    </w:p>
    <w:p w14:paraId="1E058FCA" w14:textId="77777777" w:rsidR="00663784" w:rsidRPr="00A808AC" w:rsidRDefault="00663784" w:rsidP="00663784">
      <w:pPr>
        <w:tabs>
          <w:tab w:val="clear" w:pos="567"/>
        </w:tabs>
        <w:spacing w:line="240" w:lineRule="auto"/>
        <w:ind w:left="720" w:hanging="720"/>
      </w:pPr>
    </w:p>
    <w:p w14:paraId="5669E7A9" w14:textId="77777777" w:rsidR="00663784" w:rsidRPr="00A808AC" w:rsidRDefault="005A3D7D" w:rsidP="00663784">
      <w:pPr>
        <w:suppressLineNumbers/>
        <w:pBdr>
          <w:top w:val="single" w:sz="4" w:space="1" w:color="auto"/>
          <w:left w:val="single" w:sz="4" w:space="4" w:color="auto"/>
          <w:bottom w:val="single" w:sz="4" w:space="1" w:color="auto"/>
          <w:right w:val="single" w:sz="4" w:space="4" w:color="auto"/>
        </w:pBdr>
        <w:tabs>
          <w:tab w:val="clear" w:pos="567"/>
        </w:tabs>
        <w:spacing w:line="240" w:lineRule="auto"/>
        <w:ind w:left="720" w:hanging="720"/>
        <w:outlineLvl w:val="1"/>
        <w:rPr>
          <w:b/>
          <w:bCs/>
        </w:rPr>
      </w:pPr>
      <w:r w:rsidRPr="00A808AC">
        <w:rPr>
          <w:b/>
          <w:bCs/>
        </w:rPr>
        <w:t>6.</w:t>
      </w:r>
      <w:r w:rsidRPr="00A808AC">
        <w:rPr>
          <w:b/>
          <w:bCs/>
        </w:rPr>
        <w:tab/>
        <w:t>OTHER</w:t>
      </w:r>
    </w:p>
    <w:p w14:paraId="37E92FD6" w14:textId="77777777" w:rsidR="00663784" w:rsidRPr="00A808AC" w:rsidRDefault="00663784" w:rsidP="00663784">
      <w:pPr>
        <w:tabs>
          <w:tab w:val="clear" w:pos="567"/>
        </w:tabs>
        <w:spacing w:line="240" w:lineRule="auto"/>
        <w:ind w:left="720" w:hanging="720"/>
      </w:pPr>
    </w:p>
    <w:p w14:paraId="07DCFEBC" w14:textId="77777777" w:rsidR="00663784" w:rsidRPr="00A808AC" w:rsidRDefault="005A3D7D" w:rsidP="00663784">
      <w:pPr>
        <w:tabs>
          <w:tab w:val="clear" w:pos="567"/>
        </w:tabs>
        <w:spacing w:line="240" w:lineRule="auto"/>
        <w:ind w:left="720" w:hanging="720"/>
        <w:rPr>
          <w:lang w:val="en-US"/>
        </w:rPr>
      </w:pPr>
      <w:r w:rsidRPr="00A808AC">
        <w:rPr>
          <w:lang w:val="en-US"/>
        </w:rPr>
        <w:t xml:space="preserve">Vertex </w:t>
      </w:r>
      <w:r w:rsidRPr="00A808AC">
        <w:rPr>
          <w:lang w:val="en-US"/>
        </w:rPr>
        <w:t>Pharmaceuticals (</w:t>
      </w:r>
      <w:r>
        <w:rPr>
          <w:lang w:val="en-US"/>
        </w:rPr>
        <w:t>Ireland</w:t>
      </w:r>
      <w:r w:rsidRPr="00A808AC">
        <w:rPr>
          <w:lang w:val="en-US"/>
        </w:rPr>
        <w:t>) Limited</w:t>
      </w:r>
    </w:p>
    <w:p w14:paraId="44252B8B" w14:textId="77777777" w:rsidR="00663784" w:rsidRPr="00A808AC" w:rsidRDefault="00663784" w:rsidP="00663784">
      <w:pPr>
        <w:tabs>
          <w:tab w:val="clear" w:pos="567"/>
        </w:tabs>
        <w:spacing w:line="240" w:lineRule="auto"/>
        <w:ind w:left="720" w:hanging="720"/>
        <w:outlineLvl w:val="0"/>
      </w:pPr>
    </w:p>
    <w:p w14:paraId="188FC815" w14:textId="77777777" w:rsidR="00882016" w:rsidRDefault="005A3D7D" w:rsidP="00DF295E">
      <w:pPr>
        <w:pStyle w:val="No-numheading3Agency"/>
        <w:keepNext w:val="0"/>
        <w:spacing w:before="0" w:after="0"/>
        <w:rPr>
          <w:rFonts w:ascii="Times New Roman" w:hAnsi="Times New Roman" w:cs="Times New Roman"/>
          <w:caps/>
        </w:rPr>
      </w:pPr>
      <w:r>
        <w:rPr>
          <w:b w:val="0"/>
          <w:u w:val="single"/>
        </w:rPr>
        <w:br w:type="page"/>
      </w:r>
    </w:p>
    <w:p w14:paraId="5EFB96D5" w14:textId="77777777" w:rsidR="00F976E8" w:rsidRPr="00A808AC" w:rsidRDefault="00F976E8" w:rsidP="00B249D6">
      <w:pPr>
        <w:pStyle w:val="TitleB"/>
        <w:ind w:left="0" w:firstLine="0"/>
        <w:rPr>
          <w:b w:val="0"/>
          <w:bCs w:val="0"/>
        </w:rPr>
      </w:pPr>
    </w:p>
    <w:p w14:paraId="74D654F9" w14:textId="77777777" w:rsidR="00F976E8" w:rsidRPr="00A808AC" w:rsidRDefault="00F976E8" w:rsidP="002B5107">
      <w:pPr>
        <w:spacing w:line="240" w:lineRule="auto"/>
        <w:jc w:val="center"/>
        <w:outlineLvl w:val="0"/>
        <w:rPr>
          <w:b/>
          <w:bCs/>
        </w:rPr>
      </w:pPr>
    </w:p>
    <w:p w14:paraId="5D86CE5D" w14:textId="77777777" w:rsidR="00F976E8" w:rsidRPr="00A808AC" w:rsidRDefault="00F976E8" w:rsidP="002B5107">
      <w:pPr>
        <w:spacing w:line="240" w:lineRule="auto"/>
        <w:jc w:val="center"/>
        <w:outlineLvl w:val="0"/>
        <w:rPr>
          <w:b/>
          <w:bCs/>
        </w:rPr>
      </w:pPr>
    </w:p>
    <w:p w14:paraId="17A7B402" w14:textId="77777777" w:rsidR="00F976E8" w:rsidRPr="00A808AC" w:rsidRDefault="00F976E8" w:rsidP="002B5107">
      <w:pPr>
        <w:spacing w:line="240" w:lineRule="auto"/>
        <w:jc w:val="center"/>
        <w:outlineLvl w:val="0"/>
        <w:rPr>
          <w:b/>
          <w:bCs/>
        </w:rPr>
      </w:pPr>
    </w:p>
    <w:p w14:paraId="17B16B9F" w14:textId="77777777" w:rsidR="00F976E8" w:rsidRPr="00A808AC" w:rsidRDefault="00F976E8" w:rsidP="002B5107">
      <w:pPr>
        <w:spacing w:line="240" w:lineRule="auto"/>
        <w:jc w:val="center"/>
        <w:outlineLvl w:val="0"/>
        <w:rPr>
          <w:b/>
          <w:bCs/>
        </w:rPr>
      </w:pPr>
    </w:p>
    <w:p w14:paraId="0C7A83C3" w14:textId="77777777" w:rsidR="00F976E8" w:rsidRPr="00A808AC" w:rsidRDefault="00F976E8" w:rsidP="002B5107">
      <w:pPr>
        <w:spacing w:line="240" w:lineRule="auto"/>
        <w:jc w:val="center"/>
        <w:outlineLvl w:val="0"/>
        <w:rPr>
          <w:b/>
          <w:bCs/>
        </w:rPr>
      </w:pPr>
    </w:p>
    <w:p w14:paraId="531D90E0" w14:textId="77777777" w:rsidR="00F976E8" w:rsidRPr="00A808AC" w:rsidRDefault="00F976E8" w:rsidP="002B5107">
      <w:pPr>
        <w:spacing w:line="240" w:lineRule="auto"/>
        <w:jc w:val="center"/>
        <w:outlineLvl w:val="0"/>
        <w:rPr>
          <w:b/>
          <w:bCs/>
        </w:rPr>
      </w:pPr>
    </w:p>
    <w:p w14:paraId="304BD4B1" w14:textId="77777777" w:rsidR="00F976E8" w:rsidRPr="00A808AC" w:rsidRDefault="00F976E8" w:rsidP="002B5107">
      <w:pPr>
        <w:spacing w:line="240" w:lineRule="auto"/>
        <w:jc w:val="center"/>
        <w:outlineLvl w:val="0"/>
        <w:rPr>
          <w:b/>
          <w:bCs/>
        </w:rPr>
      </w:pPr>
    </w:p>
    <w:p w14:paraId="682B52AE" w14:textId="77777777" w:rsidR="00F976E8" w:rsidRPr="00A808AC" w:rsidRDefault="00F976E8" w:rsidP="002B5107">
      <w:pPr>
        <w:spacing w:line="240" w:lineRule="auto"/>
        <w:jc w:val="center"/>
        <w:outlineLvl w:val="0"/>
        <w:rPr>
          <w:b/>
          <w:bCs/>
        </w:rPr>
      </w:pPr>
    </w:p>
    <w:p w14:paraId="610FC8E2" w14:textId="77777777" w:rsidR="00F976E8" w:rsidRPr="00A808AC" w:rsidRDefault="00F976E8" w:rsidP="002B5107">
      <w:pPr>
        <w:spacing w:line="240" w:lineRule="auto"/>
        <w:jc w:val="center"/>
        <w:outlineLvl w:val="0"/>
        <w:rPr>
          <w:b/>
          <w:bCs/>
        </w:rPr>
      </w:pPr>
    </w:p>
    <w:p w14:paraId="359A609E" w14:textId="77777777" w:rsidR="00F976E8" w:rsidRPr="00A808AC" w:rsidRDefault="00F976E8" w:rsidP="002B5107">
      <w:pPr>
        <w:spacing w:line="240" w:lineRule="auto"/>
        <w:jc w:val="center"/>
        <w:outlineLvl w:val="0"/>
        <w:rPr>
          <w:b/>
          <w:bCs/>
        </w:rPr>
      </w:pPr>
    </w:p>
    <w:p w14:paraId="7E79510E" w14:textId="77777777" w:rsidR="00F976E8" w:rsidRPr="00A808AC" w:rsidRDefault="00F976E8" w:rsidP="002B5107">
      <w:pPr>
        <w:spacing w:line="240" w:lineRule="auto"/>
        <w:jc w:val="center"/>
        <w:outlineLvl w:val="0"/>
        <w:rPr>
          <w:b/>
          <w:bCs/>
        </w:rPr>
      </w:pPr>
    </w:p>
    <w:p w14:paraId="0F27871E" w14:textId="77777777" w:rsidR="00F976E8" w:rsidRPr="00A808AC" w:rsidRDefault="00F976E8" w:rsidP="002B5107">
      <w:pPr>
        <w:spacing w:line="240" w:lineRule="auto"/>
        <w:jc w:val="center"/>
        <w:outlineLvl w:val="0"/>
        <w:rPr>
          <w:b/>
          <w:bCs/>
        </w:rPr>
      </w:pPr>
    </w:p>
    <w:p w14:paraId="7A773547" w14:textId="77777777" w:rsidR="00F976E8" w:rsidRPr="00A808AC" w:rsidRDefault="00F976E8" w:rsidP="002B5107">
      <w:pPr>
        <w:spacing w:line="240" w:lineRule="auto"/>
        <w:jc w:val="center"/>
        <w:outlineLvl w:val="0"/>
        <w:rPr>
          <w:b/>
          <w:bCs/>
        </w:rPr>
      </w:pPr>
    </w:p>
    <w:p w14:paraId="4A43EB84" w14:textId="77777777" w:rsidR="00F976E8" w:rsidRPr="00A808AC" w:rsidRDefault="00F976E8" w:rsidP="002B5107">
      <w:pPr>
        <w:spacing w:line="240" w:lineRule="auto"/>
        <w:jc w:val="center"/>
        <w:outlineLvl w:val="0"/>
        <w:rPr>
          <w:b/>
          <w:bCs/>
        </w:rPr>
      </w:pPr>
    </w:p>
    <w:p w14:paraId="2AAEF135" w14:textId="77777777" w:rsidR="00F976E8" w:rsidRPr="00A808AC" w:rsidRDefault="00F976E8" w:rsidP="002B5107">
      <w:pPr>
        <w:spacing w:line="240" w:lineRule="auto"/>
        <w:jc w:val="center"/>
        <w:outlineLvl w:val="0"/>
        <w:rPr>
          <w:b/>
          <w:bCs/>
        </w:rPr>
      </w:pPr>
    </w:p>
    <w:p w14:paraId="14685852" w14:textId="77777777" w:rsidR="00F976E8" w:rsidRPr="00A808AC" w:rsidRDefault="00F976E8" w:rsidP="002B5107">
      <w:pPr>
        <w:spacing w:line="240" w:lineRule="auto"/>
        <w:jc w:val="center"/>
        <w:outlineLvl w:val="0"/>
        <w:rPr>
          <w:b/>
          <w:bCs/>
        </w:rPr>
      </w:pPr>
    </w:p>
    <w:p w14:paraId="02110202" w14:textId="77777777" w:rsidR="00F976E8" w:rsidRPr="00A808AC" w:rsidRDefault="00F976E8" w:rsidP="002B5107">
      <w:pPr>
        <w:spacing w:line="240" w:lineRule="auto"/>
        <w:jc w:val="center"/>
        <w:outlineLvl w:val="0"/>
        <w:rPr>
          <w:b/>
          <w:bCs/>
        </w:rPr>
      </w:pPr>
    </w:p>
    <w:p w14:paraId="6186AD63" w14:textId="77777777" w:rsidR="00F976E8" w:rsidRPr="00A808AC" w:rsidRDefault="00F976E8" w:rsidP="002B5107">
      <w:pPr>
        <w:spacing w:line="240" w:lineRule="auto"/>
        <w:jc w:val="center"/>
        <w:outlineLvl w:val="0"/>
        <w:rPr>
          <w:b/>
          <w:bCs/>
        </w:rPr>
      </w:pPr>
    </w:p>
    <w:p w14:paraId="06B6A4AF" w14:textId="77777777" w:rsidR="00F976E8" w:rsidRPr="00A808AC" w:rsidRDefault="00F976E8" w:rsidP="002B5107">
      <w:pPr>
        <w:spacing w:line="240" w:lineRule="auto"/>
        <w:jc w:val="center"/>
        <w:outlineLvl w:val="0"/>
        <w:rPr>
          <w:b/>
          <w:bCs/>
        </w:rPr>
      </w:pPr>
    </w:p>
    <w:p w14:paraId="27D87F67" w14:textId="77777777" w:rsidR="00F976E8" w:rsidRPr="00A808AC" w:rsidRDefault="00F976E8" w:rsidP="002B5107">
      <w:pPr>
        <w:spacing w:line="240" w:lineRule="auto"/>
        <w:jc w:val="center"/>
        <w:outlineLvl w:val="0"/>
        <w:rPr>
          <w:b/>
          <w:bCs/>
        </w:rPr>
      </w:pPr>
    </w:p>
    <w:p w14:paraId="379C643E" w14:textId="77777777" w:rsidR="00F976E8" w:rsidRPr="00A808AC" w:rsidRDefault="00F976E8" w:rsidP="002B5107">
      <w:pPr>
        <w:spacing w:line="240" w:lineRule="auto"/>
        <w:jc w:val="center"/>
        <w:outlineLvl w:val="0"/>
        <w:rPr>
          <w:b/>
          <w:bCs/>
        </w:rPr>
      </w:pPr>
    </w:p>
    <w:p w14:paraId="05BE5F7D" w14:textId="77777777" w:rsidR="00F976E8" w:rsidRPr="00A808AC" w:rsidRDefault="00F976E8" w:rsidP="002B5107">
      <w:pPr>
        <w:spacing w:line="240" w:lineRule="auto"/>
        <w:jc w:val="center"/>
        <w:outlineLvl w:val="0"/>
        <w:rPr>
          <w:b/>
          <w:bCs/>
        </w:rPr>
      </w:pPr>
    </w:p>
    <w:p w14:paraId="73620464" w14:textId="77777777" w:rsidR="00F976E8" w:rsidRPr="00A808AC" w:rsidRDefault="00F976E8" w:rsidP="00864757">
      <w:pPr>
        <w:spacing w:line="240" w:lineRule="auto"/>
        <w:jc w:val="center"/>
        <w:outlineLvl w:val="0"/>
        <w:rPr>
          <w:b/>
          <w:bCs/>
        </w:rPr>
      </w:pPr>
    </w:p>
    <w:p w14:paraId="124F6332" w14:textId="77777777" w:rsidR="00F976E8" w:rsidRPr="00A808AC" w:rsidRDefault="005A3D7D" w:rsidP="002B5107">
      <w:pPr>
        <w:pStyle w:val="TitleA"/>
      </w:pPr>
      <w:r w:rsidRPr="00A808AC">
        <w:t>B. PACKAGE LEAFLET</w:t>
      </w:r>
    </w:p>
    <w:p w14:paraId="0A9D3A2D" w14:textId="77777777" w:rsidR="00F976E8" w:rsidRPr="00A808AC" w:rsidRDefault="00F976E8" w:rsidP="00864757">
      <w:pPr>
        <w:tabs>
          <w:tab w:val="clear" w:pos="567"/>
        </w:tabs>
        <w:spacing w:line="240" w:lineRule="auto"/>
        <w:jc w:val="center"/>
        <w:outlineLvl w:val="0"/>
      </w:pPr>
    </w:p>
    <w:p w14:paraId="4CCD8EFD" w14:textId="160D0CC0" w:rsidR="000C3496" w:rsidRDefault="005A3D7D">
      <w:pPr>
        <w:tabs>
          <w:tab w:val="clear" w:pos="567"/>
        </w:tabs>
        <w:spacing w:line="240" w:lineRule="auto"/>
      </w:pPr>
      <w:r>
        <w:br w:type="page"/>
      </w:r>
    </w:p>
    <w:p w14:paraId="7D9C2BA8" w14:textId="77777777" w:rsidR="00F976E8" w:rsidRPr="00A808AC" w:rsidRDefault="005A3D7D" w:rsidP="002B5107">
      <w:pPr>
        <w:tabs>
          <w:tab w:val="clear" w:pos="567"/>
        </w:tabs>
        <w:spacing w:line="240" w:lineRule="auto"/>
        <w:jc w:val="center"/>
        <w:outlineLvl w:val="0"/>
      </w:pPr>
      <w:r w:rsidRPr="00A808AC">
        <w:rPr>
          <w:b/>
          <w:bCs/>
        </w:rPr>
        <w:t>Package leaflet: Information for the patient</w:t>
      </w:r>
    </w:p>
    <w:p w14:paraId="6B43D632" w14:textId="77777777" w:rsidR="00F976E8" w:rsidRPr="00A808AC" w:rsidRDefault="00F976E8" w:rsidP="002B5107">
      <w:pPr>
        <w:numPr>
          <w:ilvl w:val="12"/>
          <w:numId w:val="0"/>
        </w:numPr>
        <w:shd w:val="clear" w:color="auto" w:fill="FFFFFF"/>
        <w:tabs>
          <w:tab w:val="clear" w:pos="567"/>
        </w:tabs>
        <w:spacing w:line="240" w:lineRule="auto"/>
        <w:jc w:val="center"/>
      </w:pPr>
    </w:p>
    <w:p w14:paraId="247D3A45" w14:textId="77777777" w:rsidR="00F976E8" w:rsidRPr="00A808AC" w:rsidRDefault="005A3D7D" w:rsidP="002B5107">
      <w:pPr>
        <w:numPr>
          <w:ilvl w:val="12"/>
          <w:numId w:val="0"/>
        </w:numPr>
        <w:spacing w:line="240" w:lineRule="auto"/>
        <w:jc w:val="center"/>
        <w:rPr>
          <w:b/>
          <w:bCs/>
        </w:rPr>
      </w:pPr>
      <w:r w:rsidRPr="00A808AC">
        <w:rPr>
          <w:b/>
          <w:bCs/>
        </w:rPr>
        <w:t>Kalydeco 150 mg film-coated tablets</w:t>
      </w:r>
    </w:p>
    <w:p w14:paraId="73313783" w14:textId="77777777" w:rsidR="00F976E8" w:rsidRPr="007B0741" w:rsidRDefault="005A3D7D" w:rsidP="002B5107">
      <w:pPr>
        <w:numPr>
          <w:ilvl w:val="12"/>
          <w:numId w:val="0"/>
        </w:numPr>
        <w:spacing w:line="240" w:lineRule="auto"/>
        <w:jc w:val="center"/>
      </w:pPr>
      <w:r w:rsidRPr="007B0741">
        <w:t>i</w:t>
      </w:r>
      <w:r w:rsidR="00EA039D" w:rsidRPr="007B0741">
        <w:t>vacaftor</w:t>
      </w:r>
    </w:p>
    <w:p w14:paraId="422BA39C" w14:textId="77777777" w:rsidR="00F976E8" w:rsidRPr="00A808AC" w:rsidRDefault="00F976E8" w:rsidP="002B5107">
      <w:pPr>
        <w:numPr>
          <w:ilvl w:val="12"/>
          <w:numId w:val="0"/>
        </w:numPr>
        <w:tabs>
          <w:tab w:val="clear" w:pos="567"/>
        </w:tabs>
        <w:spacing w:line="240" w:lineRule="auto"/>
      </w:pPr>
    </w:p>
    <w:p w14:paraId="1F307DCD" w14:textId="77777777" w:rsidR="00F976E8" w:rsidRPr="00A808AC" w:rsidRDefault="00F976E8" w:rsidP="002B5107">
      <w:pPr>
        <w:tabs>
          <w:tab w:val="clear" w:pos="567"/>
        </w:tabs>
        <w:spacing w:line="240" w:lineRule="auto"/>
      </w:pPr>
    </w:p>
    <w:p w14:paraId="2256EB0E" w14:textId="77777777" w:rsidR="00F976E8" w:rsidRPr="00A808AC" w:rsidRDefault="005A3D7D" w:rsidP="000A093B">
      <w:pPr>
        <w:keepNext/>
        <w:suppressAutoHyphens/>
        <w:spacing w:line="240" w:lineRule="auto"/>
        <w:rPr>
          <w:b/>
          <w:bCs/>
        </w:rPr>
      </w:pPr>
      <w:r w:rsidRPr="00A808AC">
        <w:rPr>
          <w:b/>
          <w:bCs/>
        </w:rPr>
        <w:t xml:space="preserve">Read all of this leaflet carefully before you start taking this </w:t>
      </w:r>
      <w:r w:rsidRPr="00A808AC">
        <w:rPr>
          <w:b/>
          <w:bCs/>
        </w:rPr>
        <w:t>medicine because it contains important information for you.</w:t>
      </w:r>
    </w:p>
    <w:p w14:paraId="7B8439CB" w14:textId="77777777" w:rsidR="00F976E8" w:rsidRPr="00A808AC" w:rsidRDefault="005A3D7D" w:rsidP="000A093B">
      <w:pPr>
        <w:keepNext/>
        <w:numPr>
          <w:ilvl w:val="0"/>
          <w:numId w:val="43"/>
        </w:numPr>
        <w:tabs>
          <w:tab w:val="clear" w:pos="567"/>
        </w:tabs>
        <w:spacing w:line="240" w:lineRule="auto"/>
        <w:ind w:left="567" w:right="-2"/>
      </w:pPr>
      <w:r w:rsidRPr="00A808AC">
        <w:t>Keep this leaflet. You may need to read it again.</w:t>
      </w:r>
    </w:p>
    <w:p w14:paraId="1AAA2C6A" w14:textId="77777777" w:rsidR="00F976E8" w:rsidRPr="00A808AC" w:rsidRDefault="005A3D7D" w:rsidP="000A093B">
      <w:pPr>
        <w:numPr>
          <w:ilvl w:val="0"/>
          <w:numId w:val="43"/>
        </w:numPr>
        <w:tabs>
          <w:tab w:val="clear" w:pos="567"/>
        </w:tabs>
        <w:spacing w:line="240" w:lineRule="auto"/>
        <w:ind w:left="567" w:right="-2"/>
      </w:pPr>
      <w:r w:rsidRPr="00A808AC">
        <w:t>If you have any further questions, ask your doctor or pharmacist.</w:t>
      </w:r>
    </w:p>
    <w:p w14:paraId="0D76A82A" w14:textId="77777777" w:rsidR="00F976E8" w:rsidRPr="00A808AC" w:rsidRDefault="005A3D7D" w:rsidP="000A093B">
      <w:pPr>
        <w:numPr>
          <w:ilvl w:val="0"/>
          <w:numId w:val="43"/>
        </w:numPr>
        <w:tabs>
          <w:tab w:val="clear" w:pos="567"/>
        </w:tabs>
        <w:spacing w:line="240" w:lineRule="auto"/>
        <w:ind w:left="567" w:right="-2"/>
      </w:pPr>
      <w:r w:rsidRPr="00A808AC">
        <w:t xml:space="preserve">This medicine has been prescribed for you only. Do not pass it on to others. It </w:t>
      </w:r>
      <w:r w:rsidRPr="00A808AC">
        <w:t>may harm them, even if their signs of illness are the same as yours.</w:t>
      </w:r>
    </w:p>
    <w:p w14:paraId="1C1E1BF1" w14:textId="77777777" w:rsidR="00F976E8" w:rsidRPr="00A808AC" w:rsidRDefault="005A3D7D" w:rsidP="000A093B">
      <w:pPr>
        <w:numPr>
          <w:ilvl w:val="0"/>
          <w:numId w:val="43"/>
        </w:numPr>
        <w:tabs>
          <w:tab w:val="clear" w:pos="567"/>
        </w:tabs>
        <w:spacing w:line="240" w:lineRule="auto"/>
        <w:ind w:left="567" w:right="-2"/>
      </w:pPr>
      <w:r w:rsidRPr="00A808AC">
        <w:t>If you get any side effects, talk to your doctor or pharmacist. This includes any possible side effects not listed in this leaflet. See section 4.</w:t>
      </w:r>
    </w:p>
    <w:p w14:paraId="4A22A75F" w14:textId="77777777" w:rsidR="00F976E8" w:rsidRPr="00A808AC" w:rsidRDefault="00F976E8" w:rsidP="002B5107">
      <w:pPr>
        <w:tabs>
          <w:tab w:val="clear" w:pos="567"/>
        </w:tabs>
        <w:spacing w:line="240" w:lineRule="auto"/>
        <w:ind w:right="-2"/>
      </w:pPr>
    </w:p>
    <w:p w14:paraId="2E7BB18B" w14:textId="77777777" w:rsidR="00F976E8" w:rsidRPr="00A808AC" w:rsidRDefault="005A3D7D" w:rsidP="00A0798C">
      <w:pPr>
        <w:keepNext/>
        <w:numPr>
          <w:ilvl w:val="12"/>
          <w:numId w:val="0"/>
        </w:numPr>
        <w:spacing w:line="240" w:lineRule="auto"/>
        <w:ind w:right="-2"/>
        <w:outlineLvl w:val="0"/>
        <w:rPr>
          <w:b/>
          <w:bCs/>
        </w:rPr>
      </w:pPr>
      <w:r w:rsidRPr="00A808AC">
        <w:rPr>
          <w:b/>
          <w:bCs/>
        </w:rPr>
        <w:t>What is in this leaflet</w:t>
      </w:r>
    </w:p>
    <w:p w14:paraId="5A56E6A7" w14:textId="77777777" w:rsidR="00F976E8" w:rsidRPr="00A808AC" w:rsidRDefault="00F976E8" w:rsidP="0069106A">
      <w:pPr>
        <w:keepNext/>
        <w:numPr>
          <w:ilvl w:val="12"/>
          <w:numId w:val="0"/>
        </w:numPr>
        <w:spacing w:line="240" w:lineRule="auto"/>
        <w:ind w:right="-2"/>
        <w:outlineLvl w:val="0"/>
        <w:rPr>
          <w:bCs/>
        </w:rPr>
      </w:pPr>
    </w:p>
    <w:p w14:paraId="52DB879B" w14:textId="77777777" w:rsidR="00F976E8" w:rsidRPr="00A808AC" w:rsidRDefault="005A3D7D" w:rsidP="000A093B">
      <w:pPr>
        <w:keepNext/>
        <w:tabs>
          <w:tab w:val="clear" w:pos="567"/>
        </w:tabs>
        <w:spacing w:line="240" w:lineRule="auto"/>
        <w:ind w:left="357" w:right="-28" w:hanging="357"/>
      </w:pPr>
      <w:r w:rsidRPr="00A808AC">
        <w:t>1.</w:t>
      </w:r>
      <w:r w:rsidRPr="00A808AC">
        <w:tab/>
        <w:t xml:space="preserve">What </w:t>
      </w:r>
      <w:r w:rsidRPr="00A808AC">
        <w:t>Kalydeco is and what it is used for</w:t>
      </w:r>
    </w:p>
    <w:p w14:paraId="4AEE3793" w14:textId="77777777" w:rsidR="00F976E8" w:rsidRPr="00A808AC" w:rsidRDefault="005A3D7D" w:rsidP="002B5107">
      <w:pPr>
        <w:tabs>
          <w:tab w:val="clear" w:pos="567"/>
        </w:tabs>
        <w:spacing w:line="240" w:lineRule="auto"/>
        <w:ind w:left="357" w:right="-28" w:hanging="357"/>
      </w:pPr>
      <w:r w:rsidRPr="00A808AC">
        <w:t>2.</w:t>
      </w:r>
      <w:r w:rsidRPr="00A808AC">
        <w:tab/>
        <w:t>What you need to know before you take Kalydeco</w:t>
      </w:r>
    </w:p>
    <w:p w14:paraId="2FD6DC51" w14:textId="77777777" w:rsidR="00F976E8" w:rsidRPr="00A808AC" w:rsidRDefault="005A3D7D" w:rsidP="002B5107">
      <w:pPr>
        <w:tabs>
          <w:tab w:val="clear" w:pos="567"/>
        </w:tabs>
        <w:spacing w:line="240" w:lineRule="auto"/>
        <w:ind w:left="357" w:right="-28" w:hanging="357"/>
      </w:pPr>
      <w:r w:rsidRPr="00A808AC">
        <w:t>3.</w:t>
      </w:r>
      <w:r w:rsidRPr="00A808AC">
        <w:tab/>
        <w:t>How to take Kalydeco</w:t>
      </w:r>
    </w:p>
    <w:p w14:paraId="60CEE810" w14:textId="77777777" w:rsidR="00F976E8" w:rsidRPr="00A808AC" w:rsidRDefault="005A3D7D" w:rsidP="002B5107">
      <w:pPr>
        <w:tabs>
          <w:tab w:val="clear" w:pos="567"/>
        </w:tabs>
        <w:spacing w:line="240" w:lineRule="auto"/>
        <w:ind w:left="357" w:right="-28" w:hanging="357"/>
      </w:pPr>
      <w:r w:rsidRPr="00A808AC">
        <w:t>4.</w:t>
      </w:r>
      <w:r w:rsidRPr="00A808AC">
        <w:tab/>
        <w:t>Possible side effects</w:t>
      </w:r>
    </w:p>
    <w:p w14:paraId="7CA9A971" w14:textId="77777777" w:rsidR="00F976E8" w:rsidRPr="00A808AC" w:rsidRDefault="005A3D7D" w:rsidP="002B5107">
      <w:pPr>
        <w:tabs>
          <w:tab w:val="clear" w:pos="567"/>
        </w:tabs>
        <w:spacing w:line="240" w:lineRule="auto"/>
        <w:ind w:left="357" w:right="-28" w:hanging="357"/>
      </w:pPr>
      <w:r w:rsidRPr="00A808AC">
        <w:t>5.</w:t>
      </w:r>
      <w:r w:rsidRPr="00A808AC">
        <w:tab/>
        <w:t>How to store Kalydeco</w:t>
      </w:r>
    </w:p>
    <w:p w14:paraId="13D64904" w14:textId="77777777" w:rsidR="00F976E8" w:rsidRPr="00A808AC" w:rsidRDefault="005A3D7D" w:rsidP="002B5107">
      <w:pPr>
        <w:tabs>
          <w:tab w:val="clear" w:pos="567"/>
        </w:tabs>
        <w:spacing w:line="240" w:lineRule="auto"/>
        <w:ind w:left="357" w:right="-28" w:hanging="357"/>
      </w:pPr>
      <w:r w:rsidRPr="00A808AC">
        <w:t>6.</w:t>
      </w:r>
      <w:r w:rsidRPr="00A808AC">
        <w:tab/>
        <w:t>Contents of the pack and other information</w:t>
      </w:r>
    </w:p>
    <w:p w14:paraId="1EBBE6C3" w14:textId="77777777" w:rsidR="00F976E8" w:rsidRPr="00A808AC" w:rsidRDefault="00F976E8" w:rsidP="002B5107">
      <w:pPr>
        <w:numPr>
          <w:ilvl w:val="12"/>
          <w:numId w:val="0"/>
        </w:numPr>
        <w:tabs>
          <w:tab w:val="clear" w:pos="567"/>
        </w:tabs>
        <w:spacing w:line="240" w:lineRule="auto"/>
      </w:pPr>
    </w:p>
    <w:p w14:paraId="2990852F" w14:textId="77777777" w:rsidR="00F976E8" w:rsidRPr="00A808AC" w:rsidRDefault="00F976E8" w:rsidP="002B5107">
      <w:pPr>
        <w:numPr>
          <w:ilvl w:val="12"/>
          <w:numId w:val="0"/>
        </w:numPr>
        <w:tabs>
          <w:tab w:val="clear" w:pos="567"/>
        </w:tabs>
        <w:spacing w:line="240" w:lineRule="auto"/>
      </w:pPr>
    </w:p>
    <w:p w14:paraId="28521459" w14:textId="77777777" w:rsidR="00F976E8" w:rsidRPr="00B02282" w:rsidRDefault="005A3D7D" w:rsidP="000A093B">
      <w:pPr>
        <w:keepNext/>
        <w:numPr>
          <w:ilvl w:val="0"/>
          <w:numId w:val="1"/>
        </w:numPr>
        <w:tabs>
          <w:tab w:val="clear" w:pos="570"/>
        </w:tabs>
        <w:spacing w:line="240" w:lineRule="auto"/>
        <w:ind w:right="-2"/>
        <w:rPr>
          <w:b/>
          <w:bCs/>
        </w:rPr>
      </w:pPr>
      <w:r w:rsidRPr="00B02282">
        <w:rPr>
          <w:b/>
        </w:rPr>
        <w:t>What Kalydeco is and what it is used for</w:t>
      </w:r>
    </w:p>
    <w:p w14:paraId="6FE35D9D" w14:textId="77777777" w:rsidR="00F976E8" w:rsidRPr="00A808AC" w:rsidRDefault="00F976E8" w:rsidP="000A093B">
      <w:pPr>
        <w:keepNext/>
        <w:widowControl w:val="0"/>
        <w:autoSpaceDE w:val="0"/>
        <w:autoSpaceDN w:val="0"/>
        <w:adjustRightInd w:val="0"/>
        <w:spacing w:line="240" w:lineRule="auto"/>
      </w:pPr>
    </w:p>
    <w:p w14:paraId="008B5496" w14:textId="77777777" w:rsidR="00A42740" w:rsidRPr="00A808AC" w:rsidRDefault="005A3D7D" w:rsidP="000A093B">
      <w:pPr>
        <w:keepNext/>
        <w:widowControl w:val="0"/>
        <w:autoSpaceDE w:val="0"/>
        <w:autoSpaceDN w:val="0"/>
        <w:adjustRightInd w:val="0"/>
        <w:spacing w:line="240" w:lineRule="auto"/>
      </w:pPr>
      <w:r w:rsidRPr="00A808AC">
        <w:t>Kalyde</w:t>
      </w:r>
      <w:r w:rsidRPr="00A808AC">
        <w:t xml:space="preserve">co contains the active </w:t>
      </w:r>
      <w:r w:rsidR="00465638" w:rsidRPr="00A808AC">
        <w:t xml:space="preserve">ingredient </w:t>
      </w:r>
      <w:r w:rsidRPr="00A808AC">
        <w:t>ivacaftor</w:t>
      </w:r>
      <w:r w:rsidR="00DE00B1" w:rsidRPr="00A808AC">
        <w:t>.</w:t>
      </w:r>
      <w:r w:rsidR="00582EFB" w:rsidRPr="00A808AC">
        <w:t xml:space="preserve"> Ivacaftor acts at the level of </w:t>
      </w:r>
      <w:r w:rsidR="00DE00B1" w:rsidRPr="00A808AC">
        <w:t xml:space="preserve">the </w:t>
      </w:r>
      <w:r w:rsidR="007E0340" w:rsidRPr="00A808AC">
        <w:t>cystic fibrosis transmembrane conductance regulator (CFTR)</w:t>
      </w:r>
      <w:r w:rsidR="00582EFB" w:rsidRPr="00A808AC">
        <w:t>,</w:t>
      </w:r>
      <w:r w:rsidR="00DE00B1" w:rsidRPr="00A808AC">
        <w:t xml:space="preserve"> </w:t>
      </w:r>
      <w:r w:rsidR="007E0340" w:rsidRPr="00A808AC">
        <w:t xml:space="preserve">a protein that forms a channel at the cell surface that allows </w:t>
      </w:r>
      <w:r w:rsidR="00886A04" w:rsidRPr="00A808AC">
        <w:t xml:space="preserve">the </w:t>
      </w:r>
      <w:r w:rsidR="007E0340" w:rsidRPr="00A808AC">
        <w:t xml:space="preserve">movement of particles such as chloride in and out of the cell. Due to mutations in the </w:t>
      </w:r>
      <w:r w:rsidR="007E0340" w:rsidRPr="00A808AC">
        <w:rPr>
          <w:i/>
        </w:rPr>
        <w:t>CFTR</w:t>
      </w:r>
      <w:r w:rsidR="00DE00B1" w:rsidRPr="00A808AC">
        <w:t xml:space="preserve"> </w:t>
      </w:r>
      <w:r w:rsidR="00582EFB" w:rsidRPr="00A808AC">
        <w:t>gene</w:t>
      </w:r>
      <w:r w:rsidR="00A423C3" w:rsidRPr="00A808AC">
        <w:t xml:space="preserve"> (see below)</w:t>
      </w:r>
      <w:r w:rsidR="007E0340" w:rsidRPr="00A808AC">
        <w:t xml:space="preserve">, chloride movement is reduced in those with cystic fibrosis (CF). Ivacaftor helps </w:t>
      </w:r>
      <w:r w:rsidR="00A423C3" w:rsidRPr="00A808AC">
        <w:t xml:space="preserve">certain </w:t>
      </w:r>
      <w:r w:rsidR="00DE00B1" w:rsidRPr="00A808AC">
        <w:t xml:space="preserve">abnormal </w:t>
      </w:r>
      <w:r w:rsidR="007E0340" w:rsidRPr="00A808AC">
        <w:t>CFTR proteins open more often to improve chloride movement in and out of the cell.</w:t>
      </w:r>
    </w:p>
    <w:p w14:paraId="7C38BE67" w14:textId="77777777" w:rsidR="00F976E8" w:rsidRPr="00A808AC" w:rsidRDefault="00F976E8" w:rsidP="002B5107">
      <w:pPr>
        <w:widowControl w:val="0"/>
        <w:autoSpaceDE w:val="0"/>
        <w:autoSpaceDN w:val="0"/>
        <w:adjustRightInd w:val="0"/>
        <w:spacing w:line="240" w:lineRule="auto"/>
      </w:pPr>
    </w:p>
    <w:p w14:paraId="27ED734D" w14:textId="77777777" w:rsidR="00C5621E" w:rsidRDefault="005A3D7D" w:rsidP="00B54C58">
      <w:pPr>
        <w:pStyle w:val="labeltext"/>
        <w:keepNext/>
        <w:rPr>
          <w:sz w:val="22"/>
          <w:szCs w:val="22"/>
          <w:lang w:val="en-GB"/>
        </w:rPr>
      </w:pPr>
      <w:bookmarkStart w:id="10" w:name="_Hlk46239356"/>
      <w:r w:rsidRPr="00A808AC">
        <w:rPr>
          <w:sz w:val="22"/>
          <w:szCs w:val="22"/>
          <w:lang w:val="en-GB"/>
        </w:rPr>
        <w:t>Kalydeco</w:t>
      </w:r>
      <w:r w:rsidR="009C421D" w:rsidRPr="00A808AC">
        <w:rPr>
          <w:sz w:val="22"/>
          <w:szCs w:val="22"/>
          <w:lang w:val="en-GB"/>
        </w:rPr>
        <w:t xml:space="preserve"> tablets are</w:t>
      </w:r>
      <w:r w:rsidR="005460F7" w:rsidRPr="00A808AC">
        <w:rPr>
          <w:sz w:val="22"/>
          <w:szCs w:val="22"/>
          <w:lang w:val="en-GB"/>
        </w:rPr>
        <w:t xml:space="preserve"> indicated</w:t>
      </w:r>
      <w:r>
        <w:rPr>
          <w:sz w:val="22"/>
          <w:szCs w:val="22"/>
          <w:lang w:val="en-GB"/>
        </w:rPr>
        <w:t xml:space="preserve">: </w:t>
      </w:r>
    </w:p>
    <w:p w14:paraId="5B6D15FB" w14:textId="7193F6D2" w:rsidR="00F976E8" w:rsidRPr="00A808AC" w:rsidRDefault="005A3D7D" w:rsidP="000A093B">
      <w:pPr>
        <w:pStyle w:val="labeltext"/>
        <w:keepNext/>
        <w:numPr>
          <w:ilvl w:val="0"/>
          <w:numId w:val="71"/>
        </w:numPr>
        <w:ind w:left="567"/>
        <w:rPr>
          <w:sz w:val="22"/>
          <w:szCs w:val="22"/>
          <w:lang w:val="en-GB"/>
        </w:rPr>
      </w:pPr>
      <w:r>
        <w:rPr>
          <w:sz w:val="22"/>
          <w:szCs w:val="22"/>
          <w:lang w:val="en-GB"/>
        </w:rPr>
        <w:t xml:space="preserve">As monotherapy </w:t>
      </w:r>
      <w:r w:rsidR="00EA039D" w:rsidRPr="00A808AC">
        <w:rPr>
          <w:sz w:val="22"/>
          <w:szCs w:val="22"/>
          <w:lang w:val="en-GB"/>
        </w:rPr>
        <w:t xml:space="preserve">for </w:t>
      </w:r>
      <w:r w:rsidR="002360A4">
        <w:rPr>
          <w:sz w:val="22"/>
          <w:szCs w:val="22"/>
          <w:lang w:val="en-GB"/>
        </w:rPr>
        <w:t>patients</w:t>
      </w:r>
      <w:r w:rsidR="00CE38C0" w:rsidRPr="00A808AC">
        <w:rPr>
          <w:sz w:val="22"/>
          <w:szCs w:val="22"/>
          <w:lang w:val="en-GB"/>
        </w:rPr>
        <w:t xml:space="preserve"> </w:t>
      </w:r>
      <w:r w:rsidR="00EA039D" w:rsidRPr="00A808AC">
        <w:rPr>
          <w:sz w:val="22"/>
          <w:szCs w:val="22"/>
          <w:lang w:val="en-GB"/>
        </w:rPr>
        <w:t xml:space="preserve">aged </w:t>
      </w:r>
      <w:r w:rsidR="00F4667B" w:rsidRPr="00A808AC">
        <w:rPr>
          <w:sz w:val="22"/>
          <w:szCs w:val="22"/>
          <w:lang w:val="en-GB"/>
        </w:rPr>
        <w:t>6</w:t>
      </w:r>
      <w:r w:rsidR="00F4667B">
        <w:rPr>
          <w:sz w:val="22"/>
          <w:szCs w:val="22"/>
          <w:lang w:val="en-GB"/>
        </w:rPr>
        <w:t> </w:t>
      </w:r>
      <w:r w:rsidR="00EA039D" w:rsidRPr="00A808AC">
        <w:rPr>
          <w:sz w:val="22"/>
          <w:szCs w:val="22"/>
          <w:lang w:val="en-GB"/>
        </w:rPr>
        <w:t xml:space="preserve">years and older </w:t>
      </w:r>
      <w:r w:rsidR="000A4186" w:rsidRPr="00A808AC">
        <w:rPr>
          <w:sz w:val="22"/>
          <w:szCs w:val="22"/>
          <w:lang w:val="en-GB"/>
        </w:rPr>
        <w:t xml:space="preserve">and weighing 25 kg or more </w:t>
      </w:r>
      <w:r w:rsidR="00CE38C0">
        <w:rPr>
          <w:sz w:val="22"/>
          <w:szCs w:val="22"/>
          <w:lang w:val="en-GB"/>
        </w:rPr>
        <w:t xml:space="preserve">with cystic fibrosis (CF) </w:t>
      </w:r>
      <w:r w:rsidR="00EA039D" w:rsidRPr="00A808AC">
        <w:rPr>
          <w:sz w:val="22"/>
          <w:szCs w:val="22"/>
          <w:lang w:val="en-GB"/>
        </w:rPr>
        <w:t>who have</w:t>
      </w:r>
      <w:r w:rsidR="00E74C79">
        <w:rPr>
          <w:sz w:val="22"/>
          <w:szCs w:val="22"/>
          <w:lang w:val="en-GB"/>
        </w:rPr>
        <w:t xml:space="preserve"> an </w:t>
      </w:r>
      <w:r w:rsidR="00E74C79" w:rsidRPr="00E74C79">
        <w:rPr>
          <w:i/>
          <w:iCs/>
          <w:sz w:val="22"/>
          <w:szCs w:val="22"/>
          <w:lang w:val="en-GB"/>
        </w:rPr>
        <w:t>R117H</w:t>
      </w:r>
      <w:r w:rsidR="00E74C79" w:rsidRPr="000A093B">
        <w:rPr>
          <w:i/>
          <w:sz w:val="22"/>
          <w:lang w:val="en-GB"/>
        </w:rPr>
        <w:t xml:space="preserve"> </w:t>
      </w:r>
      <w:r w:rsidR="00E74C79" w:rsidRPr="00E74C79">
        <w:rPr>
          <w:i/>
          <w:iCs/>
          <w:sz w:val="22"/>
          <w:szCs w:val="22"/>
          <w:lang w:val="en-GB"/>
        </w:rPr>
        <w:t>CFTR</w:t>
      </w:r>
      <w:r w:rsidR="00E74C79">
        <w:rPr>
          <w:sz w:val="22"/>
          <w:szCs w:val="22"/>
          <w:lang w:val="en-GB"/>
        </w:rPr>
        <w:t xml:space="preserve"> mutation or</w:t>
      </w:r>
      <w:r w:rsidR="00EA039D" w:rsidRPr="00A808AC">
        <w:rPr>
          <w:sz w:val="22"/>
          <w:szCs w:val="22"/>
          <w:lang w:val="en-GB"/>
        </w:rPr>
        <w:t xml:space="preserve"> one of the following gating mutations in the </w:t>
      </w:r>
      <w:r w:rsidR="00EA039D" w:rsidRPr="00A808AC">
        <w:rPr>
          <w:i/>
          <w:iCs/>
          <w:sz w:val="22"/>
          <w:szCs w:val="22"/>
          <w:lang w:val="en-GB"/>
        </w:rPr>
        <w:t>CFTR</w:t>
      </w:r>
      <w:r w:rsidR="00EA039D" w:rsidRPr="00A808AC">
        <w:rPr>
          <w:sz w:val="22"/>
          <w:szCs w:val="22"/>
          <w:lang w:val="en-GB"/>
        </w:rPr>
        <w:t xml:space="preserve"> gene: </w:t>
      </w:r>
      <w:r w:rsidR="00EA039D" w:rsidRPr="00A808AC">
        <w:rPr>
          <w:i/>
          <w:sz w:val="22"/>
          <w:szCs w:val="22"/>
          <w:lang w:val="en-GB"/>
        </w:rPr>
        <w:t>G551D</w:t>
      </w:r>
      <w:r w:rsidR="00EA039D" w:rsidRPr="00A808AC">
        <w:rPr>
          <w:sz w:val="22"/>
          <w:szCs w:val="22"/>
          <w:lang w:val="en-GB"/>
        </w:rPr>
        <w:t xml:space="preserve">, </w:t>
      </w:r>
      <w:r w:rsidR="00EA039D" w:rsidRPr="00A808AC">
        <w:rPr>
          <w:i/>
          <w:sz w:val="22"/>
          <w:szCs w:val="22"/>
          <w:lang w:val="en-GB"/>
        </w:rPr>
        <w:t>G1244E</w:t>
      </w:r>
      <w:r w:rsidR="00EA039D" w:rsidRPr="00A808AC">
        <w:rPr>
          <w:sz w:val="22"/>
          <w:szCs w:val="22"/>
          <w:lang w:val="en-GB"/>
        </w:rPr>
        <w:t xml:space="preserve">, </w:t>
      </w:r>
      <w:r w:rsidR="00EA039D" w:rsidRPr="00A808AC">
        <w:rPr>
          <w:i/>
          <w:sz w:val="22"/>
          <w:szCs w:val="22"/>
          <w:lang w:val="en-GB"/>
        </w:rPr>
        <w:t>G1349D</w:t>
      </w:r>
      <w:r w:rsidR="00EA039D" w:rsidRPr="00A808AC">
        <w:rPr>
          <w:sz w:val="22"/>
          <w:szCs w:val="22"/>
          <w:lang w:val="en-GB"/>
        </w:rPr>
        <w:t xml:space="preserve">, </w:t>
      </w:r>
      <w:r w:rsidR="00EA039D" w:rsidRPr="00A808AC">
        <w:rPr>
          <w:i/>
          <w:sz w:val="22"/>
          <w:szCs w:val="22"/>
          <w:lang w:val="en-GB"/>
        </w:rPr>
        <w:t>G178R</w:t>
      </w:r>
      <w:r w:rsidR="00EA039D" w:rsidRPr="00A808AC">
        <w:rPr>
          <w:sz w:val="22"/>
          <w:szCs w:val="22"/>
          <w:lang w:val="en-GB"/>
        </w:rPr>
        <w:t xml:space="preserve">, </w:t>
      </w:r>
      <w:r w:rsidR="00EA039D" w:rsidRPr="00A808AC">
        <w:rPr>
          <w:i/>
          <w:sz w:val="22"/>
          <w:szCs w:val="22"/>
          <w:lang w:val="en-GB"/>
        </w:rPr>
        <w:t>G551S</w:t>
      </w:r>
      <w:r w:rsidR="00EA039D" w:rsidRPr="00A808AC">
        <w:rPr>
          <w:sz w:val="22"/>
          <w:szCs w:val="22"/>
          <w:lang w:val="en-GB"/>
        </w:rPr>
        <w:t xml:space="preserve">, </w:t>
      </w:r>
      <w:r w:rsidR="00EA039D" w:rsidRPr="00A808AC">
        <w:rPr>
          <w:i/>
          <w:sz w:val="22"/>
          <w:szCs w:val="22"/>
          <w:lang w:val="en-GB"/>
        </w:rPr>
        <w:t>S1251N</w:t>
      </w:r>
      <w:r w:rsidR="00EA039D" w:rsidRPr="00A808AC">
        <w:rPr>
          <w:sz w:val="22"/>
          <w:szCs w:val="22"/>
          <w:lang w:val="en-GB"/>
        </w:rPr>
        <w:t xml:space="preserve">, </w:t>
      </w:r>
      <w:r w:rsidR="00EA039D" w:rsidRPr="00A808AC">
        <w:rPr>
          <w:i/>
          <w:sz w:val="22"/>
          <w:szCs w:val="22"/>
          <w:lang w:val="en-GB"/>
        </w:rPr>
        <w:t>S1255P</w:t>
      </w:r>
      <w:r w:rsidR="00EA039D" w:rsidRPr="00A808AC">
        <w:rPr>
          <w:sz w:val="22"/>
          <w:szCs w:val="22"/>
          <w:lang w:val="en-GB"/>
        </w:rPr>
        <w:t xml:space="preserve">, </w:t>
      </w:r>
      <w:r w:rsidR="00EA039D" w:rsidRPr="00A808AC">
        <w:rPr>
          <w:i/>
          <w:sz w:val="22"/>
          <w:szCs w:val="22"/>
          <w:lang w:val="en-GB"/>
        </w:rPr>
        <w:t>S549N</w:t>
      </w:r>
      <w:r w:rsidR="00EA039D" w:rsidRPr="00A808AC">
        <w:rPr>
          <w:sz w:val="22"/>
          <w:szCs w:val="22"/>
          <w:lang w:val="en-GB"/>
        </w:rPr>
        <w:t xml:space="preserve"> </w:t>
      </w:r>
      <w:r w:rsidR="00EA039D" w:rsidRPr="00A808AC">
        <w:rPr>
          <w:iCs/>
          <w:sz w:val="22"/>
          <w:szCs w:val="22"/>
          <w:lang w:val="en-GB"/>
        </w:rPr>
        <w:t>or</w:t>
      </w:r>
      <w:r w:rsidR="00EA039D" w:rsidRPr="00A808AC">
        <w:rPr>
          <w:sz w:val="22"/>
          <w:szCs w:val="22"/>
          <w:lang w:val="en-GB"/>
        </w:rPr>
        <w:t xml:space="preserve"> </w:t>
      </w:r>
      <w:r w:rsidR="00EA039D" w:rsidRPr="00A808AC">
        <w:rPr>
          <w:i/>
          <w:sz w:val="22"/>
          <w:szCs w:val="22"/>
          <w:lang w:val="en-GB"/>
        </w:rPr>
        <w:t>S549R</w:t>
      </w:r>
      <w:r w:rsidR="00EA039D" w:rsidRPr="00A808AC">
        <w:rPr>
          <w:sz w:val="22"/>
          <w:szCs w:val="22"/>
          <w:lang w:val="en-GB"/>
        </w:rPr>
        <w:t>.</w:t>
      </w:r>
    </w:p>
    <w:p w14:paraId="02F12331" w14:textId="77777777" w:rsidR="00F976E8" w:rsidRPr="00A808AC" w:rsidRDefault="00F976E8" w:rsidP="000A093B">
      <w:pPr>
        <w:numPr>
          <w:ilvl w:val="12"/>
          <w:numId w:val="0"/>
        </w:numPr>
        <w:tabs>
          <w:tab w:val="clear" w:pos="567"/>
        </w:tabs>
        <w:spacing w:line="240" w:lineRule="auto"/>
        <w:ind w:left="567"/>
      </w:pPr>
    </w:p>
    <w:p w14:paraId="77DFBC94" w14:textId="6F878A50" w:rsidR="00CF0D50" w:rsidRDefault="005A3D7D" w:rsidP="000A093B">
      <w:pPr>
        <w:pStyle w:val="ListParagraph"/>
        <w:numPr>
          <w:ilvl w:val="0"/>
          <w:numId w:val="71"/>
        </w:numPr>
        <w:tabs>
          <w:tab w:val="left" w:pos="2070"/>
        </w:tabs>
        <w:autoSpaceDE w:val="0"/>
        <w:autoSpaceDN w:val="0"/>
        <w:adjustRightInd w:val="0"/>
        <w:ind w:left="567"/>
      </w:pPr>
      <w:r>
        <w:t>I</w:t>
      </w:r>
      <w:r w:rsidR="009B1867" w:rsidRPr="00150676">
        <w:t xml:space="preserve">n combination with tezacaftor/ivacaftor tablets for </w:t>
      </w:r>
      <w:r w:rsidR="002360A4">
        <w:t>patients</w:t>
      </w:r>
      <w:r w:rsidR="003A3EEC">
        <w:t xml:space="preserve"> aged</w:t>
      </w:r>
      <w:r w:rsidR="00CE38C0" w:rsidRPr="00150676">
        <w:t xml:space="preserve"> </w:t>
      </w:r>
      <w:r w:rsidR="009B1867" w:rsidRPr="00150676">
        <w:t xml:space="preserve">12 years and older </w:t>
      </w:r>
      <w:r w:rsidR="009B1867">
        <w:t>with</w:t>
      </w:r>
      <w:r w:rsidR="009B1867" w:rsidRPr="00150676">
        <w:t xml:space="preserve"> CF who have two </w:t>
      </w:r>
      <w:r w:rsidR="009B1867" w:rsidRPr="006702BD">
        <w:rPr>
          <w:i/>
          <w:iCs/>
        </w:rPr>
        <w:t xml:space="preserve">F508del </w:t>
      </w:r>
      <w:r w:rsidR="009B1867" w:rsidRPr="00150676">
        <w:t xml:space="preserve">mutations in the </w:t>
      </w:r>
      <w:r w:rsidR="009B1867" w:rsidRPr="006702BD">
        <w:rPr>
          <w:i/>
          <w:iCs/>
        </w:rPr>
        <w:t xml:space="preserve">CFTR </w:t>
      </w:r>
      <w:r w:rsidR="009B1867" w:rsidRPr="00150676">
        <w:t xml:space="preserve">gene (homozygous for the </w:t>
      </w:r>
      <w:r w:rsidR="009B1867" w:rsidRPr="006702BD">
        <w:rPr>
          <w:i/>
          <w:iCs/>
        </w:rPr>
        <w:t xml:space="preserve">F508del </w:t>
      </w:r>
      <w:r w:rsidR="009B1867" w:rsidRPr="00150676">
        <w:t xml:space="preserve">mutation) or who have an </w:t>
      </w:r>
      <w:r w:rsidR="009B1867" w:rsidRPr="006702BD">
        <w:rPr>
          <w:i/>
          <w:iCs/>
        </w:rPr>
        <w:t xml:space="preserve">F508del </w:t>
      </w:r>
      <w:r w:rsidR="009B1867" w:rsidRPr="00150676">
        <w:t xml:space="preserve">mutation and certain other second mutations (heterozygous </w:t>
      </w:r>
      <w:r w:rsidR="009B1867">
        <w:t xml:space="preserve">for the </w:t>
      </w:r>
      <w:r w:rsidR="009B1867" w:rsidRPr="006702BD">
        <w:rPr>
          <w:i/>
        </w:rPr>
        <w:t>F508del</w:t>
      </w:r>
      <w:r w:rsidR="009B1867" w:rsidRPr="00150676">
        <w:t xml:space="preserve"> mutation). If you have been prescribed Kalydeco to be taken with tezacaftor/ivacaftor, read the tezacaftor/ivacaftor package leaflet. It contains important information about how to take these two medicines.</w:t>
      </w:r>
    </w:p>
    <w:p w14:paraId="5D52794B" w14:textId="77777777" w:rsidR="00577E78" w:rsidRPr="000A093B" w:rsidRDefault="00577E78" w:rsidP="000A093B">
      <w:pPr>
        <w:tabs>
          <w:tab w:val="left" w:pos="2070"/>
        </w:tabs>
        <w:autoSpaceDE w:val="0"/>
        <w:autoSpaceDN w:val="0"/>
        <w:adjustRightInd w:val="0"/>
        <w:spacing w:line="240" w:lineRule="auto"/>
        <w:ind w:left="567"/>
      </w:pPr>
    </w:p>
    <w:p w14:paraId="40042902" w14:textId="379A2F1E" w:rsidR="00577E78" w:rsidRPr="00196917" w:rsidRDefault="005A3D7D" w:rsidP="00095957">
      <w:pPr>
        <w:pStyle w:val="ListParagraph"/>
        <w:numPr>
          <w:ilvl w:val="0"/>
          <w:numId w:val="71"/>
        </w:numPr>
        <w:ind w:left="567"/>
        <w:rPr>
          <w:u w:val="single"/>
        </w:rPr>
      </w:pPr>
      <w:r>
        <w:t>I</w:t>
      </w:r>
      <w:r w:rsidR="009B1867" w:rsidRPr="00150676">
        <w:t xml:space="preserve">n combination with </w:t>
      </w:r>
      <w:r>
        <w:t>ivacaftor/tezacaftor/elexacaftor</w:t>
      </w:r>
      <w:r w:rsidR="009B1867" w:rsidRPr="00150676">
        <w:t xml:space="preserve"> tablets </w:t>
      </w:r>
      <w:r w:rsidR="009B1867" w:rsidRPr="00196917">
        <w:t>for patients aged 12</w:t>
      </w:r>
      <w:r w:rsidR="002360A4">
        <w:t xml:space="preserve"> years</w:t>
      </w:r>
      <w:r w:rsidR="009B1867" w:rsidRPr="00196917">
        <w:t xml:space="preserve"> and over </w:t>
      </w:r>
      <w:r w:rsidR="0029424A">
        <w:t xml:space="preserve">with CF </w:t>
      </w:r>
      <w:r w:rsidR="009B1867" w:rsidRPr="00196917">
        <w:t xml:space="preserve">who </w:t>
      </w:r>
      <w:r w:rsidRPr="00196917">
        <w:t xml:space="preserve">are homozygous for the </w:t>
      </w:r>
      <w:r w:rsidR="009B1867" w:rsidRPr="00196917">
        <w:rPr>
          <w:i/>
        </w:rPr>
        <w:t xml:space="preserve">F508del </w:t>
      </w:r>
      <w:r w:rsidR="009B1867" w:rsidRPr="00196917">
        <w:t xml:space="preserve">mutation in the </w:t>
      </w:r>
      <w:r w:rsidR="009B1867" w:rsidRPr="004E4BB1">
        <w:rPr>
          <w:i/>
          <w:iCs/>
        </w:rPr>
        <w:t>CFTR</w:t>
      </w:r>
      <w:r w:rsidR="009B1867" w:rsidRPr="00196917">
        <w:t xml:space="preserve"> gene</w:t>
      </w:r>
      <w:r w:rsidRPr="00196917">
        <w:t xml:space="preserve"> or heterozygous for </w:t>
      </w:r>
      <w:r w:rsidRPr="00243206">
        <w:rPr>
          <w:i/>
          <w:iCs/>
        </w:rPr>
        <w:t>F508del</w:t>
      </w:r>
      <w:r w:rsidRPr="00196917">
        <w:t xml:space="preserve"> in the </w:t>
      </w:r>
      <w:r w:rsidRPr="00243206">
        <w:rPr>
          <w:i/>
          <w:iCs/>
        </w:rPr>
        <w:t>CFTR</w:t>
      </w:r>
      <w:r w:rsidRPr="00196917">
        <w:t xml:space="preserve"> gene with a minimal function (MF) mutation</w:t>
      </w:r>
      <w:r w:rsidR="009B1867" w:rsidRPr="00196917">
        <w:t xml:space="preserve">. </w:t>
      </w:r>
      <w:r w:rsidR="00C813D0" w:rsidRPr="00BC7579">
        <w:t>A minimal function mutation is defined as one that results either in no CFTR protein being produced or a CFTR protein that does not function,</w:t>
      </w:r>
      <w:r w:rsidR="00C813D0">
        <w:t xml:space="preserve"> </w:t>
      </w:r>
      <w:r w:rsidR="00C813D0" w:rsidRPr="009E2A1B">
        <w:t>and which is unlikely to respond to ivacaftor</w:t>
      </w:r>
      <w:r w:rsidR="002360A4">
        <w:t xml:space="preserve"> alone</w:t>
      </w:r>
      <w:r w:rsidR="00C813D0" w:rsidRPr="009E2A1B">
        <w:t xml:space="preserve"> and tezacaftor/ivacaftor</w:t>
      </w:r>
      <w:r w:rsidR="00C813D0">
        <w:t xml:space="preserve">. </w:t>
      </w:r>
      <w:r w:rsidR="009B1867" w:rsidRPr="00150676">
        <w:t xml:space="preserve">If you have been prescribed Kalydeco to be taken with </w:t>
      </w:r>
      <w:r>
        <w:t>ivacaftor/tezacaftor/elexacaftor</w:t>
      </w:r>
      <w:r w:rsidR="009B1867" w:rsidRPr="00150676">
        <w:t xml:space="preserve">, read the </w:t>
      </w:r>
      <w:r>
        <w:t>ivacaftor/tezacaftor/elexacaftor</w:t>
      </w:r>
      <w:r w:rsidR="009B1867" w:rsidRPr="00150676">
        <w:t xml:space="preserve"> package leaflet. It contains important information about how to take these two medicines.</w:t>
      </w:r>
    </w:p>
    <w:bookmarkEnd w:id="10"/>
    <w:p w14:paraId="7AA607BE" w14:textId="77777777" w:rsidR="00465638" w:rsidRPr="000A093B" w:rsidRDefault="00465638" w:rsidP="002B5107">
      <w:pPr>
        <w:numPr>
          <w:ilvl w:val="12"/>
          <w:numId w:val="0"/>
        </w:numPr>
        <w:tabs>
          <w:tab w:val="clear" w:pos="567"/>
        </w:tabs>
        <w:spacing w:line="240" w:lineRule="auto"/>
      </w:pPr>
    </w:p>
    <w:p w14:paraId="4E83F1F1" w14:textId="77777777" w:rsidR="00F976E8" w:rsidRPr="00B02282" w:rsidRDefault="005A3D7D" w:rsidP="000A093B">
      <w:pPr>
        <w:keepNext/>
        <w:numPr>
          <w:ilvl w:val="0"/>
          <w:numId w:val="4"/>
        </w:numPr>
        <w:spacing w:line="240" w:lineRule="auto"/>
        <w:ind w:left="0" w:firstLine="0"/>
        <w:rPr>
          <w:b/>
          <w:caps/>
        </w:rPr>
      </w:pPr>
      <w:r w:rsidRPr="00B02282">
        <w:rPr>
          <w:b/>
        </w:rPr>
        <w:t>What you need to know before you take Kalydeco</w:t>
      </w:r>
    </w:p>
    <w:p w14:paraId="36E59660" w14:textId="77777777" w:rsidR="00F976E8" w:rsidRPr="00A808AC" w:rsidRDefault="00F976E8" w:rsidP="000A093B">
      <w:pPr>
        <w:keepNext/>
        <w:spacing w:line="240" w:lineRule="auto"/>
      </w:pPr>
    </w:p>
    <w:p w14:paraId="20C6A2F7" w14:textId="77777777" w:rsidR="00F976E8" w:rsidRDefault="005A3D7D" w:rsidP="000A093B">
      <w:pPr>
        <w:keepNext/>
        <w:spacing w:line="240" w:lineRule="auto"/>
        <w:rPr>
          <w:b/>
          <w:bCs/>
        </w:rPr>
      </w:pPr>
      <w:r w:rsidRPr="00A808AC">
        <w:rPr>
          <w:b/>
          <w:bCs/>
        </w:rPr>
        <w:t>Do not take Kalydeco</w:t>
      </w:r>
    </w:p>
    <w:p w14:paraId="7F669925" w14:textId="77777777" w:rsidR="00987822" w:rsidRPr="00A808AC" w:rsidRDefault="00987822" w:rsidP="000A093B">
      <w:pPr>
        <w:keepNext/>
        <w:spacing w:line="240" w:lineRule="auto"/>
        <w:rPr>
          <w:b/>
          <w:bCs/>
        </w:rPr>
      </w:pPr>
    </w:p>
    <w:p w14:paraId="1E0E2238" w14:textId="77777777" w:rsidR="00F976E8" w:rsidRPr="00A808AC" w:rsidRDefault="005A3D7D" w:rsidP="000A093B">
      <w:pPr>
        <w:pStyle w:val="ListParagraph"/>
        <w:numPr>
          <w:ilvl w:val="0"/>
          <w:numId w:val="71"/>
        </w:numPr>
        <w:ind w:left="567"/>
      </w:pPr>
      <w:r w:rsidRPr="00A808AC">
        <w:t>if you are allergic to ivacaftor or any of the other ingredients of this medicine (listed in section 6).</w:t>
      </w:r>
    </w:p>
    <w:p w14:paraId="1F4388E6" w14:textId="77777777" w:rsidR="00F976E8" w:rsidRPr="00A808AC" w:rsidRDefault="00F976E8" w:rsidP="002B5107">
      <w:pPr>
        <w:numPr>
          <w:ilvl w:val="12"/>
          <w:numId w:val="0"/>
        </w:numPr>
        <w:tabs>
          <w:tab w:val="clear" w:pos="567"/>
        </w:tabs>
        <w:spacing w:line="240" w:lineRule="auto"/>
      </w:pPr>
    </w:p>
    <w:p w14:paraId="7CE7AF20" w14:textId="77777777" w:rsidR="00F976E8" w:rsidRDefault="005A3D7D" w:rsidP="000A093B">
      <w:pPr>
        <w:keepNext/>
        <w:numPr>
          <w:ilvl w:val="12"/>
          <w:numId w:val="0"/>
        </w:numPr>
        <w:tabs>
          <w:tab w:val="clear" w:pos="567"/>
        </w:tabs>
        <w:spacing w:line="240" w:lineRule="auto"/>
        <w:outlineLvl w:val="0"/>
        <w:rPr>
          <w:b/>
          <w:bCs/>
        </w:rPr>
      </w:pPr>
      <w:r w:rsidRPr="00A808AC">
        <w:rPr>
          <w:b/>
          <w:bCs/>
        </w:rPr>
        <w:t>Warnings and precautions</w:t>
      </w:r>
    </w:p>
    <w:p w14:paraId="5F365B14" w14:textId="77777777" w:rsidR="00987822" w:rsidRPr="00A808AC" w:rsidRDefault="00987822" w:rsidP="000A093B">
      <w:pPr>
        <w:keepNext/>
        <w:numPr>
          <w:ilvl w:val="12"/>
          <w:numId w:val="0"/>
        </w:numPr>
        <w:tabs>
          <w:tab w:val="clear" w:pos="567"/>
        </w:tabs>
        <w:spacing w:line="240" w:lineRule="auto"/>
        <w:outlineLvl w:val="0"/>
        <w:rPr>
          <w:b/>
          <w:bCs/>
        </w:rPr>
      </w:pPr>
    </w:p>
    <w:p w14:paraId="4351033B" w14:textId="69D4D961" w:rsidR="008453C2" w:rsidRPr="00095957" w:rsidRDefault="005A3D7D" w:rsidP="000A093B">
      <w:pPr>
        <w:pStyle w:val="ListParagraph"/>
        <w:keepNext/>
        <w:numPr>
          <w:ilvl w:val="0"/>
          <w:numId w:val="71"/>
        </w:numPr>
        <w:ind w:left="567"/>
      </w:pPr>
      <w:r w:rsidRPr="00095957">
        <w:t xml:space="preserve">Talk </w:t>
      </w:r>
      <w:r w:rsidR="00C63857" w:rsidRPr="00095957">
        <w:t xml:space="preserve">to your doctor </w:t>
      </w:r>
      <w:r w:rsidR="009868C6" w:rsidRPr="00095957">
        <w:t>if you have liver problems or have previously</w:t>
      </w:r>
      <w:r w:rsidR="00FB3FA0" w:rsidRPr="00095957">
        <w:t xml:space="preserve"> had them</w:t>
      </w:r>
      <w:r w:rsidR="009868C6" w:rsidRPr="00095957">
        <w:t>. Your doctor may need to adjust your dose</w:t>
      </w:r>
      <w:r w:rsidRPr="00095957">
        <w:t>.</w:t>
      </w:r>
    </w:p>
    <w:p w14:paraId="15F5B6AB" w14:textId="2AE24817" w:rsidR="00465638" w:rsidRPr="00A808AC" w:rsidRDefault="005A3D7D" w:rsidP="000A093B">
      <w:pPr>
        <w:pStyle w:val="ListParagraph"/>
        <w:numPr>
          <w:ilvl w:val="0"/>
          <w:numId w:val="71"/>
        </w:numPr>
        <w:ind w:left="567"/>
      </w:pPr>
      <w:r w:rsidRPr="00A808AC">
        <w:t xml:space="preserve">Increased liver enzymes in the blood </w:t>
      </w:r>
      <w:r w:rsidR="00EA039D" w:rsidRPr="00A808AC">
        <w:t xml:space="preserve">have been seen in some people receiving </w:t>
      </w:r>
      <w:r w:rsidR="00B55353">
        <w:t>Kalydeco (alone or in combination with tezacaftor/ivacaftor</w:t>
      </w:r>
      <w:r w:rsidR="00903451">
        <w:t xml:space="preserve"> or </w:t>
      </w:r>
      <w:r w:rsidR="008E002B">
        <w:t>ivacaftor/tezacaftor/elexacaftor</w:t>
      </w:r>
      <w:r w:rsidR="00B55353">
        <w:t>)</w:t>
      </w:r>
      <w:r w:rsidR="00EA039D" w:rsidRPr="00A808AC">
        <w:t>. Tell your doctor right away if you have any of these symptoms, which may be a sign of liver problems:</w:t>
      </w:r>
    </w:p>
    <w:p w14:paraId="0E6D757F" w14:textId="77777777" w:rsidR="00F976E8" w:rsidRPr="00A808AC" w:rsidRDefault="005A3D7D" w:rsidP="000A093B">
      <w:pPr>
        <w:numPr>
          <w:ilvl w:val="2"/>
          <w:numId w:val="53"/>
        </w:numPr>
        <w:tabs>
          <w:tab w:val="clear" w:pos="567"/>
        </w:tabs>
        <w:autoSpaceDE w:val="0"/>
        <w:autoSpaceDN w:val="0"/>
        <w:adjustRightInd w:val="0"/>
        <w:spacing w:line="240" w:lineRule="auto"/>
        <w:ind w:left="851"/>
        <w:rPr>
          <w:rFonts w:eastAsia="MS Mincho"/>
          <w:lang w:eastAsia="ja-JP"/>
        </w:rPr>
      </w:pPr>
      <w:r w:rsidRPr="00A808AC">
        <w:rPr>
          <w:rFonts w:eastAsia="MS Mincho"/>
          <w:lang w:eastAsia="ja-JP"/>
        </w:rPr>
        <w:t>Pain or discomfort in the upper right stomach (abdominal) area</w:t>
      </w:r>
    </w:p>
    <w:p w14:paraId="18414588" w14:textId="77777777" w:rsidR="00F976E8" w:rsidRPr="00A808AC" w:rsidRDefault="005A3D7D" w:rsidP="000A093B">
      <w:pPr>
        <w:numPr>
          <w:ilvl w:val="2"/>
          <w:numId w:val="53"/>
        </w:numPr>
        <w:tabs>
          <w:tab w:val="clear" w:pos="567"/>
        </w:tabs>
        <w:autoSpaceDE w:val="0"/>
        <w:autoSpaceDN w:val="0"/>
        <w:adjustRightInd w:val="0"/>
        <w:spacing w:line="240" w:lineRule="auto"/>
        <w:ind w:left="851"/>
        <w:rPr>
          <w:rFonts w:eastAsia="MS Mincho"/>
          <w:lang w:eastAsia="ja-JP"/>
        </w:rPr>
      </w:pPr>
      <w:r w:rsidRPr="00A808AC">
        <w:rPr>
          <w:rFonts w:eastAsia="MS Mincho"/>
          <w:lang w:eastAsia="ja-JP"/>
        </w:rPr>
        <w:t>Yellowing of the skin or the whi</w:t>
      </w:r>
      <w:r w:rsidRPr="00A808AC">
        <w:rPr>
          <w:rFonts w:eastAsia="MS Mincho"/>
          <w:lang w:eastAsia="ja-JP"/>
        </w:rPr>
        <w:t>te part of the eyes</w:t>
      </w:r>
    </w:p>
    <w:p w14:paraId="1B153552" w14:textId="77777777" w:rsidR="00F976E8" w:rsidRPr="00A808AC" w:rsidRDefault="005A3D7D" w:rsidP="000A093B">
      <w:pPr>
        <w:numPr>
          <w:ilvl w:val="2"/>
          <w:numId w:val="53"/>
        </w:numPr>
        <w:tabs>
          <w:tab w:val="clear" w:pos="567"/>
        </w:tabs>
        <w:autoSpaceDE w:val="0"/>
        <w:autoSpaceDN w:val="0"/>
        <w:adjustRightInd w:val="0"/>
        <w:spacing w:line="240" w:lineRule="auto"/>
        <w:ind w:left="851"/>
        <w:rPr>
          <w:rFonts w:eastAsia="MS Mincho"/>
          <w:lang w:eastAsia="ja-JP"/>
        </w:rPr>
      </w:pPr>
      <w:r w:rsidRPr="00A808AC">
        <w:rPr>
          <w:rFonts w:eastAsia="MS Mincho"/>
          <w:lang w:eastAsia="ja-JP"/>
        </w:rPr>
        <w:t>Loss of appetite</w:t>
      </w:r>
    </w:p>
    <w:p w14:paraId="17AB4623" w14:textId="77777777" w:rsidR="00F976E8" w:rsidRPr="00A808AC" w:rsidRDefault="005A3D7D" w:rsidP="000A093B">
      <w:pPr>
        <w:numPr>
          <w:ilvl w:val="2"/>
          <w:numId w:val="53"/>
        </w:numPr>
        <w:tabs>
          <w:tab w:val="clear" w:pos="567"/>
        </w:tabs>
        <w:autoSpaceDE w:val="0"/>
        <w:autoSpaceDN w:val="0"/>
        <w:adjustRightInd w:val="0"/>
        <w:spacing w:line="240" w:lineRule="auto"/>
        <w:ind w:left="851"/>
        <w:rPr>
          <w:rFonts w:eastAsia="MS Mincho"/>
          <w:lang w:eastAsia="ja-JP"/>
        </w:rPr>
      </w:pPr>
      <w:r w:rsidRPr="00A808AC">
        <w:rPr>
          <w:rFonts w:eastAsia="MS Mincho"/>
          <w:lang w:eastAsia="ja-JP"/>
        </w:rPr>
        <w:t>Nausea or vomiting</w:t>
      </w:r>
    </w:p>
    <w:p w14:paraId="20AE5ACC" w14:textId="77777777" w:rsidR="00F976E8" w:rsidRPr="00A808AC" w:rsidRDefault="005A3D7D" w:rsidP="000A093B">
      <w:pPr>
        <w:numPr>
          <w:ilvl w:val="2"/>
          <w:numId w:val="53"/>
        </w:numPr>
        <w:tabs>
          <w:tab w:val="clear" w:pos="567"/>
        </w:tabs>
        <w:autoSpaceDE w:val="0"/>
        <w:autoSpaceDN w:val="0"/>
        <w:adjustRightInd w:val="0"/>
        <w:spacing w:line="240" w:lineRule="auto"/>
        <w:ind w:left="851"/>
        <w:rPr>
          <w:rFonts w:eastAsia="MS Mincho"/>
          <w:lang w:eastAsia="ja-JP"/>
        </w:rPr>
      </w:pPr>
      <w:r w:rsidRPr="00A808AC">
        <w:rPr>
          <w:rFonts w:eastAsia="MS Mincho"/>
          <w:lang w:eastAsia="ja-JP"/>
        </w:rPr>
        <w:t>Dark urine</w:t>
      </w:r>
    </w:p>
    <w:p w14:paraId="5BDE12C8" w14:textId="77777777" w:rsidR="00A445A9" w:rsidRDefault="005A3D7D">
      <w:pPr>
        <w:numPr>
          <w:ilvl w:val="12"/>
          <w:numId w:val="0"/>
        </w:numPr>
        <w:tabs>
          <w:tab w:val="clear" w:pos="567"/>
        </w:tabs>
        <w:spacing w:line="240" w:lineRule="auto"/>
        <w:ind w:left="360" w:right="-2"/>
        <w:rPr>
          <w:rFonts w:eastAsia="MS Mincho"/>
          <w:lang w:eastAsia="ja-JP"/>
        </w:rPr>
      </w:pPr>
      <w:r w:rsidRPr="00A808AC">
        <w:rPr>
          <w:rFonts w:eastAsia="MS Mincho"/>
          <w:lang w:eastAsia="ja-JP"/>
        </w:rPr>
        <w:t xml:space="preserve">Your doctor will do some blood tests to check your liver </w:t>
      </w:r>
      <w:r w:rsidR="002039DA">
        <w:rPr>
          <w:rFonts w:eastAsia="MS Mincho"/>
          <w:lang w:eastAsia="ja-JP"/>
        </w:rPr>
        <w:t>before and during</w:t>
      </w:r>
      <w:r w:rsidR="00405F8A">
        <w:rPr>
          <w:rFonts w:eastAsia="MS Mincho"/>
          <w:lang w:eastAsia="ja-JP"/>
        </w:rPr>
        <w:t xml:space="preserve"> treatment</w:t>
      </w:r>
      <w:r w:rsidRPr="00A808AC">
        <w:rPr>
          <w:rFonts w:eastAsia="MS Mincho"/>
          <w:lang w:eastAsia="ja-JP"/>
        </w:rPr>
        <w:t xml:space="preserve">, particularly during the first year </w:t>
      </w:r>
      <w:r w:rsidR="00BC13CC" w:rsidRPr="00A808AC">
        <w:rPr>
          <w:rFonts w:eastAsia="MS Mincho"/>
          <w:lang w:eastAsia="ja-JP"/>
        </w:rPr>
        <w:t xml:space="preserve">and especially if </w:t>
      </w:r>
      <w:r w:rsidR="002039DA">
        <w:rPr>
          <w:rFonts w:eastAsia="MS Mincho"/>
          <w:lang w:eastAsia="ja-JP"/>
        </w:rPr>
        <w:t>your blood tests showed</w:t>
      </w:r>
      <w:r w:rsidR="00BC13CC" w:rsidRPr="00A808AC">
        <w:rPr>
          <w:rFonts w:eastAsia="MS Mincho"/>
          <w:lang w:eastAsia="ja-JP"/>
        </w:rPr>
        <w:t xml:space="preserve"> high liver enzymes in the past.</w:t>
      </w:r>
    </w:p>
    <w:p w14:paraId="71837837" w14:textId="77777777" w:rsidR="001D6983" w:rsidRPr="00A808AC" w:rsidRDefault="001D6983" w:rsidP="00864757">
      <w:pPr>
        <w:numPr>
          <w:ilvl w:val="12"/>
          <w:numId w:val="0"/>
        </w:numPr>
        <w:tabs>
          <w:tab w:val="clear" w:pos="567"/>
        </w:tabs>
        <w:spacing w:line="240" w:lineRule="auto"/>
        <w:ind w:left="360" w:right="-2"/>
        <w:rPr>
          <w:rFonts w:eastAsia="MS Mincho"/>
          <w:lang w:eastAsia="ja-JP"/>
        </w:rPr>
      </w:pPr>
    </w:p>
    <w:p w14:paraId="5BA7D5F5" w14:textId="45F468CE" w:rsidR="00E47262" w:rsidRDefault="005A3D7D" w:rsidP="000A093B">
      <w:pPr>
        <w:pStyle w:val="ListParagraph"/>
        <w:numPr>
          <w:ilvl w:val="0"/>
          <w:numId w:val="71"/>
        </w:numPr>
        <w:ind w:left="567"/>
      </w:pPr>
      <w:r w:rsidRPr="00A808AC">
        <w:t xml:space="preserve">Talk to your doctor if you have </w:t>
      </w:r>
      <w:r w:rsidR="00405F8A" w:rsidRPr="00405F8A">
        <w:t>kidney problems</w:t>
      </w:r>
      <w:r w:rsidR="0087081C">
        <w:t xml:space="preserve"> </w:t>
      </w:r>
      <w:r w:rsidR="00405F8A" w:rsidRPr="00405F8A">
        <w:t>or have previously had them.</w:t>
      </w:r>
    </w:p>
    <w:p w14:paraId="50C7FB22" w14:textId="77777777" w:rsidR="0087081C" w:rsidRPr="003F1CB4" w:rsidRDefault="0087081C" w:rsidP="000A093B">
      <w:pPr>
        <w:ind w:left="207"/>
      </w:pPr>
    </w:p>
    <w:p w14:paraId="22FA2D1B" w14:textId="77777777" w:rsidR="008453C2" w:rsidRDefault="005A3D7D" w:rsidP="000A093B">
      <w:pPr>
        <w:pStyle w:val="ListParagraph"/>
        <w:numPr>
          <w:ilvl w:val="0"/>
          <w:numId w:val="71"/>
        </w:numPr>
        <w:ind w:left="567"/>
      </w:pPr>
      <w:r w:rsidRPr="003F1CB4">
        <w:t xml:space="preserve">Kalydeco </w:t>
      </w:r>
      <w:r w:rsidR="00B55353">
        <w:t>(</w:t>
      </w:r>
      <w:r w:rsidR="009A4910">
        <w:t>alone or in combination with tezacaftor</w:t>
      </w:r>
      <w:r w:rsidR="00B55353">
        <w:t>/ivacaftor</w:t>
      </w:r>
      <w:r w:rsidR="008E002B">
        <w:t xml:space="preserve"> or ivacaftor/tezacaftor/elexacaftor</w:t>
      </w:r>
      <w:r w:rsidR="00B55353">
        <w:t>)</w:t>
      </w:r>
      <w:r w:rsidR="009A4910">
        <w:t xml:space="preserve"> </w:t>
      </w:r>
      <w:r w:rsidRPr="003F1CB4">
        <w:t xml:space="preserve">is not recommended </w:t>
      </w:r>
      <w:r w:rsidR="009A4910">
        <w:t>if you</w:t>
      </w:r>
      <w:r w:rsidRPr="003F1CB4">
        <w:t xml:space="preserve"> have undergone an organ transplant.</w:t>
      </w:r>
    </w:p>
    <w:p w14:paraId="72A131E8" w14:textId="77777777" w:rsidR="008E002B" w:rsidRDefault="008E002B" w:rsidP="00095957">
      <w:pPr>
        <w:ind w:left="207"/>
      </w:pPr>
    </w:p>
    <w:p w14:paraId="2D048DF7" w14:textId="77777777" w:rsidR="008E002B" w:rsidRDefault="005A3D7D" w:rsidP="00095957">
      <w:pPr>
        <w:pStyle w:val="ListParagraph"/>
        <w:numPr>
          <w:ilvl w:val="0"/>
          <w:numId w:val="71"/>
        </w:numPr>
        <w:ind w:left="567"/>
      </w:pPr>
      <w:r>
        <w:t>Talk to your doctor if you are using hormonal contraception – for example, women using the contraceptive pill. This may mean you are more likely to get a rash while taking Kalydeco in combination with ivacaftor/tezacaf</w:t>
      </w:r>
      <w:r>
        <w:t>tor/elexacaftor.</w:t>
      </w:r>
    </w:p>
    <w:p w14:paraId="22C6F9CD" w14:textId="77777777" w:rsidR="0087081C" w:rsidRPr="00D34757" w:rsidRDefault="0087081C" w:rsidP="000A093B">
      <w:pPr>
        <w:ind w:left="207"/>
      </w:pPr>
    </w:p>
    <w:p w14:paraId="4669E25F" w14:textId="7767696D" w:rsidR="004838A2" w:rsidRPr="00095957" w:rsidRDefault="005A3D7D" w:rsidP="000A093B">
      <w:pPr>
        <w:pStyle w:val="ListParagraph"/>
        <w:numPr>
          <w:ilvl w:val="0"/>
          <w:numId w:val="71"/>
        </w:numPr>
        <w:ind w:left="567"/>
      </w:pPr>
      <w:r w:rsidRPr="003F1CB4">
        <w:t xml:space="preserve">Abnormality of the eye lens (cataract) without any effect on vision has been noted in some children </w:t>
      </w:r>
      <w:r w:rsidR="00767BBF" w:rsidRPr="003F1CB4">
        <w:t xml:space="preserve">and adolescents </w:t>
      </w:r>
      <w:r w:rsidR="0032699A" w:rsidRPr="0032699A">
        <w:t xml:space="preserve">treated </w:t>
      </w:r>
      <w:r w:rsidR="00B55353">
        <w:t xml:space="preserve">with </w:t>
      </w:r>
      <w:r w:rsidR="0032699A" w:rsidRPr="0032699A">
        <w:t xml:space="preserve">Kalydeco </w:t>
      </w:r>
      <w:r w:rsidR="00B55353">
        <w:t>(</w:t>
      </w:r>
      <w:r w:rsidR="0032699A" w:rsidRPr="0032699A">
        <w:t>alone or in combination with tezacaftor/ivacaftor</w:t>
      </w:r>
      <w:r w:rsidR="00903451">
        <w:t xml:space="preserve"> or </w:t>
      </w:r>
      <w:r w:rsidR="008E002B">
        <w:t>ivacaftor/tezacaftor/elexacaftor</w:t>
      </w:r>
      <w:r w:rsidR="00B55353">
        <w:t>)</w:t>
      </w:r>
      <w:r w:rsidRPr="003F1CB4">
        <w:t>.</w:t>
      </w:r>
      <w:r w:rsidR="007A7710" w:rsidRPr="00095957">
        <w:t xml:space="preserve"> </w:t>
      </w:r>
      <w:r w:rsidRPr="00095957">
        <w:t>Your doctor</w:t>
      </w:r>
      <w:r w:rsidRPr="00095957">
        <w:t xml:space="preserve"> may perform some eye examinations prior to and during treatment.</w:t>
      </w:r>
    </w:p>
    <w:p w14:paraId="671E397D" w14:textId="77777777" w:rsidR="0087081C" w:rsidRPr="00095957" w:rsidRDefault="0087081C" w:rsidP="000A093B">
      <w:pPr>
        <w:ind w:left="207"/>
      </w:pPr>
    </w:p>
    <w:p w14:paraId="0D906E98" w14:textId="77777777" w:rsidR="003E62AD" w:rsidRPr="00095957" w:rsidRDefault="005A3D7D" w:rsidP="000A093B">
      <w:pPr>
        <w:pStyle w:val="ListParagraph"/>
        <w:numPr>
          <w:ilvl w:val="0"/>
          <w:numId w:val="71"/>
        </w:numPr>
        <w:ind w:left="567"/>
      </w:pPr>
      <w:r w:rsidRPr="00095957">
        <w:t>Kalydeco</w:t>
      </w:r>
      <w:r w:rsidR="00B55353" w:rsidRPr="00095957">
        <w:t xml:space="preserve"> (</w:t>
      </w:r>
      <w:r w:rsidRPr="00095957">
        <w:t>alone or in combination with tezacaftor/ivacaftor</w:t>
      </w:r>
      <w:r w:rsidR="00903451" w:rsidRPr="00095957">
        <w:t xml:space="preserve"> or </w:t>
      </w:r>
      <w:r w:rsidR="008E002B">
        <w:t>ivacaftor/tezacaftor/elexacaftor</w:t>
      </w:r>
      <w:r w:rsidR="00B55353" w:rsidRPr="00095957">
        <w:t>)</w:t>
      </w:r>
      <w:r w:rsidRPr="00095957">
        <w:t xml:space="preserve"> should only be used if you have one of the mutations in the </w:t>
      </w:r>
      <w:r w:rsidRPr="00CA49EF">
        <w:rPr>
          <w:i/>
        </w:rPr>
        <w:t>CFTR</w:t>
      </w:r>
      <w:r w:rsidRPr="00095957">
        <w:t xml:space="preserve"> gene indicated in section 1</w:t>
      </w:r>
      <w:r w:rsidRPr="00095957">
        <w:t xml:space="preserve"> (What Kalydeco is and what it is used for).</w:t>
      </w:r>
    </w:p>
    <w:p w14:paraId="78EF6C32" w14:textId="77777777" w:rsidR="00003A88" w:rsidRPr="000A093B" w:rsidRDefault="00003A88" w:rsidP="000A093B">
      <w:pPr>
        <w:keepNext/>
        <w:numPr>
          <w:ilvl w:val="12"/>
          <w:numId w:val="0"/>
        </w:numPr>
        <w:tabs>
          <w:tab w:val="clear" w:pos="567"/>
        </w:tabs>
        <w:spacing w:line="240" w:lineRule="auto"/>
        <w:rPr>
          <w:b/>
        </w:rPr>
      </w:pPr>
    </w:p>
    <w:p w14:paraId="1416B619" w14:textId="77777777" w:rsidR="00F976E8" w:rsidRDefault="005A3D7D" w:rsidP="000A093B">
      <w:pPr>
        <w:keepNext/>
        <w:numPr>
          <w:ilvl w:val="12"/>
          <w:numId w:val="0"/>
        </w:numPr>
        <w:tabs>
          <w:tab w:val="clear" w:pos="567"/>
        </w:tabs>
        <w:spacing w:line="240" w:lineRule="auto"/>
        <w:rPr>
          <w:b/>
          <w:bCs/>
        </w:rPr>
      </w:pPr>
      <w:r w:rsidRPr="003F1CB4">
        <w:rPr>
          <w:b/>
          <w:bCs/>
        </w:rPr>
        <w:t>Children</w:t>
      </w:r>
      <w:r w:rsidR="00D76D78">
        <w:rPr>
          <w:b/>
          <w:bCs/>
        </w:rPr>
        <w:t xml:space="preserve"> and adolescents</w:t>
      </w:r>
    </w:p>
    <w:p w14:paraId="4654A157" w14:textId="77777777" w:rsidR="00987822" w:rsidRPr="003F1CB4" w:rsidRDefault="00987822" w:rsidP="000A093B">
      <w:pPr>
        <w:keepNext/>
        <w:numPr>
          <w:ilvl w:val="12"/>
          <w:numId w:val="0"/>
        </w:numPr>
        <w:tabs>
          <w:tab w:val="clear" w:pos="567"/>
        </w:tabs>
        <w:spacing w:line="240" w:lineRule="auto"/>
        <w:rPr>
          <w:b/>
          <w:bCs/>
        </w:rPr>
      </w:pPr>
    </w:p>
    <w:p w14:paraId="37BE72A7" w14:textId="26FB4B64" w:rsidR="00C0300D" w:rsidRPr="003F1CB4" w:rsidRDefault="005A3D7D" w:rsidP="000A093B">
      <w:pPr>
        <w:keepNext/>
        <w:numPr>
          <w:ilvl w:val="12"/>
          <w:numId w:val="0"/>
        </w:numPr>
        <w:tabs>
          <w:tab w:val="clear" w:pos="567"/>
        </w:tabs>
        <w:spacing w:line="240" w:lineRule="auto"/>
      </w:pPr>
      <w:r>
        <w:t>Do not give this medicine to</w:t>
      </w:r>
      <w:r w:rsidRPr="003F1CB4">
        <w:t xml:space="preserve"> </w:t>
      </w:r>
      <w:r w:rsidR="004D5B63" w:rsidRPr="003F1CB4">
        <w:t xml:space="preserve">children under </w:t>
      </w:r>
      <w:r w:rsidR="00A5176E">
        <w:t>4</w:t>
      </w:r>
      <w:r w:rsidR="00327B26">
        <w:t> months</w:t>
      </w:r>
      <w:r w:rsidR="00327B26" w:rsidRPr="003F1CB4">
        <w:t xml:space="preserve"> </w:t>
      </w:r>
      <w:r w:rsidR="004D5B63" w:rsidRPr="003F1CB4">
        <w:t>of age</w:t>
      </w:r>
      <w:r w:rsidR="00EB025C">
        <w:rPr>
          <w:bCs/>
        </w:rPr>
        <w:t xml:space="preserve"> </w:t>
      </w:r>
      <w:r w:rsidR="004D5B63" w:rsidRPr="003F1CB4">
        <w:rPr>
          <w:bCs/>
        </w:rPr>
        <w:t>as it is not known if ivacaftor is safe and effective in these children</w:t>
      </w:r>
      <w:r w:rsidR="004D5B63" w:rsidRPr="003F1CB4">
        <w:t>.</w:t>
      </w:r>
    </w:p>
    <w:p w14:paraId="204147A9" w14:textId="77777777" w:rsidR="009A4910" w:rsidRDefault="009A4910" w:rsidP="000A093B">
      <w:pPr>
        <w:numPr>
          <w:ilvl w:val="12"/>
          <w:numId w:val="0"/>
        </w:numPr>
        <w:spacing w:line="240" w:lineRule="auto"/>
        <w:rPr>
          <w:bCs/>
          <w:noProof/>
        </w:rPr>
      </w:pPr>
    </w:p>
    <w:p w14:paraId="0366F3D1" w14:textId="77777777" w:rsidR="009A4910" w:rsidRPr="00CB7F04" w:rsidRDefault="005A3D7D" w:rsidP="00864757">
      <w:pPr>
        <w:numPr>
          <w:ilvl w:val="12"/>
          <w:numId w:val="0"/>
        </w:numPr>
        <w:spacing w:line="240" w:lineRule="auto"/>
        <w:rPr>
          <w:bCs/>
          <w:noProof/>
        </w:rPr>
      </w:pPr>
      <w:r>
        <w:rPr>
          <w:bCs/>
          <w:noProof/>
        </w:rPr>
        <w:t>Do not give this medicine in</w:t>
      </w:r>
      <w:r w:rsidRPr="00236846">
        <w:rPr>
          <w:bCs/>
          <w:noProof/>
        </w:rPr>
        <w:t xml:space="preserve"> combination with tezacaftor/ivacaftor </w:t>
      </w:r>
      <w:r w:rsidR="0014336C" w:rsidRPr="00DD5CCF">
        <w:rPr>
          <w:bCs/>
          <w:noProof/>
        </w:rPr>
        <w:t xml:space="preserve">or </w:t>
      </w:r>
      <w:r w:rsidR="00BA0A9B" w:rsidRPr="00DD5CCF">
        <w:rPr>
          <w:bCs/>
          <w:noProof/>
        </w:rPr>
        <w:t>with</w:t>
      </w:r>
      <w:r w:rsidR="00BA0A9B">
        <w:rPr>
          <w:bCs/>
          <w:noProof/>
        </w:rPr>
        <w:t xml:space="preserve"> </w:t>
      </w:r>
      <w:r w:rsidR="0014336C">
        <w:rPr>
          <w:bCs/>
          <w:noProof/>
        </w:rPr>
        <w:t xml:space="preserve">ivacaftor/tezacaftor/elexacaftor </w:t>
      </w:r>
      <w:r>
        <w:rPr>
          <w:bCs/>
          <w:noProof/>
        </w:rPr>
        <w:t>to</w:t>
      </w:r>
      <w:r w:rsidRPr="00236846">
        <w:rPr>
          <w:bCs/>
          <w:noProof/>
        </w:rPr>
        <w:t xml:space="preserve"> children under 12</w:t>
      </w:r>
      <w:r w:rsidR="00D76D78">
        <w:rPr>
          <w:bCs/>
          <w:noProof/>
        </w:rPr>
        <w:t> </w:t>
      </w:r>
      <w:r w:rsidRPr="00236846">
        <w:rPr>
          <w:bCs/>
          <w:noProof/>
        </w:rPr>
        <w:t xml:space="preserve">years of age as it is </w:t>
      </w:r>
      <w:r w:rsidR="004877FC">
        <w:rPr>
          <w:bCs/>
          <w:noProof/>
        </w:rPr>
        <w:t xml:space="preserve">not </w:t>
      </w:r>
      <w:r w:rsidRPr="00236846">
        <w:rPr>
          <w:bCs/>
          <w:noProof/>
        </w:rPr>
        <w:t xml:space="preserve">known if they </w:t>
      </w:r>
      <w:r>
        <w:rPr>
          <w:bCs/>
          <w:noProof/>
        </w:rPr>
        <w:t>are safe and effective for them</w:t>
      </w:r>
      <w:r w:rsidR="00542B9A">
        <w:rPr>
          <w:bCs/>
          <w:noProof/>
        </w:rPr>
        <w:t>.</w:t>
      </w:r>
    </w:p>
    <w:p w14:paraId="1FA44F1A" w14:textId="77777777" w:rsidR="004D5B63" w:rsidRPr="003F1CB4" w:rsidRDefault="004D5B63" w:rsidP="002B5107">
      <w:pPr>
        <w:numPr>
          <w:ilvl w:val="12"/>
          <w:numId w:val="0"/>
        </w:numPr>
        <w:tabs>
          <w:tab w:val="clear" w:pos="567"/>
        </w:tabs>
        <w:spacing w:line="240" w:lineRule="auto"/>
        <w:rPr>
          <w:b/>
          <w:bCs/>
        </w:rPr>
      </w:pPr>
    </w:p>
    <w:p w14:paraId="7D7B586E" w14:textId="77777777" w:rsidR="00F976E8" w:rsidRDefault="005A3D7D" w:rsidP="000A093B">
      <w:pPr>
        <w:keepNext/>
        <w:numPr>
          <w:ilvl w:val="12"/>
          <w:numId w:val="0"/>
        </w:numPr>
        <w:tabs>
          <w:tab w:val="clear" w:pos="567"/>
        </w:tabs>
        <w:spacing w:line="240" w:lineRule="auto"/>
        <w:ind w:right="-2"/>
        <w:rPr>
          <w:b/>
          <w:bCs/>
        </w:rPr>
      </w:pPr>
      <w:r w:rsidRPr="003F1CB4">
        <w:rPr>
          <w:b/>
          <w:bCs/>
        </w:rPr>
        <w:t>Other medicines and Kalydeco</w:t>
      </w:r>
    </w:p>
    <w:p w14:paraId="7FFC78CE" w14:textId="77777777" w:rsidR="00987822" w:rsidRPr="00A808AC" w:rsidRDefault="00987822" w:rsidP="000A093B">
      <w:pPr>
        <w:keepNext/>
        <w:numPr>
          <w:ilvl w:val="12"/>
          <w:numId w:val="0"/>
        </w:numPr>
        <w:tabs>
          <w:tab w:val="clear" w:pos="567"/>
        </w:tabs>
        <w:spacing w:line="240" w:lineRule="auto"/>
        <w:ind w:right="-2"/>
      </w:pPr>
    </w:p>
    <w:p w14:paraId="13B378FD" w14:textId="55448584" w:rsidR="00F976E8" w:rsidRPr="00A808AC" w:rsidRDefault="005A3D7D" w:rsidP="000A093B">
      <w:pPr>
        <w:keepNext/>
        <w:numPr>
          <w:ilvl w:val="12"/>
          <w:numId w:val="0"/>
        </w:numPr>
        <w:spacing w:line="240" w:lineRule="auto"/>
        <w:ind w:right="-2"/>
      </w:pPr>
      <w:r w:rsidRPr="00A808AC">
        <w:t xml:space="preserve">Tell your doctor or pharmacist if you are </w:t>
      </w:r>
      <w:r w:rsidR="004D5B63" w:rsidRPr="00A808AC">
        <w:t>using</w:t>
      </w:r>
      <w:r w:rsidRPr="00A808AC">
        <w:t xml:space="preserve">, have recently </w:t>
      </w:r>
      <w:r w:rsidR="004D5B63" w:rsidRPr="00A808AC">
        <w:t xml:space="preserve">used </w:t>
      </w:r>
      <w:r w:rsidRPr="00A808AC">
        <w:t xml:space="preserve">or might </w:t>
      </w:r>
      <w:r w:rsidR="004D5B63" w:rsidRPr="00A808AC">
        <w:t xml:space="preserve">use </w:t>
      </w:r>
      <w:r w:rsidRPr="00A808AC">
        <w:t>any other medicines.</w:t>
      </w:r>
      <w:r w:rsidR="000E60BB">
        <w:t xml:space="preserve"> </w:t>
      </w:r>
      <w:r w:rsidR="008D632A" w:rsidRPr="008D632A">
        <w:t xml:space="preserve">Some medicines can affect how </w:t>
      </w:r>
      <w:r w:rsidR="008D632A">
        <w:t>Kalydeco</w:t>
      </w:r>
      <w:r w:rsidR="008D632A" w:rsidRPr="008D632A">
        <w:t xml:space="preserve"> works or make side effects more likely.</w:t>
      </w:r>
      <w:r w:rsidR="008D632A">
        <w:t xml:space="preserve"> </w:t>
      </w:r>
      <w:r w:rsidR="000E60BB" w:rsidRPr="00236846">
        <w:t>In particular, tell your doctor if you are taking any of the medicines listed below. Your doctor may decide to adjust your dose or that you need extra check</w:t>
      </w:r>
      <w:r w:rsidR="00E522A8">
        <w:t>-</w:t>
      </w:r>
      <w:r w:rsidR="000E60BB" w:rsidRPr="00236846">
        <w:t>ups.</w:t>
      </w:r>
    </w:p>
    <w:p w14:paraId="67354904" w14:textId="77777777" w:rsidR="00F976E8" w:rsidRPr="00A808AC" w:rsidRDefault="00F976E8" w:rsidP="002B5107">
      <w:pPr>
        <w:spacing w:line="240" w:lineRule="auto"/>
      </w:pPr>
    </w:p>
    <w:p w14:paraId="023F06C2" w14:textId="07986A62" w:rsidR="000E60BB" w:rsidRPr="00095957" w:rsidRDefault="005A3D7D" w:rsidP="000A093B">
      <w:pPr>
        <w:pStyle w:val="ListParagraph"/>
        <w:numPr>
          <w:ilvl w:val="0"/>
          <w:numId w:val="71"/>
        </w:numPr>
        <w:ind w:left="567"/>
      </w:pPr>
      <w:r w:rsidRPr="000A093B">
        <w:rPr>
          <w:b/>
        </w:rPr>
        <w:t>Antifungal medicines</w:t>
      </w:r>
      <w:r w:rsidR="0070608A" w:rsidRPr="00095957">
        <w:t xml:space="preserve"> (used for the treatment of fungal infections). These include</w:t>
      </w:r>
      <w:r w:rsidRPr="00095957">
        <w:t xml:space="preserve"> </w:t>
      </w:r>
      <w:r w:rsidR="004219D2" w:rsidRPr="00095957">
        <w:t>fluconazole</w:t>
      </w:r>
      <w:r w:rsidR="004219D2">
        <w:t>,</w:t>
      </w:r>
      <w:r w:rsidR="004219D2" w:rsidRPr="00095957">
        <w:t xml:space="preserve"> itraconazole, </w:t>
      </w:r>
      <w:r w:rsidRPr="00095957">
        <w:t xml:space="preserve">ketoconazole, posaconazole, </w:t>
      </w:r>
      <w:r w:rsidR="004219D2">
        <w:t xml:space="preserve">and </w:t>
      </w:r>
      <w:r w:rsidRPr="00095957">
        <w:t>voriconazole</w:t>
      </w:r>
      <w:r w:rsidR="0070608A" w:rsidRPr="00095957">
        <w:t>.</w:t>
      </w:r>
    </w:p>
    <w:p w14:paraId="46F2EDF5" w14:textId="7F09681D" w:rsidR="000E60BB" w:rsidRPr="00095957" w:rsidRDefault="005A3D7D" w:rsidP="000A093B">
      <w:pPr>
        <w:pStyle w:val="ListParagraph"/>
        <w:numPr>
          <w:ilvl w:val="0"/>
          <w:numId w:val="71"/>
        </w:numPr>
        <w:ind w:left="567"/>
      </w:pPr>
      <w:r w:rsidRPr="00095957">
        <w:rPr>
          <w:b/>
          <w:bCs/>
        </w:rPr>
        <w:t>Antibiotic medicines</w:t>
      </w:r>
      <w:r w:rsidRPr="00095957">
        <w:t xml:space="preserve"> (used for the treatment of bacterial infections). These include </w:t>
      </w:r>
      <w:r w:rsidR="009B1867" w:rsidRPr="00095957">
        <w:t xml:space="preserve">clarithromycin, erythromycin, </w:t>
      </w:r>
      <w:r w:rsidR="004219D2" w:rsidRPr="00095957">
        <w:t>rifabutin</w:t>
      </w:r>
      <w:r w:rsidR="004219D2">
        <w:t>,</w:t>
      </w:r>
      <w:r w:rsidR="004219D2" w:rsidRPr="00095957">
        <w:t xml:space="preserve"> </w:t>
      </w:r>
      <w:r w:rsidR="009B1867" w:rsidRPr="00095957">
        <w:t>rifampicin</w:t>
      </w:r>
      <w:r w:rsidR="004219D2">
        <w:t>,</w:t>
      </w:r>
      <w:r w:rsidR="009B1867" w:rsidRPr="00095957">
        <w:t xml:space="preserve"> and</w:t>
      </w:r>
      <w:r w:rsidR="0094286F">
        <w:t xml:space="preserve"> </w:t>
      </w:r>
      <w:r w:rsidR="004219D2" w:rsidRPr="00095957">
        <w:t xml:space="preserve">telithromycin </w:t>
      </w:r>
      <w:r w:rsidRPr="00095957">
        <w:t>.</w:t>
      </w:r>
    </w:p>
    <w:p w14:paraId="709FB3A9" w14:textId="698E853D" w:rsidR="000E60BB" w:rsidRPr="00095957" w:rsidRDefault="005A3D7D" w:rsidP="000A093B">
      <w:pPr>
        <w:pStyle w:val="ListParagraph"/>
        <w:numPr>
          <w:ilvl w:val="0"/>
          <w:numId w:val="71"/>
        </w:numPr>
        <w:ind w:left="567"/>
      </w:pPr>
      <w:r w:rsidRPr="00095957">
        <w:rPr>
          <w:b/>
          <w:bCs/>
        </w:rPr>
        <w:t>Epilepsy</w:t>
      </w:r>
      <w:r w:rsidRPr="000A093B">
        <w:rPr>
          <w:b/>
        </w:rPr>
        <w:t xml:space="preserve"> </w:t>
      </w:r>
      <w:r w:rsidR="009B1867" w:rsidRPr="000A093B">
        <w:rPr>
          <w:b/>
        </w:rPr>
        <w:t>medicines</w:t>
      </w:r>
      <w:r w:rsidRPr="00095957">
        <w:t xml:space="preserve"> (used for the treatment of epileptic seizures). These include</w:t>
      </w:r>
      <w:r w:rsidR="009B1867" w:rsidRPr="00095957">
        <w:t xml:space="preserve"> carbamazepine</w:t>
      </w:r>
      <w:r w:rsidR="004219D2">
        <w:t>,</w:t>
      </w:r>
      <w:r w:rsidR="009B1867" w:rsidRPr="00095957">
        <w:t xml:space="preserve"> </w:t>
      </w:r>
      <w:r w:rsidR="004219D2" w:rsidRPr="00095957">
        <w:t xml:space="preserve">phenobarbital, </w:t>
      </w:r>
      <w:r w:rsidR="009B1867" w:rsidRPr="00095957">
        <w:t>and phenytoin</w:t>
      </w:r>
      <w:r w:rsidRPr="00095957">
        <w:t xml:space="preserve">. </w:t>
      </w:r>
    </w:p>
    <w:p w14:paraId="39BC3B34" w14:textId="4152D9A2" w:rsidR="000E60BB" w:rsidRPr="00095957" w:rsidRDefault="005A3D7D" w:rsidP="000A093B">
      <w:pPr>
        <w:pStyle w:val="ListParagraph"/>
        <w:numPr>
          <w:ilvl w:val="0"/>
          <w:numId w:val="71"/>
        </w:numPr>
        <w:ind w:left="567"/>
      </w:pPr>
      <w:r w:rsidRPr="000A093B">
        <w:rPr>
          <w:b/>
        </w:rPr>
        <w:t>Herbal medicines</w:t>
      </w:r>
      <w:r w:rsidR="0070608A" w:rsidRPr="00095957">
        <w:rPr>
          <w:b/>
          <w:bCs/>
        </w:rPr>
        <w:t>.</w:t>
      </w:r>
      <w:r w:rsidR="0070608A" w:rsidRPr="00095957">
        <w:t xml:space="preserve"> These include</w:t>
      </w:r>
      <w:r w:rsidRPr="00095957">
        <w:t xml:space="preserve"> St. John’s wort (</w:t>
      </w:r>
      <w:r w:rsidRPr="000A093B">
        <w:t>Hypericum perforatum</w:t>
      </w:r>
      <w:r w:rsidRPr="00095957">
        <w:t>)</w:t>
      </w:r>
      <w:r w:rsidR="0070608A" w:rsidRPr="00095957">
        <w:t>.</w:t>
      </w:r>
    </w:p>
    <w:p w14:paraId="05380772" w14:textId="1AABC5F4" w:rsidR="000E60BB" w:rsidRPr="00095957" w:rsidRDefault="005A3D7D" w:rsidP="000A093B">
      <w:pPr>
        <w:pStyle w:val="ListParagraph"/>
        <w:numPr>
          <w:ilvl w:val="0"/>
          <w:numId w:val="71"/>
        </w:numPr>
        <w:ind w:left="567"/>
      </w:pPr>
      <w:r w:rsidRPr="000A093B">
        <w:rPr>
          <w:b/>
        </w:rPr>
        <w:t>Immunosuppressants</w:t>
      </w:r>
      <w:r w:rsidR="0070608A" w:rsidRPr="00095957">
        <w:t xml:space="preserve"> (used after an organ transplantation). These include </w:t>
      </w:r>
      <w:r w:rsidRPr="00095957">
        <w:t xml:space="preserve">ciclosporin, </w:t>
      </w:r>
      <w:r w:rsidR="004219D2" w:rsidRPr="00095957">
        <w:t>everolimus</w:t>
      </w:r>
      <w:r w:rsidR="004219D2">
        <w:t>,</w:t>
      </w:r>
      <w:r w:rsidR="004219D2" w:rsidRPr="00095957">
        <w:t xml:space="preserve"> sirolimus</w:t>
      </w:r>
      <w:r w:rsidR="004219D2">
        <w:t>, and</w:t>
      </w:r>
      <w:r w:rsidR="004219D2" w:rsidRPr="00095957">
        <w:t xml:space="preserve"> </w:t>
      </w:r>
      <w:r w:rsidRPr="00095957">
        <w:t xml:space="preserve">tacrolimus, </w:t>
      </w:r>
      <w:r w:rsidR="0070608A" w:rsidRPr="00095957">
        <w:t>.</w:t>
      </w:r>
      <w:r w:rsidRPr="00095957">
        <w:t xml:space="preserve"> </w:t>
      </w:r>
    </w:p>
    <w:p w14:paraId="518253D0" w14:textId="4F5D5498" w:rsidR="000E60BB" w:rsidRPr="00095957" w:rsidRDefault="005A3D7D" w:rsidP="000A093B">
      <w:pPr>
        <w:pStyle w:val="ListParagraph"/>
        <w:numPr>
          <w:ilvl w:val="0"/>
          <w:numId w:val="71"/>
        </w:numPr>
        <w:ind w:left="567"/>
      </w:pPr>
      <w:r w:rsidRPr="000A093B">
        <w:rPr>
          <w:b/>
        </w:rPr>
        <w:t xml:space="preserve">Cardiac </w:t>
      </w:r>
      <w:r w:rsidRPr="000A093B">
        <w:rPr>
          <w:b/>
        </w:rPr>
        <w:t>glycosides</w:t>
      </w:r>
      <w:r w:rsidR="0070608A" w:rsidRPr="00095957">
        <w:t xml:space="preserve"> (used for the treatment of some heart conditions). These include </w:t>
      </w:r>
      <w:r w:rsidRPr="00095957">
        <w:t>digoxin</w:t>
      </w:r>
      <w:r w:rsidR="0070608A" w:rsidRPr="00095957">
        <w:t>.</w:t>
      </w:r>
    </w:p>
    <w:p w14:paraId="0FD643A2" w14:textId="305B2746" w:rsidR="003D374D" w:rsidRPr="00095957" w:rsidRDefault="005A3D7D" w:rsidP="000A093B">
      <w:pPr>
        <w:pStyle w:val="ListParagraph"/>
        <w:numPr>
          <w:ilvl w:val="0"/>
          <w:numId w:val="71"/>
        </w:numPr>
        <w:ind w:left="567"/>
      </w:pPr>
      <w:r w:rsidRPr="000A093B">
        <w:rPr>
          <w:b/>
        </w:rPr>
        <w:t>Anticoagulant medicines</w:t>
      </w:r>
      <w:r w:rsidR="0070608A" w:rsidRPr="00095957">
        <w:t xml:space="preserve"> (used to prevent blood clots). These include </w:t>
      </w:r>
      <w:r w:rsidRPr="00095957">
        <w:t>warfarin</w:t>
      </w:r>
      <w:r w:rsidR="0070608A" w:rsidRPr="00095957">
        <w:t xml:space="preserve">. </w:t>
      </w:r>
    </w:p>
    <w:p w14:paraId="29ED5500" w14:textId="3179B6FE" w:rsidR="000E60BB" w:rsidRPr="00095957" w:rsidRDefault="005A3D7D" w:rsidP="00095957">
      <w:pPr>
        <w:pStyle w:val="ListParagraph"/>
        <w:numPr>
          <w:ilvl w:val="0"/>
          <w:numId w:val="71"/>
        </w:numPr>
        <w:ind w:left="567"/>
      </w:pPr>
      <w:r w:rsidRPr="000A093B">
        <w:rPr>
          <w:b/>
        </w:rPr>
        <w:t>Medicines for diabetes</w:t>
      </w:r>
      <w:r w:rsidR="0070608A" w:rsidRPr="00095957">
        <w:rPr>
          <w:b/>
          <w:bCs/>
        </w:rPr>
        <w:t>.</w:t>
      </w:r>
      <w:r w:rsidR="0070608A">
        <w:t xml:space="preserve"> These include </w:t>
      </w:r>
      <w:r w:rsidRPr="000F47A6">
        <w:t>glimepiride and glipizide</w:t>
      </w:r>
      <w:r w:rsidR="0070608A">
        <w:t xml:space="preserve">. </w:t>
      </w:r>
    </w:p>
    <w:p w14:paraId="10E2AEDB" w14:textId="77777777" w:rsidR="0014336C" w:rsidRPr="00095957" w:rsidRDefault="005A3D7D" w:rsidP="00095957">
      <w:pPr>
        <w:pStyle w:val="ListParagraph"/>
        <w:numPr>
          <w:ilvl w:val="0"/>
          <w:numId w:val="71"/>
        </w:numPr>
        <w:ind w:left="567"/>
      </w:pPr>
      <w:r w:rsidRPr="00095957">
        <w:rPr>
          <w:b/>
          <w:bCs/>
        </w:rPr>
        <w:t>Medicines for lowering bl</w:t>
      </w:r>
      <w:r w:rsidRPr="00095957">
        <w:rPr>
          <w:b/>
          <w:bCs/>
        </w:rPr>
        <w:t>ood pressure.</w:t>
      </w:r>
      <w:r w:rsidRPr="00095957">
        <w:t xml:space="preserve"> </w:t>
      </w:r>
      <w:r>
        <w:t>These include verapamil.</w:t>
      </w:r>
    </w:p>
    <w:p w14:paraId="635AB078" w14:textId="77777777" w:rsidR="003D374D" w:rsidRPr="00864757" w:rsidRDefault="003D374D" w:rsidP="000A093B">
      <w:pPr>
        <w:keepNext/>
        <w:numPr>
          <w:ilvl w:val="12"/>
          <w:numId w:val="0"/>
        </w:numPr>
        <w:tabs>
          <w:tab w:val="clear" w:pos="567"/>
        </w:tabs>
        <w:spacing w:line="240" w:lineRule="auto"/>
      </w:pPr>
    </w:p>
    <w:p w14:paraId="2930CC2E" w14:textId="77777777" w:rsidR="002A3ED4" w:rsidRPr="000A093B" w:rsidRDefault="002A3ED4" w:rsidP="00A0798C">
      <w:pPr>
        <w:keepNext/>
        <w:numPr>
          <w:ilvl w:val="12"/>
          <w:numId w:val="0"/>
        </w:numPr>
        <w:tabs>
          <w:tab w:val="clear" w:pos="567"/>
        </w:tabs>
        <w:spacing w:line="240" w:lineRule="auto"/>
        <w:rPr>
          <w:b/>
        </w:rPr>
      </w:pPr>
    </w:p>
    <w:p w14:paraId="5015B95B" w14:textId="77777777" w:rsidR="00F976E8" w:rsidRDefault="005A3D7D" w:rsidP="00A0798C">
      <w:pPr>
        <w:keepNext/>
        <w:numPr>
          <w:ilvl w:val="12"/>
          <w:numId w:val="0"/>
        </w:numPr>
        <w:tabs>
          <w:tab w:val="clear" w:pos="567"/>
        </w:tabs>
        <w:spacing w:line="240" w:lineRule="auto"/>
        <w:rPr>
          <w:b/>
          <w:bCs/>
        </w:rPr>
      </w:pPr>
      <w:r w:rsidRPr="00A808AC">
        <w:rPr>
          <w:b/>
          <w:bCs/>
        </w:rPr>
        <w:t>Kalydeco with food and drink</w:t>
      </w:r>
    </w:p>
    <w:p w14:paraId="6C74BE2F" w14:textId="77777777" w:rsidR="00987822" w:rsidRPr="00A808AC" w:rsidRDefault="00987822" w:rsidP="0069106A">
      <w:pPr>
        <w:keepNext/>
        <w:numPr>
          <w:ilvl w:val="12"/>
          <w:numId w:val="0"/>
        </w:numPr>
        <w:tabs>
          <w:tab w:val="clear" w:pos="567"/>
        </w:tabs>
        <w:spacing w:line="240" w:lineRule="auto"/>
        <w:rPr>
          <w:b/>
          <w:bCs/>
        </w:rPr>
      </w:pPr>
    </w:p>
    <w:p w14:paraId="55B10104" w14:textId="278ABEE1" w:rsidR="00F976E8" w:rsidRDefault="005A3D7D" w:rsidP="000A093B">
      <w:pPr>
        <w:pStyle w:val="labeltext"/>
        <w:keepNext/>
        <w:rPr>
          <w:rFonts w:eastAsia="MS Mincho"/>
          <w:sz w:val="22"/>
          <w:szCs w:val="22"/>
          <w:lang w:val="en-GB" w:eastAsia="ja-JP"/>
        </w:rPr>
      </w:pPr>
      <w:r w:rsidRPr="00A808AC">
        <w:rPr>
          <w:rFonts w:eastAsia="MS Mincho"/>
          <w:sz w:val="22"/>
          <w:szCs w:val="22"/>
          <w:lang w:val="en-GB" w:eastAsia="ja-JP"/>
        </w:rPr>
        <w:t xml:space="preserve">Avoid food </w:t>
      </w:r>
      <w:r w:rsidR="00A57A30">
        <w:rPr>
          <w:rFonts w:eastAsia="MS Mincho"/>
          <w:sz w:val="22"/>
          <w:szCs w:val="22"/>
          <w:lang w:val="en-GB" w:eastAsia="ja-JP"/>
        </w:rPr>
        <w:t xml:space="preserve">or drink </w:t>
      </w:r>
      <w:r w:rsidRPr="00A808AC">
        <w:rPr>
          <w:rFonts w:eastAsia="MS Mincho"/>
          <w:sz w:val="22"/>
          <w:szCs w:val="22"/>
          <w:lang w:val="en-GB" w:eastAsia="ja-JP"/>
        </w:rPr>
        <w:t xml:space="preserve">containing grapefruit during treatment with Kalydeco as they may increase </w:t>
      </w:r>
      <w:r w:rsidR="00743AE6">
        <w:rPr>
          <w:rFonts w:eastAsia="MS Mincho"/>
          <w:sz w:val="22"/>
          <w:szCs w:val="22"/>
          <w:lang w:val="en-GB" w:eastAsia="ja-JP"/>
        </w:rPr>
        <w:t xml:space="preserve">the </w:t>
      </w:r>
      <w:r w:rsidR="008D632A">
        <w:rPr>
          <w:rFonts w:eastAsia="MS Mincho"/>
          <w:sz w:val="22"/>
          <w:szCs w:val="22"/>
          <w:lang w:val="en-GB" w:eastAsia="ja-JP"/>
        </w:rPr>
        <w:t xml:space="preserve">side </w:t>
      </w:r>
      <w:r w:rsidR="00743AE6">
        <w:rPr>
          <w:rFonts w:eastAsia="MS Mincho"/>
          <w:sz w:val="22"/>
          <w:szCs w:val="22"/>
          <w:lang w:val="en-GB" w:eastAsia="ja-JP"/>
        </w:rPr>
        <w:t>effects of Kalydeco</w:t>
      </w:r>
      <w:r w:rsidR="008D632A">
        <w:rPr>
          <w:rFonts w:eastAsia="MS Mincho"/>
          <w:sz w:val="22"/>
          <w:szCs w:val="22"/>
          <w:lang w:val="en-GB" w:eastAsia="ja-JP"/>
        </w:rPr>
        <w:t xml:space="preserve"> </w:t>
      </w:r>
      <w:r w:rsidR="008D632A" w:rsidRPr="008D632A">
        <w:rPr>
          <w:rFonts w:eastAsia="MS Mincho"/>
          <w:sz w:val="22"/>
          <w:szCs w:val="22"/>
          <w:lang w:val="en-GB" w:eastAsia="ja-JP"/>
        </w:rPr>
        <w:t xml:space="preserve">by increasing the amount of </w:t>
      </w:r>
      <w:r w:rsidR="008C47C0">
        <w:rPr>
          <w:rFonts w:eastAsia="MS Mincho"/>
          <w:sz w:val="22"/>
          <w:szCs w:val="22"/>
          <w:lang w:val="en-GB" w:eastAsia="ja-JP"/>
        </w:rPr>
        <w:t>ivacaftor</w:t>
      </w:r>
      <w:r w:rsidR="008D632A" w:rsidRPr="008D632A">
        <w:rPr>
          <w:rFonts w:eastAsia="MS Mincho"/>
          <w:sz w:val="22"/>
          <w:szCs w:val="22"/>
          <w:lang w:val="en-GB" w:eastAsia="ja-JP"/>
        </w:rPr>
        <w:t xml:space="preserve"> in your body</w:t>
      </w:r>
      <w:r w:rsidRPr="00A808AC">
        <w:rPr>
          <w:rFonts w:eastAsia="MS Mincho"/>
          <w:sz w:val="22"/>
          <w:szCs w:val="22"/>
          <w:lang w:val="en-GB" w:eastAsia="ja-JP"/>
        </w:rPr>
        <w:t>.</w:t>
      </w:r>
    </w:p>
    <w:p w14:paraId="0280DEAF" w14:textId="77777777" w:rsidR="002A499E" w:rsidRPr="00E66F6D" w:rsidRDefault="002A499E" w:rsidP="000A093B">
      <w:pPr>
        <w:pStyle w:val="labeltext"/>
        <w:keepNext/>
      </w:pPr>
    </w:p>
    <w:p w14:paraId="24EB8617" w14:textId="77777777" w:rsidR="00F976E8" w:rsidRDefault="005A3D7D" w:rsidP="00B02282">
      <w:pPr>
        <w:keepNext/>
        <w:numPr>
          <w:ilvl w:val="12"/>
          <w:numId w:val="0"/>
        </w:numPr>
        <w:tabs>
          <w:tab w:val="clear" w:pos="567"/>
        </w:tabs>
        <w:spacing w:line="240" w:lineRule="auto"/>
        <w:outlineLvl w:val="0"/>
        <w:rPr>
          <w:b/>
          <w:bCs/>
        </w:rPr>
      </w:pPr>
      <w:r w:rsidRPr="00A808AC">
        <w:rPr>
          <w:b/>
          <w:bCs/>
        </w:rPr>
        <w:t>Pregnancy and breast-feeding</w:t>
      </w:r>
    </w:p>
    <w:p w14:paraId="7A83E1C4" w14:textId="77777777" w:rsidR="00987822" w:rsidRPr="00A808AC" w:rsidRDefault="00987822" w:rsidP="00B02282">
      <w:pPr>
        <w:keepNext/>
        <w:numPr>
          <w:ilvl w:val="12"/>
          <w:numId w:val="0"/>
        </w:numPr>
        <w:tabs>
          <w:tab w:val="clear" w:pos="567"/>
        </w:tabs>
        <w:spacing w:line="240" w:lineRule="auto"/>
        <w:outlineLvl w:val="0"/>
        <w:rPr>
          <w:b/>
          <w:bCs/>
        </w:rPr>
      </w:pPr>
    </w:p>
    <w:p w14:paraId="30792300" w14:textId="77777777" w:rsidR="00F976E8" w:rsidRPr="00A808AC" w:rsidRDefault="005A3D7D" w:rsidP="00B02282">
      <w:pPr>
        <w:keepNext/>
        <w:numPr>
          <w:ilvl w:val="12"/>
          <w:numId w:val="0"/>
        </w:numPr>
        <w:spacing w:line="240" w:lineRule="auto"/>
        <w:outlineLvl w:val="0"/>
        <w:rPr>
          <w:lang w:val="en-US"/>
        </w:rPr>
      </w:pPr>
      <w:r w:rsidRPr="00A808AC">
        <w:t xml:space="preserve">If you are pregnant or breast-feeding, think you may be pregnant or are planning to have a baby, ask your doctor for advice before taking this medicine. </w:t>
      </w:r>
      <w:r w:rsidR="00D17BBF" w:rsidRPr="00A808AC">
        <w:rPr>
          <w:lang w:val="en-US"/>
        </w:rPr>
        <w:t xml:space="preserve">It may be better to avoid using Kalydeco during pregnancy, if possible, and </w:t>
      </w:r>
      <w:r w:rsidR="00D17BBF" w:rsidRPr="00A808AC">
        <w:t>y</w:t>
      </w:r>
      <w:r w:rsidRPr="00A808AC">
        <w:t>our doctor will help you decide what is best for you and your child.</w:t>
      </w:r>
    </w:p>
    <w:p w14:paraId="32408826" w14:textId="77777777" w:rsidR="00F976E8" w:rsidRPr="00A808AC" w:rsidRDefault="00F976E8" w:rsidP="00864757">
      <w:pPr>
        <w:spacing w:line="240" w:lineRule="auto"/>
      </w:pPr>
    </w:p>
    <w:p w14:paraId="70B3E8C7" w14:textId="77777777" w:rsidR="00F976E8" w:rsidRPr="00A808AC" w:rsidRDefault="005A3D7D" w:rsidP="00864757">
      <w:pPr>
        <w:spacing w:line="240" w:lineRule="auto"/>
        <w:rPr>
          <w:lang w:val="en-US"/>
        </w:rPr>
      </w:pPr>
      <w:r w:rsidRPr="00A808AC">
        <w:t>It is unknown whether ivacaftor is excreted in human milk. If you plan to breast-feed, ask your doctor for advice before taking Kalydeco.</w:t>
      </w:r>
      <w:r w:rsidR="00D17BBF" w:rsidRPr="00A808AC">
        <w:rPr>
          <w:rFonts w:ascii="TimesNewRoman" w:hAnsi="TimesNewRoman" w:cs="TimesNewRoman"/>
          <w:sz w:val="21"/>
          <w:szCs w:val="21"/>
          <w:lang w:val="en-US"/>
        </w:rPr>
        <w:t xml:space="preserve"> </w:t>
      </w:r>
      <w:r w:rsidR="00D17BBF" w:rsidRPr="00A808AC">
        <w:rPr>
          <w:lang w:val="en-US"/>
        </w:rPr>
        <w:t>Your doctor will decide whether to recommend that you stop breast-feeding or for you to stop ivacaftor therapy. Your doctor will take into account the benefit of breast-feeding for the child and the benefit of therapy for you.</w:t>
      </w:r>
    </w:p>
    <w:p w14:paraId="40F6055E" w14:textId="77777777" w:rsidR="00F976E8" w:rsidRPr="00A808AC" w:rsidRDefault="00F976E8" w:rsidP="00864757">
      <w:pPr>
        <w:spacing w:line="240" w:lineRule="auto"/>
      </w:pPr>
    </w:p>
    <w:p w14:paraId="3938B05B" w14:textId="77777777" w:rsidR="00F976E8" w:rsidRDefault="005A3D7D" w:rsidP="000A093B">
      <w:pPr>
        <w:keepNext/>
        <w:numPr>
          <w:ilvl w:val="12"/>
          <w:numId w:val="0"/>
        </w:numPr>
        <w:tabs>
          <w:tab w:val="clear" w:pos="567"/>
        </w:tabs>
        <w:spacing w:line="240" w:lineRule="auto"/>
        <w:ind w:right="-2"/>
        <w:outlineLvl w:val="0"/>
        <w:rPr>
          <w:b/>
          <w:bCs/>
        </w:rPr>
      </w:pPr>
      <w:r w:rsidRPr="00A808AC">
        <w:rPr>
          <w:b/>
          <w:bCs/>
        </w:rPr>
        <w:t>Driving and using machines</w:t>
      </w:r>
    </w:p>
    <w:p w14:paraId="4ED2584B" w14:textId="77777777" w:rsidR="00987822" w:rsidRPr="00A808AC" w:rsidRDefault="00987822" w:rsidP="000A093B">
      <w:pPr>
        <w:keepNext/>
        <w:numPr>
          <w:ilvl w:val="12"/>
          <w:numId w:val="0"/>
        </w:numPr>
        <w:tabs>
          <w:tab w:val="clear" w:pos="567"/>
        </w:tabs>
        <w:spacing w:line="240" w:lineRule="auto"/>
        <w:ind w:right="-2"/>
        <w:outlineLvl w:val="0"/>
      </w:pPr>
    </w:p>
    <w:p w14:paraId="769208CA" w14:textId="77777777" w:rsidR="00C0300D" w:rsidRPr="00A808AC" w:rsidRDefault="005A3D7D" w:rsidP="000A093B">
      <w:pPr>
        <w:pStyle w:val="NormalIndent"/>
        <w:keepNext/>
        <w:spacing w:after="0"/>
        <w:ind w:left="0"/>
      </w:pPr>
      <w:r w:rsidRPr="00A808AC">
        <w:t>Kalydeco can make you dizzy.</w:t>
      </w:r>
      <w:r w:rsidRPr="00A808AC">
        <w:t xml:space="preserve"> </w:t>
      </w:r>
      <w:r w:rsidR="00743AE6" w:rsidRPr="00743AE6">
        <w:t>If you feel dizzy, do not drive, cycle or use machines</w:t>
      </w:r>
      <w:r w:rsidRPr="00A808AC">
        <w:t>.</w:t>
      </w:r>
    </w:p>
    <w:p w14:paraId="5B681B87" w14:textId="77777777" w:rsidR="00F976E8" w:rsidRPr="00A808AC" w:rsidRDefault="00F976E8" w:rsidP="002B5107">
      <w:pPr>
        <w:pStyle w:val="NormalIndent"/>
        <w:spacing w:after="0"/>
        <w:ind w:left="0"/>
        <w:rPr>
          <w:lang w:eastAsia="ja-JP"/>
        </w:rPr>
      </w:pPr>
    </w:p>
    <w:p w14:paraId="43F4E47B" w14:textId="77777777" w:rsidR="00642135" w:rsidRDefault="005A3D7D" w:rsidP="000A093B">
      <w:pPr>
        <w:pStyle w:val="NormalIndent"/>
        <w:keepNext/>
        <w:spacing w:after="0"/>
        <w:ind w:left="0"/>
        <w:rPr>
          <w:b/>
          <w:lang w:eastAsia="ja-JP"/>
        </w:rPr>
      </w:pPr>
      <w:r w:rsidRPr="000B73E1">
        <w:rPr>
          <w:b/>
          <w:lang w:eastAsia="ja-JP"/>
        </w:rPr>
        <w:t xml:space="preserve">Important information about the contents of </w:t>
      </w:r>
      <w:r>
        <w:rPr>
          <w:b/>
          <w:lang w:eastAsia="ja-JP"/>
        </w:rPr>
        <w:t>Kalydeco</w:t>
      </w:r>
    </w:p>
    <w:p w14:paraId="24EE25BE" w14:textId="77777777" w:rsidR="00987822" w:rsidRDefault="00987822" w:rsidP="000A093B">
      <w:pPr>
        <w:pStyle w:val="NormalIndent"/>
        <w:keepNext/>
        <w:spacing w:after="0"/>
        <w:ind w:left="0"/>
        <w:rPr>
          <w:b/>
          <w:lang w:eastAsia="ja-JP"/>
        </w:rPr>
      </w:pPr>
    </w:p>
    <w:p w14:paraId="5F2AA271" w14:textId="77777777" w:rsidR="00D858F6" w:rsidRPr="00D858F6" w:rsidRDefault="005A3D7D" w:rsidP="000A093B">
      <w:pPr>
        <w:pStyle w:val="NormalIndent"/>
        <w:keepNext/>
        <w:spacing w:after="0"/>
        <w:ind w:left="0"/>
        <w:rPr>
          <w:lang w:eastAsia="ja-JP"/>
        </w:rPr>
      </w:pPr>
      <w:r w:rsidRPr="00A808AC">
        <w:rPr>
          <w:b/>
          <w:lang w:eastAsia="ja-JP"/>
        </w:rPr>
        <w:t>Kalydeco contains lactose</w:t>
      </w:r>
      <w:r>
        <w:rPr>
          <w:b/>
          <w:lang w:eastAsia="ja-JP"/>
        </w:rPr>
        <w:t xml:space="preserve">. </w:t>
      </w:r>
      <w:r w:rsidRPr="00D858F6">
        <w:rPr>
          <w:lang w:eastAsia="ja-JP"/>
        </w:rPr>
        <w:t xml:space="preserve">If you have been told by your doctor that you have an intolerance to some sugars, contact your doctor before </w:t>
      </w:r>
      <w:r w:rsidRPr="00D858F6">
        <w:rPr>
          <w:lang w:eastAsia="ja-JP"/>
        </w:rPr>
        <w:t>taking this medicine.</w:t>
      </w:r>
    </w:p>
    <w:p w14:paraId="01A6C0A4" w14:textId="77777777" w:rsidR="00DF351A" w:rsidRPr="00D858F6" w:rsidRDefault="00DF351A" w:rsidP="00536B59">
      <w:pPr>
        <w:pStyle w:val="NormalIndent"/>
        <w:spacing w:after="0"/>
        <w:ind w:left="0"/>
        <w:rPr>
          <w:lang w:eastAsia="ja-JP"/>
        </w:rPr>
      </w:pPr>
    </w:p>
    <w:p w14:paraId="75390328" w14:textId="77777777" w:rsidR="00642135" w:rsidRPr="00A808AC" w:rsidRDefault="005A3D7D" w:rsidP="00D858F6">
      <w:pPr>
        <w:pStyle w:val="NormalIndent"/>
        <w:spacing w:after="0"/>
        <w:ind w:left="0"/>
      </w:pPr>
      <w:r w:rsidRPr="000B73E1">
        <w:rPr>
          <w:b/>
          <w:lang w:eastAsia="ja-JP"/>
        </w:rPr>
        <w:t>Kalydeco</w:t>
      </w:r>
      <w:r w:rsidRPr="000B73E1">
        <w:rPr>
          <w:b/>
        </w:rPr>
        <w:t xml:space="preserve"> </w:t>
      </w:r>
      <w:r w:rsidRPr="00471707">
        <w:rPr>
          <w:b/>
        </w:rPr>
        <w:t>contains</w:t>
      </w:r>
      <w:r w:rsidRPr="007B0741">
        <w:rPr>
          <w:b/>
        </w:rPr>
        <w:t xml:space="preserve"> less than 1</w:t>
      </w:r>
      <w:r w:rsidR="00AC4EC3" w:rsidRPr="007B0741">
        <w:rPr>
          <w:b/>
        </w:rPr>
        <w:t> </w:t>
      </w:r>
      <w:r w:rsidRPr="007B0741">
        <w:rPr>
          <w:b/>
        </w:rPr>
        <w:t>mmol sodium</w:t>
      </w:r>
      <w:r w:rsidRPr="000B73E1">
        <w:t xml:space="preserve"> (23</w:t>
      </w:r>
      <w:r w:rsidR="00AC4EC3">
        <w:t> </w:t>
      </w:r>
      <w:r w:rsidRPr="000B73E1">
        <w:t xml:space="preserve">mg) per dose, </w:t>
      </w:r>
      <w:r w:rsidR="00743AE6">
        <w:t>that is to say</w:t>
      </w:r>
      <w:r w:rsidRPr="000B73E1">
        <w:t xml:space="preserve"> essentially </w:t>
      </w:r>
      <w:r w:rsidR="005E312D">
        <w:t>‘</w:t>
      </w:r>
      <w:r w:rsidRPr="000B73E1">
        <w:t>sodium</w:t>
      </w:r>
      <w:r w:rsidR="00AC4EC3">
        <w:noBreakHyphen/>
      </w:r>
      <w:r w:rsidRPr="000B73E1">
        <w:t>free</w:t>
      </w:r>
      <w:r w:rsidR="005E312D">
        <w:t>’</w:t>
      </w:r>
      <w:r w:rsidRPr="000B73E1">
        <w:t>.</w:t>
      </w:r>
    </w:p>
    <w:p w14:paraId="273AFC7C" w14:textId="77777777" w:rsidR="00F976E8" w:rsidRPr="00A808AC" w:rsidRDefault="00F976E8" w:rsidP="002B5107">
      <w:pPr>
        <w:pStyle w:val="NormalIndent"/>
        <w:spacing w:after="0"/>
        <w:ind w:left="0"/>
      </w:pPr>
    </w:p>
    <w:p w14:paraId="1CF4F618" w14:textId="77777777" w:rsidR="00F976E8" w:rsidRPr="00A808AC" w:rsidRDefault="00F976E8" w:rsidP="002B5107">
      <w:pPr>
        <w:pStyle w:val="NormalIndent"/>
        <w:spacing w:after="0"/>
        <w:ind w:left="0"/>
      </w:pPr>
    </w:p>
    <w:p w14:paraId="7C91B069" w14:textId="77777777" w:rsidR="00F976E8" w:rsidRPr="00A808AC" w:rsidRDefault="005A3D7D" w:rsidP="000A093B">
      <w:pPr>
        <w:keepNext/>
        <w:numPr>
          <w:ilvl w:val="0"/>
          <w:numId w:val="4"/>
        </w:numPr>
        <w:spacing w:line="240" w:lineRule="auto"/>
        <w:ind w:right="-2"/>
        <w:rPr>
          <w:b/>
          <w:bCs/>
        </w:rPr>
      </w:pPr>
      <w:r w:rsidRPr="00A808AC">
        <w:rPr>
          <w:b/>
          <w:bCs/>
        </w:rPr>
        <w:t>How to take Kalydeco</w:t>
      </w:r>
    </w:p>
    <w:p w14:paraId="7C29A719" w14:textId="77777777" w:rsidR="00F976E8" w:rsidRPr="00A808AC" w:rsidRDefault="00F976E8" w:rsidP="000A093B">
      <w:pPr>
        <w:keepNext/>
        <w:spacing w:line="240" w:lineRule="auto"/>
        <w:ind w:right="-2"/>
        <w:rPr>
          <w:bCs/>
        </w:rPr>
      </w:pPr>
    </w:p>
    <w:p w14:paraId="64FC6D21" w14:textId="77777777" w:rsidR="00F976E8" w:rsidRPr="003F1CB4" w:rsidRDefault="005A3D7D" w:rsidP="000A093B">
      <w:pPr>
        <w:keepNext/>
        <w:numPr>
          <w:ilvl w:val="12"/>
          <w:numId w:val="0"/>
        </w:numPr>
        <w:spacing w:line="240" w:lineRule="auto"/>
        <w:ind w:right="-2"/>
      </w:pPr>
      <w:r w:rsidRPr="003F1CB4">
        <w:t xml:space="preserve">Always take this medicine exactly as your doctor has told you to. Check with your doctor if you are not </w:t>
      </w:r>
      <w:r w:rsidRPr="003F1CB4">
        <w:t>sure.</w:t>
      </w:r>
    </w:p>
    <w:p w14:paraId="42F37F5A" w14:textId="77777777" w:rsidR="00F976E8" w:rsidRPr="003F1CB4" w:rsidRDefault="00F976E8" w:rsidP="002B5107">
      <w:pPr>
        <w:numPr>
          <w:ilvl w:val="12"/>
          <w:numId w:val="0"/>
        </w:numPr>
        <w:spacing w:line="240" w:lineRule="auto"/>
        <w:ind w:right="-2"/>
        <w:rPr>
          <w:b/>
        </w:rPr>
      </w:pPr>
    </w:p>
    <w:p w14:paraId="12697CE9" w14:textId="08D8569C" w:rsidR="0014336C" w:rsidRDefault="005A3D7D" w:rsidP="0014336C">
      <w:pPr>
        <w:numPr>
          <w:ilvl w:val="12"/>
          <w:numId w:val="0"/>
        </w:numPr>
        <w:spacing w:line="240" w:lineRule="auto"/>
      </w:pPr>
      <w:r>
        <w:t>Your doctor will determine which medicine and dose is right for you.</w:t>
      </w:r>
    </w:p>
    <w:p w14:paraId="73E9A89E" w14:textId="77777777" w:rsidR="0014336C" w:rsidRDefault="0014336C" w:rsidP="0014336C">
      <w:pPr>
        <w:numPr>
          <w:ilvl w:val="12"/>
          <w:numId w:val="0"/>
        </w:numPr>
        <w:spacing w:line="240" w:lineRule="auto"/>
      </w:pPr>
    </w:p>
    <w:p w14:paraId="65F6BB85" w14:textId="1105B19C" w:rsidR="0014336C" w:rsidRDefault="005A3D7D" w:rsidP="000A093B">
      <w:pPr>
        <w:numPr>
          <w:ilvl w:val="12"/>
          <w:numId w:val="0"/>
        </w:numPr>
        <w:spacing w:line="240" w:lineRule="auto"/>
      </w:pPr>
      <w:r>
        <w:t>Kalydeco</w:t>
      </w:r>
      <w:r w:rsidRPr="003F1CB4">
        <w:t xml:space="preserve"> dosing recommendations are provided in Table</w:t>
      </w:r>
      <w:r>
        <w:t> </w:t>
      </w:r>
      <w:r w:rsidRPr="003F1CB4">
        <w:t>1.</w:t>
      </w:r>
    </w:p>
    <w:p w14:paraId="4584BC8D" w14:textId="77777777" w:rsidR="0014336C" w:rsidRDefault="0014336C" w:rsidP="000A093B">
      <w:pPr>
        <w:numPr>
          <w:ilvl w:val="12"/>
          <w:numId w:val="0"/>
        </w:numPr>
        <w:spacing w:line="240" w:lineRule="auto"/>
      </w:pPr>
    </w:p>
    <w:p w14:paraId="104241E5" w14:textId="227B73CF" w:rsidR="0014336C" w:rsidRPr="003F1CB4" w:rsidRDefault="005A3D7D" w:rsidP="00A0798C">
      <w:pPr>
        <w:keepNext/>
        <w:keepLines/>
        <w:numPr>
          <w:ilvl w:val="12"/>
          <w:numId w:val="0"/>
        </w:numPr>
        <w:spacing w:after="120" w:line="240" w:lineRule="auto"/>
      </w:pPr>
      <w:r w:rsidRPr="003F1CB4">
        <w:rPr>
          <w:b/>
        </w:rPr>
        <w:t>Table</w:t>
      </w:r>
      <w:r>
        <w:rPr>
          <w:b/>
        </w:rPr>
        <w:t> </w:t>
      </w:r>
      <w:r w:rsidRPr="003F1CB4">
        <w:rPr>
          <w:b/>
        </w:rPr>
        <w:t>1</w:t>
      </w:r>
      <w:r>
        <w:rPr>
          <w:b/>
        </w:rPr>
        <w:t>:</w:t>
      </w:r>
      <w:r w:rsidRPr="003F1CB4">
        <w:rPr>
          <w:b/>
        </w:rPr>
        <w:t xml:space="preserve"> Dosing recommendations</w:t>
      </w:r>
    </w:p>
    <w:tbl>
      <w:tblPr>
        <w:tblStyle w:val="TableGrid"/>
        <w:tblW w:w="9392" w:type="dxa"/>
        <w:tblLook w:val="04A0" w:firstRow="1" w:lastRow="0" w:firstColumn="1" w:lastColumn="0" w:noHBand="0" w:noVBand="1"/>
      </w:tblPr>
      <w:tblGrid>
        <w:gridCol w:w="2964"/>
        <w:gridCol w:w="3847"/>
        <w:gridCol w:w="2581"/>
      </w:tblGrid>
      <w:tr w:rsidR="00476058" w14:paraId="31ADB64D" w14:textId="77777777" w:rsidTr="000A093B">
        <w:trPr>
          <w:trHeight w:val="325"/>
        </w:trPr>
        <w:tc>
          <w:tcPr>
            <w:tcW w:w="2964" w:type="dxa"/>
            <w:vAlign w:val="center"/>
          </w:tcPr>
          <w:p w14:paraId="58E6AB68" w14:textId="77777777" w:rsidR="0014336C" w:rsidRPr="00475296" w:rsidRDefault="0014336C" w:rsidP="000C3496">
            <w:pPr>
              <w:pStyle w:val="labeltext"/>
              <w:keepNext/>
              <w:keepLines/>
              <w:rPr>
                <w:b/>
                <w:bCs/>
                <w:iCs/>
                <w:sz w:val="22"/>
                <w:szCs w:val="22"/>
              </w:rPr>
            </w:pPr>
          </w:p>
        </w:tc>
        <w:tc>
          <w:tcPr>
            <w:tcW w:w="3847" w:type="dxa"/>
            <w:vAlign w:val="center"/>
          </w:tcPr>
          <w:p w14:paraId="244A9DFC" w14:textId="77777777" w:rsidR="0014336C" w:rsidRPr="00475296" w:rsidRDefault="005A3D7D" w:rsidP="000C3496">
            <w:pPr>
              <w:pStyle w:val="labeltext"/>
              <w:keepNext/>
              <w:keepLines/>
              <w:jc w:val="center"/>
              <w:rPr>
                <w:b/>
                <w:bCs/>
                <w:iCs/>
                <w:sz w:val="22"/>
                <w:szCs w:val="22"/>
              </w:rPr>
            </w:pPr>
            <w:r w:rsidRPr="00475296">
              <w:rPr>
                <w:b/>
                <w:bCs/>
                <w:iCs/>
                <w:sz w:val="22"/>
                <w:szCs w:val="22"/>
              </w:rPr>
              <w:t>Morning</w:t>
            </w:r>
          </w:p>
        </w:tc>
        <w:tc>
          <w:tcPr>
            <w:tcW w:w="2581" w:type="dxa"/>
            <w:vAlign w:val="center"/>
          </w:tcPr>
          <w:p w14:paraId="5D9B80EC" w14:textId="77777777" w:rsidR="0014336C" w:rsidRPr="00475296" w:rsidRDefault="005A3D7D" w:rsidP="000C3496">
            <w:pPr>
              <w:pStyle w:val="labeltext"/>
              <w:keepNext/>
              <w:keepLines/>
              <w:jc w:val="center"/>
              <w:rPr>
                <w:b/>
                <w:bCs/>
                <w:iCs/>
                <w:sz w:val="22"/>
                <w:szCs w:val="22"/>
              </w:rPr>
            </w:pPr>
            <w:r w:rsidRPr="00475296">
              <w:rPr>
                <w:b/>
                <w:bCs/>
                <w:iCs/>
                <w:sz w:val="22"/>
                <w:szCs w:val="22"/>
              </w:rPr>
              <w:t>Evening</w:t>
            </w:r>
          </w:p>
        </w:tc>
      </w:tr>
      <w:tr w:rsidR="00476058" w14:paraId="1AC12E27" w14:textId="77777777" w:rsidTr="000A093B">
        <w:trPr>
          <w:trHeight w:val="306"/>
        </w:trPr>
        <w:tc>
          <w:tcPr>
            <w:tcW w:w="9392" w:type="dxa"/>
            <w:gridSpan w:val="3"/>
            <w:vAlign w:val="center"/>
          </w:tcPr>
          <w:p w14:paraId="70377645" w14:textId="77777777" w:rsidR="0014336C" w:rsidRPr="00475296" w:rsidRDefault="005A3D7D" w:rsidP="000C3496">
            <w:pPr>
              <w:pStyle w:val="labeltext"/>
              <w:keepNext/>
              <w:keepLines/>
              <w:rPr>
                <w:b/>
                <w:bCs/>
                <w:iCs/>
                <w:sz w:val="22"/>
                <w:szCs w:val="22"/>
              </w:rPr>
            </w:pPr>
            <w:r>
              <w:rPr>
                <w:b/>
                <w:bCs/>
                <w:iCs/>
                <w:sz w:val="22"/>
                <w:szCs w:val="22"/>
              </w:rPr>
              <w:t>Kalydeco</w:t>
            </w:r>
            <w:r w:rsidRPr="00475296">
              <w:rPr>
                <w:b/>
                <w:bCs/>
                <w:iCs/>
                <w:sz w:val="22"/>
                <w:szCs w:val="22"/>
              </w:rPr>
              <w:t xml:space="preserve"> as monotherapy</w:t>
            </w:r>
          </w:p>
        </w:tc>
      </w:tr>
      <w:tr w:rsidR="00476058" w14:paraId="01EFB09E" w14:textId="77777777" w:rsidTr="000A093B">
        <w:trPr>
          <w:trHeight w:val="325"/>
        </w:trPr>
        <w:tc>
          <w:tcPr>
            <w:tcW w:w="2964" w:type="dxa"/>
            <w:vAlign w:val="center"/>
          </w:tcPr>
          <w:p w14:paraId="00145607" w14:textId="77777777" w:rsidR="0014336C" w:rsidRPr="00475296" w:rsidRDefault="005A3D7D" w:rsidP="000C3496">
            <w:pPr>
              <w:pStyle w:val="labeltext"/>
              <w:keepNext/>
              <w:keepLines/>
              <w:rPr>
                <w:iCs/>
                <w:sz w:val="22"/>
                <w:szCs w:val="22"/>
              </w:rPr>
            </w:pPr>
            <w:r w:rsidRPr="00475296">
              <w:rPr>
                <w:iCs/>
                <w:sz w:val="22"/>
                <w:szCs w:val="22"/>
              </w:rPr>
              <w:t>6</w:t>
            </w:r>
            <w:r w:rsidR="00314668">
              <w:rPr>
                <w:iCs/>
                <w:sz w:val="22"/>
                <w:szCs w:val="22"/>
              </w:rPr>
              <w:t> </w:t>
            </w:r>
            <w:r w:rsidRPr="00475296">
              <w:rPr>
                <w:iCs/>
                <w:sz w:val="22"/>
                <w:szCs w:val="22"/>
              </w:rPr>
              <w:t>years and older, ≥25</w:t>
            </w:r>
            <w:r w:rsidR="00314668">
              <w:rPr>
                <w:iCs/>
                <w:sz w:val="22"/>
                <w:szCs w:val="22"/>
              </w:rPr>
              <w:t> </w:t>
            </w:r>
            <w:r w:rsidRPr="00475296">
              <w:rPr>
                <w:iCs/>
                <w:sz w:val="22"/>
                <w:szCs w:val="22"/>
              </w:rPr>
              <w:t>kg</w:t>
            </w:r>
          </w:p>
        </w:tc>
        <w:tc>
          <w:tcPr>
            <w:tcW w:w="3847" w:type="dxa"/>
            <w:vAlign w:val="center"/>
          </w:tcPr>
          <w:p w14:paraId="27350570" w14:textId="77777777" w:rsidR="0014336C" w:rsidRPr="00475296" w:rsidRDefault="005A3D7D" w:rsidP="000C3496">
            <w:pPr>
              <w:pStyle w:val="labeltext"/>
              <w:keepNext/>
              <w:keepLines/>
              <w:rPr>
                <w:iCs/>
                <w:sz w:val="22"/>
                <w:szCs w:val="22"/>
              </w:rPr>
            </w:pPr>
            <w:r w:rsidRPr="00475296">
              <w:rPr>
                <w:iCs/>
                <w:sz w:val="22"/>
                <w:szCs w:val="22"/>
              </w:rPr>
              <w:t xml:space="preserve">One </w:t>
            </w:r>
            <w:r w:rsidR="002C7F75">
              <w:rPr>
                <w:iCs/>
                <w:sz w:val="22"/>
                <w:szCs w:val="22"/>
              </w:rPr>
              <w:t>Kalydeco</w:t>
            </w:r>
            <w:r w:rsidRPr="00475296">
              <w:rPr>
                <w:iCs/>
                <w:sz w:val="22"/>
                <w:szCs w:val="22"/>
              </w:rPr>
              <w:t xml:space="preserve"> 150</w:t>
            </w:r>
            <w:r w:rsidR="00314668">
              <w:rPr>
                <w:iCs/>
                <w:sz w:val="22"/>
                <w:szCs w:val="22"/>
              </w:rPr>
              <w:t> </w:t>
            </w:r>
            <w:r w:rsidRPr="00475296">
              <w:rPr>
                <w:iCs/>
                <w:sz w:val="22"/>
                <w:szCs w:val="22"/>
              </w:rPr>
              <w:t>mg tablet</w:t>
            </w:r>
          </w:p>
        </w:tc>
        <w:tc>
          <w:tcPr>
            <w:tcW w:w="2581" w:type="dxa"/>
            <w:vAlign w:val="center"/>
          </w:tcPr>
          <w:p w14:paraId="381E6AB0" w14:textId="77777777" w:rsidR="0014336C" w:rsidRPr="00475296" w:rsidRDefault="005A3D7D" w:rsidP="000C3496">
            <w:pPr>
              <w:pStyle w:val="labeltext"/>
              <w:keepNext/>
              <w:keepLines/>
              <w:rPr>
                <w:iCs/>
                <w:sz w:val="22"/>
                <w:szCs w:val="22"/>
              </w:rPr>
            </w:pPr>
            <w:r w:rsidRPr="00475296">
              <w:rPr>
                <w:iCs/>
                <w:sz w:val="22"/>
                <w:szCs w:val="22"/>
              </w:rPr>
              <w:t xml:space="preserve">One </w:t>
            </w:r>
            <w:r>
              <w:rPr>
                <w:iCs/>
                <w:sz w:val="22"/>
                <w:szCs w:val="22"/>
              </w:rPr>
              <w:t>Kalydeco</w:t>
            </w:r>
            <w:r w:rsidRPr="00475296">
              <w:rPr>
                <w:iCs/>
                <w:sz w:val="22"/>
                <w:szCs w:val="22"/>
              </w:rPr>
              <w:t xml:space="preserve"> 150</w:t>
            </w:r>
            <w:r w:rsidR="00314668">
              <w:rPr>
                <w:iCs/>
                <w:sz w:val="22"/>
                <w:szCs w:val="22"/>
              </w:rPr>
              <w:t> </w:t>
            </w:r>
            <w:r w:rsidRPr="00475296">
              <w:rPr>
                <w:iCs/>
                <w:sz w:val="22"/>
                <w:szCs w:val="22"/>
              </w:rPr>
              <w:t>mg tablet</w:t>
            </w:r>
          </w:p>
        </w:tc>
      </w:tr>
      <w:tr w:rsidR="00476058" w14:paraId="262E456A" w14:textId="77777777" w:rsidTr="000A093B">
        <w:trPr>
          <w:trHeight w:val="306"/>
        </w:trPr>
        <w:tc>
          <w:tcPr>
            <w:tcW w:w="9392" w:type="dxa"/>
            <w:gridSpan w:val="3"/>
            <w:vAlign w:val="center"/>
          </w:tcPr>
          <w:p w14:paraId="6357463C" w14:textId="77777777" w:rsidR="0014336C" w:rsidRPr="00475296" w:rsidRDefault="005A3D7D" w:rsidP="000C3496">
            <w:pPr>
              <w:pStyle w:val="labeltext"/>
              <w:keepNext/>
              <w:keepLines/>
              <w:rPr>
                <w:b/>
                <w:bCs/>
                <w:iCs/>
                <w:sz w:val="22"/>
                <w:szCs w:val="22"/>
              </w:rPr>
            </w:pPr>
            <w:r>
              <w:rPr>
                <w:b/>
                <w:bCs/>
                <w:iCs/>
                <w:sz w:val="22"/>
                <w:szCs w:val="22"/>
              </w:rPr>
              <w:t>Kalydeco</w:t>
            </w:r>
            <w:r w:rsidRPr="00475296">
              <w:rPr>
                <w:b/>
                <w:bCs/>
                <w:iCs/>
                <w:sz w:val="22"/>
                <w:szCs w:val="22"/>
              </w:rPr>
              <w:t xml:space="preserve"> in combination with tezacaftor/ivacaftor</w:t>
            </w:r>
          </w:p>
        </w:tc>
      </w:tr>
      <w:tr w:rsidR="00476058" w14:paraId="18A165EB" w14:textId="77777777" w:rsidTr="000A093B">
        <w:trPr>
          <w:trHeight w:val="306"/>
        </w:trPr>
        <w:tc>
          <w:tcPr>
            <w:tcW w:w="2964" w:type="dxa"/>
            <w:vAlign w:val="center"/>
          </w:tcPr>
          <w:p w14:paraId="5829C747" w14:textId="77777777" w:rsidR="0014336C" w:rsidRPr="00475296" w:rsidRDefault="005A3D7D" w:rsidP="000C3496">
            <w:pPr>
              <w:pStyle w:val="labeltext"/>
              <w:keepNext/>
              <w:keepLines/>
              <w:rPr>
                <w:iCs/>
                <w:sz w:val="22"/>
                <w:szCs w:val="22"/>
              </w:rPr>
            </w:pPr>
            <w:r w:rsidRPr="00475296">
              <w:rPr>
                <w:sz w:val="22"/>
                <w:szCs w:val="22"/>
              </w:rPr>
              <w:t>12</w:t>
            </w:r>
            <w:r w:rsidR="00314668">
              <w:rPr>
                <w:sz w:val="22"/>
                <w:szCs w:val="22"/>
              </w:rPr>
              <w:t> </w:t>
            </w:r>
            <w:r w:rsidRPr="00475296">
              <w:rPr>
                <w:sz w:val="22"/>
                <w:szCs w:val="22"/>
              </w:rPr>
              <w:t>years and older</w:t>
            </w:r>
          </w:p>
        </w:tc>
        <w:tc>
          <w:tcPr>
            <w:tcW w:w="3847" w:type="dxa"/>
            <w:vAlign w:val="center"/>
          </w:tcPr>
          <w:p w14:paraId="55CECB7A" w14:textId="77777777" w:rsidR="0014336C" w:rsidRPr="00475296" w:rsidRDefault="005A3D7D" w:rsidP="000C3496">
            <w:pPr>
              <w:pStyle w:val="labeltext"/>
              <w:keepNext/>
              <w:keepLines/>
              <w:rPr>
                <w:iCs/>
                <w:sz w:val="22"/>
                <w:szCs w:val="22"/>
              </w:rPr>
            </w:pPr>
            <w:r w:rsidRPr="00475296">
              <w:rPr>
                <w:iCs/>
                <w:sz w:val="22"/>
                <w:szCs w:val="22"/>
              </w:rPr>
              <w:t>One tezacaftor 100</w:t>
            </w:r>
            <w:r w:rsidR="00314668">
              <w:rPr>
                <w:iCs/>
                <w:sz w:val="22"/>
                <w:szCs w:val="22"/>
              </w:rPr>
              <w:t> </w:t>
            </w:r>
            <w:r w:rsidRPr="00475296">
              <w:rPr>
                <w:iCs/>
                <w:sz w:val="22"/>
                <w:szCs w:val="22"/>
              </w:rPr>
              <w:t>mg/ivacaftor 150</w:t>
            </w:r>
            <w:r w:rsidR="00314668">
              <w:rPr>
                <w:iCs/>
                <w:sz w:val="22"/>
                <w:szCs w:val="22"/>
              </w:rPr>
              <w:t> </w:t>
            </w:r>
            <w:r w:rsidRPr="00475296">
              <w:rPr>
                <w:iCs/>
                <w:sz w:val="22"/>
                <w:szCs w:val="22"/>
              </w:rPr>
              <w:t>mg tablet</w:t>
            </w:r>
          </w:p>
        </w:tc>
        <w:tc>
          <w:tcPr>
            <w:tcW w:w="2581" w:type="dxa"/>
            <w:vAlign w:val="center"/>
          </w:tcPr>
          <w:p w14:paraId="7960FB9B" w14:textId="77777777" w:rsidR="0014336C" w:rsidRPr="00475296" w:rsidRDefault="005A3D7D" w:rsidP="000C3496">
            <w:pPr>
              <w:pStyle w:val="labeltext"/>
              <w:keepNext/>
              <w:keepLines/>
              <w:rPr>
                <w:iCs/>
                <w:sz w:val="22"/>
                <w:szCs w:val="22"/>
              </w:rPr>
            </w:pPr>
            <w:r w:rsidRPr="00475296">
              <w:rPr>
                <w:iCs/>
                <w:sz w:val="22"/>
                <w:szCs w:val="22"/>
              </w:rPr>
              <w:t xml:space="preserve">One </w:t>
            </w:r>
            <w:r>
              <w:rPr>
                <w:iCs/>
                <w:sz w:val="22"/>
                <w:szCs w:val="22"/>
              </w:rPr>
              <w:t>Kalydeco</w:t>
            </w:r>
            <w:r w:rsidRPr="00475296">
              <w:rPr>
                <w:iCs/>
                <w:sz w:val="22"/>
                <w:szCs w:val="22"/>
              </w:rPr>
              <w:t xml:space="preserve"> 150</w:t>
            </w:r>
            <w:r w:rsidR="00314668">
              <w:rPr>
                <w:iCs/>
                <w:sz w:val="22"/>
                <w:szCs w:val="22"/>
              </w:rPr>
              <w:t> </w:t>
            </w:r>
            <w:r w:rsidRPr="00475296">
              <w:rPr>
                <w:iCs/>
                <w:sz w:val="22"/>
                <w:szCs w:val="22"/>
              </w:rPr>
              <w:t>mg tablet</w:t>
            </w:r>
          </w:p>
        </w:tc>
      </w:tr>
      <w:tr w:rsidR="00476058" w14:paraId="720220D8" w14:textId="77777777" w:rsidTr="000A093B">
        <w:trPr>
          <w:trHeight w:val="306"/>
        </w:trPr>
        <w:tc>
          <w:tcPr>
            <w:tcW w:w="9392" w:type="dxa"/>
            <w:gridSpan w:val="3"/>
            <w:vAlign w:val="center"/>
          </w:tcPr>
          <w:p w14:paraId="02CF9E8C" w14:textId="77777777" w:rsidR="0014336C" w:rsidRPr="00640644" w:rsidRDefault="005A3D7D" w:rsidP="000C3496">
            <w:pPr>
              <w:pStyle w:val="labeltext"/>
              <w:keepNext/>
              <w:keepLines/>
              <w:rPr>
                <w:b/>
                <w:bCs/>
                <w:iCs/>
                <w:sz w:val="22"/>
                <w:szCs w:val="22"/>
              </w:rPr>
            </w:pPr>
            <w:r>
              <w:rPr>
                <w:b/>
                <w:bCs/>
                <w:sz w:val="22"/>
                <w:szCs w:val="22"/>
              </w:rPr>
              <w:t>Kalydeco</w:t>
            </w:r>
            <w:r w:rsidRPr="00640644">
              <w:rPr>
                <w:b/>
                <w:bCs/>
                <w:sz w:val="22"/>
                <w:szCs w:val="22"/>
              </w:rPr>
              <w:t xml:space="preserve"> in combination with </w:t>
            </w:r>
            <w:r>
              <w:rPr>
                <w:b/>
                <w:bCs/>
                <w:sz w:val="22"/>
                <w:szCs w:val="22"/>
              </w:rPr>
              <w:t>ivacaftor/tezacaftor/elexacaftor</w:t>
            </w:r>
          </w:p>
        </w:tc>
      </w:tr>
      <w:tr w:rsidR="00476058" w14:paraId="6152FDF7" w14:textId="77777777" w:rsidTr="000A093B">
        <w:trPr>
          <w:trHeight w:val="306"/>
        </w:trPr>
        <w:tc>
          <w:tcPr>
            <w:tcW w:w="2964" w:type="dxa"/>
            <w:vAlign w:val="center"/>
          </w:tcPr>
          <w:p w14:paraId="56B30351" w14:textId="77777777" w:rsidR="0014336C" w:rsidRDefault="005A3D7D" w:rsidP="000A093B">
            <w:pPr>
              <w:pStyle w:val="labeltext"/>
              <w:keepLines/>
              <w:rPr>
                <w:sz w:val="22"/>
                <w:szCs w:val="22"/>
              </w:rPr>
            </w:pPr>
            <w:r>
              <w:rPr>
                <w:sz w:val="22"/>
                <w:szCs w:val="22"/>
              </w:rPr>
              <w:t>12</w:t>
            </w:r>
            <w:r w:rsidR="00314668">
              <w:rPr>
                <w:sz w:val="22"/>
                <w:szCs w:val="22"/>
              </w:rPr>
              <w:t> </w:t>
            </w:r>
            <w:r>
              <w:rPr>
                <w:sz w:val="22"/>
                <w:szCs w:val="22"/>
              </w:rPr>
              <w:t>years and older</w:t>
            </w:r>
          </w:p>
        </w:tc>
        <w:tc>
          <w:tcPr>
            <w:tcW w:w="3847" w:type="dxa"/>
            <w:vAlign w:val="center"/>
          </w:tcPr>
          <w:p w14:paraId="2C932D24" w14:textId="77777777" w:rsidR="0014336C" w:rsidRPr="00475296" w:rsidRDefault="005A3D7D" w:rsidP="000A093B">
            <w:pPr>
              <w:pStyle w:val="labeltext"/>
              <w:keepLines/>
              <w:rPr>
                <w:iCs/>
                <w:sz w:val="22"/>
                <w:szCs w:val="22"/>
              </w:rPr>
            </w:pPr>
            <w:r>
              <w:rPr>
                <w:iCs/>
                <w:sz w:val="22"/>
                <w:szCs w:val="22"/>
              </w:rPr>
              <w:t>Two ivacaftor 75</w:t>
            </w:r>
            <w:r w:rsidR="00314668">
              <w:rPr>
                <w:iCs/>
                <w:sz w:val="22"/>
                <w:szCs w:val="22"/>
              </w:rPr>
              <w:t> </w:t>
            </w:r>
            <w:r>
              <w:rPr>
                <w:iCs/>
                <w:sz w:val="22"/>
                <w:szCs w:val="22"/>
              </w:rPr>
              <w:t>mg/tezacaftor 50</w:t>
            </w:r>
            <w:r w:rsidR="00314668">
              <w:rPr>
                <w:iCs/>
                <w:sz w:val="22"/>
                <w:szCs w:val="22"/>
              </w:rPr>
              <w:t> </w:t>
            </w:r>
            <w:r>
              <w:rPr>
                <w:iCs/>
                <w:sz w:val="22"/>
                <w:szCs w:val="22"/>
              </w:rPr>
              <w:t>mg/elexacaftor 100</w:t>
            </w:r>
            <w:r w:rsidR="00314668">
              <w:rPr>
                <w:iCs/>
                <w:sz w:val="22"/>
                <w:szCs w:val="22"/>
              </w:rPr>
              <w:t> </w:t>
            </w:r>
            <w:r>
              <w:rPr>
                <w:iCs/>
                <w:sz w:val="22"/>
                <w:szCs w:val="22"/>
              </w:rPr>
              <w:t>mg tablets</w:t>
            </w:r>
          </w:p>
        </w:tc>
        <w:tc>
          <w:tcPr>
            <w:tcW w:w="2581" w:type="dxa"/>
            <w:vAlign w:val="center"/>
          </w:tcPr>
          <w:p w14:paraId="25379B71" w14:textId="77777777" w:rsidR="0014336C" w:rsidRPr="00475296" w:rsidRDefault="005A3D7D" w:rsidP="000A093B">
            <w:pPr>
              <w:pStyle w:val="labeltext"/>
              <w:keepLines/>
              <w:rPr>
                <w:iCs/>
                <w:sz w:val="22"/>
                <w:szCs w:val="22"/>
              </w:rPr>
            </w:pPr>
            <w:r>
              <w:rPr>
                <w:iCs/>
                <w:sz w:val="22"/>
                <w:szCs w:val="22"/>
              </w:rPr>
              <w:t>One Kalydeco 150</w:t>
            </w:r>
            <w:r w:rsidR="00314668">
              <w:rPr>
                <w:iCs/>
                <w:sz w:val="22"/>
                <w:szCs w:val="22"/>
              </w:rPr>
              <w:t> </w:t>
            </w:r>
            <w:r>
              <w:rPr>
                <w:iCs/>
                <w:sz w:val="22"/>
                <w:szCs w:val="22"/>
              </w:rPr>
              <w:t>mg tablet</w:t>
            </w:r>
          </w:p>
        </w:tc>
      </w:tr>
    </w:tbl>
    <w:p w14:paraId="47E5C43F" w14:textId="77777777" w:rsidR="0014336C" w:rsidRDefault="0014336C" w:rsidP="000A093B">
      <w:pPr>
        <w:numPr>
          <w:ilvl w:val="12"/>
          <w:numId w:val="0"/>
        </w:numPr>
        <w:spacing w:line="240" w:lineRule="auto"/>
        <w:ind w:right="-2"/>
      </w:pPr>
    </w:p>
    <w:p w14:paraId="54A684B8" w14:textId="5AC7949D" w:rsidR="000E2D8F" w:rsidRDefault="005A3D7D" w:rsidP="002B5107">
      <w:pPr>
        <w:numPr>
          <w:ilvl w:val="12"/>
          <w:numId w:val="0"/>
        </w:numPr>
        <w:spacing w:line="240" w:lineRule="auto"/>
        <w:ind w:right="-2"/>
      </w:pPr>
      <w:r w:rsidRPr="006A1E1A">
        <w:t>Take</w:t>
      </w:r>
      <w:r w:rsidRPr="0069530E">
        <w:t xml:space="preserve"> the tablets </w:t>
      </w:r>
      <w:r w:rsidR="00E66E11">
        <w:t>morning and evening doses</w:t>
      </w:r>
      <w:r w:rsidR="00E66E11" w:rsidRPr="0069530E">
        <w:t xml:space="preserve"> </w:t>
      </w:r>
      <w:r w:rsidRPr="0069530E">
        <w:t>approximately 12</w:t>
      </w:r>
      <w:r w:rsidR="00A57A30">
        <w:t> </w:t>
      </w:r>
      <w:r w:rsidRPr="0069530E">
        <w:t>hours apart</w:t>
      </w:r>
      <w:r w:rsidR="00D83442">
        <w:t xml:space="preserve"> with food that contains fat</w:t>
      </w:r>
      <w:r w:rsidRPr="0069530E">
        <w:t>.</w:t>
      </w:r>
      <w:r>
        <w:t xml:space="preserve"> </w:t>
      </w:r>
    </w:p>
    <w:p w14:paraId="133E6CE6" w14:textId="77777777" w:rsidR="002A499E" w:rsidRDefault="002A499E" w:rsidP="002B5107">
      <w:pPr>
        <w:numPr>
          <w:ilvl w:val="12"/>
          <w:numId w:val="0"/>
        </w:numPr>
        <w:spacing w:line="240" w:lineRule="auto"/>
        <w:ind w:right="-2"/>
      </w:pPr>
    </w:p>
    <w:p w14:paraId="5CE4762A" w14:textId="77777777" w:rsidR="00743AE6" w:rsidRDefault="005A3D7D" w:rsidP="002B5107">
      <w:pPr>
        <w:numPr>
          <w:ilvl w:val="12"/>
          <w:numId w:val="0"/>
        </w:numPr>
        <w:spacing w:line="240" w:lineRule="auto"/>
        <w:ind w:right="-2"/>
      </w:pPr>
      <w:r w:rsidRPr="00743AE6">
        <w:t xml:space="preserve">You </w:t>
      </w:r>
      <w:r w:rsidRPr="00743AE6">
        <w:t>must keep using all other medicines you use, unless your doctor tells you to stop using any.</w:t>
      </w:r>
    </w:p>
    <w:p w14:paraId="43961574" w14:textId="77777777" w:rsidR="00743AE6" w:rsidRPr="003F1CB4" w:rsidRDefault="00743AE6" w:rsidP="002B5107">
      <w:pPr>
        <w:numPr>
          <w:ilvl w:val="12"/>
          <w:numId w:val="0"/>
        </w:numPr>
        <w:spacing w:line="240" w:lineRule="auto"/>
        <w:ind w:right="-2"/>
      </w:pPr>
    </w:p>
    <w:p w14:paraId="6FC1E811" w14:textId="77777777" w:rsidR="00CC2792" w:rsidRPr="003F1CB4" w:rsidRDefault="005A3D7D" w:rsidP="002B5107">
      <w:pPr>
        <w:numPr>
          <w:ilvl w:val="12"/>
          <w:numId w:val="0"/>
        </w:numPr>
        <w:spacing w:line="240" w:lineRule="auto"/>
        <w:ind w:right="-2"/>
      </w:pPr>
      <w:r w:rsidRPr="003F1CB4">
        <w:t xml:space="preserve">If you have </w:t>
      </w:r>
      <w:r w:rsidR="00B84004">
        <w:t xml:space="preserve">liver </w:t>
      </w:r>
      <w:r w:rsidRPr="003F1CB4">
        <w:t>problems</w:t>
      </w:r>
      <w:r w:rsidR="00B84004">
        <w:t>, either moderate or severe</w:t>
      </w:r>
      <w:r w:rsidRPr="003F1CB4">
        <w:t xml:space="preserve">, your doctor may need to reduce the dose of </w:t>
      </w:r>
      <w:r w:rsidR="00B84004">
        <w:t>your tablets</w:t>
      </w:r>
      <w:r w:rsidR="00C13B2C" w:rsidRPr="003F1CB4">
        <w:t>,</w:t>
      </w:r>
      <w:r w:rsidRPr="003F1CB4">
        <w:t xml:space="preserve"> </w:t>
      </w:r>
      <w:r w:rsidR="00B84004">
        <w:t>because</w:t>
      </w:r>
      <w:r w:rsidR="00B84004" w:rsidRPr="003F1CB4">
        <w:t xml:space="preserve"> </w:t>
      </w:r>
      <w:r w:rsidRPr="003F1CB4">
        <w:t>your liver</w:t>
      </w:r>
      <w:r w:rsidR="00B84004">
        <w:t xml:space="preserve"> will not </w:t>
      </w:r>
      <w:r w:rsidR="00743AE6">
        <w:t>clear</w:t>
      </w:r>
      <w:r w:rsidR="00B84004">
        <w:t xml:space="preserve"> the medicine </w:t>
      </w:r>
      <w:r w:rsidRPr="003F1CB4">
        <w:t>as fast as in people who have normal liver function.</w:t>
      </w:r>
    </w:p>
    <w:p w14:paraId="7CF0C7B6" w14:textId="77777777" w:rsidR="00743AE6" w:rsidRDefault="00743AE6" w:rsidP="00743AE6">
      <w:pPr>
        <w:numPr>
          <w:ilvl w:val="12"/>
          <w:numId w:val="0"/>
        </w:numPr>
        <w:spacing w:line="240" w:lineRule="auto"/>
        <w:ind w:right="-2"/>
      </w:pPr>
    </w:p>
    <w:p w14:paraId="3C2A94EB" w14:textId="77777777" w:rsidR="00743AE6" w:rsidRDefault="005A3D7D" w:rsidP="000A093B">
      <w:pPr>
        <w:keepNext/>
        <w:numPr>
          <w:ilvl w:val="12"/>
          <w:numId w:val="0"/>
        </w:numPr>
        <w:spacing w:line="240" w:lineRule="auto"/>
        <w:ind w:right="-2"/>
        <w:rPr>
          <w:b/>
        </w:rPr>
      </w:pPr>
      <w:r w:rsidRPr="007B0741">
        <w:rPr>
          <w:b/>
        </w:rPr>
        <w:t>Use in children</w:t>
      </w:r>
    </w:p>
    <w:p w14:paraId="489FC254" w14:textId="77777777" w:rsidR="00987822" w:rsidRPr="007B0741" w:rsidRDefault="00987822" w:rsidP="000A093B">
      <w:pPr>
        <w:keepNext/>
        <w:numPr>
          <w:ilvl w:val="12"/>
          <w:numId w:val="0"/>
        </w:numPr>
        <w:spacing w:line="240" w:lineRule="auto"/>
        <w:ind w:right="-2"/>
        <w:rPr>
          <w:b/>
        </w:rPr>
      </w:pPr>
    </w:p>
    <w:p w14:paraId="33EEEAE1" w14:textId="77777777" w:rsidR="00743AE6" w:rsidRDefault="005A3D7D" w:rsidP="000A093B">
      <w:pPr>
        <w:keepNext/>
        <w:numPr>
          <w:ilvl w:val="12"/>
          <w:numId w:val="0"/>
        </w:numPr>
        <w:spacing w:line="240" w:lineRule="auto"/>
        <w:ind w:right="-2"/>
      </w:pPr>
      <w:r>
        <w:t xml:space="preserve">Other forms of this medicine </w:t>
      </w:r>
      <w:r w:rsidR="008D632A">
        <w:t xml:space="preserve">(granules in sachet) </w:t>
      </w:r>
      <w:r>
        <w:t>are more suitable for children under 6</w:t>
      </w:r>
      <w:r w:rsidR="008D632A">
        <w:t> </w:t>
      </w:r>
      <w:r>
        <w:t>years of age; ask your doctor or pharmacist.</w:t>
      </w:r>
    </w:p>
    <w:p w14:paraId="6FB595D3" w14:textId="77777777" w:rsidR="00743AE6" w:rsidRPr="003F1CB4" w:rsidRDefault="00743AE6" w:rsidP="00743AE6">
      <w:pPr>
        <w:numPr>
          <w:ilvl w:val="12"/>
          <w:numId w:val="0"/>
        </w:numPr>
        <w:spacing w:line="240" w:lineRule="auto"/>
        <w:ind w:right="-2"/>
      </w:pPr>
    </w:p>
    <w:p w14:paraId="2441A28F" w14:textId="359D3596" w:rsidR="00761650" w:rsidRDefault="005A3D7D" w:rsidP="002B5107">
      <w:pPr>
        <w:numPr>
          <w:ilvl w:val="12"/>
          <w:numId w:val="0"/>
        </w:numPr>
        <w:spacing w:line="240" w:lineRule="auto"/>
        <w:ind w:right="-2"/>
      </w:pPr>
      <w:r>
        <w:t>This medicine</w:t>
      </w:r>
      <w:r w:rsidRPr="003F1CB4">
        <w:t xml:space="preserve"> </w:t>
      </w:r>
      <w:r w:rsidR="009B1867" w:rsidRPr="003F1CB4">
        <w:t>is for oral use.</w:t>
      </w:r>
      <w:r w:rsidR="00743AE6">
        <w:t xml:space="preserve"> </w:t>
      </w:r>
    </w:p>
    <w:p w14:paraId="050618CD" w14:textId="77777777" w:rsidR="005C386D" w:rsidRDefault="005C386D" w:rsidP="002B5107">
      <w:pPr>
        <w:numPr>
          <w:ilvl w:val="12"/>
          <w:numId w:val="0"/>
        </w:numPr>
        <w:spacing w:line="240" w:lineRule="auto"/>
        <w:ind w:right="-2"/>
      </w:pPr>
    </w:p>
    <w:p w14:paraId="55F22393" w14:textId="77777777" w:rsidR="00F976E8" w:rsidRPr="00A808AC" w:rsidRDefault="005A3D7D" w:rsidP="002B5107">
      <w:pPr>
        <w:numPr>
          <w:ilvl w:val="12"/>
          <w:numId w:val="0"/>
        </w:numPr>
        <w:spacing w:line="240" w:lineRule="auto"/>
        <w:ind w:right="-2"/>
        <w:rPr>
          <w:lang w:val="en-US"/>
        </w:rPr>
      </w:pPr>
      <w:r w:rsidRPr="00A808AC">
        <w:t>Swa</w:t>
      </w:r>
      <w:r w:rsidRPr="00A808AC">
        <w:t>llow the tablet whole.</w:t>
      </w:r>
      <w:r w:rsidR="00477DE3" w:rsidRPr="00A808AC">
        <w:t xml:space="preserve"> Do not break, chew or dissolve the tablets.</w:t>
      </w:r>
      <w:r w:rsidR="00743AE6">
        <w:t xml:space="preserve"> </w:t>
      </w:r>
      <w:r w:rsidR="00743AE6" w:rsidRPr="00743AE6">
        <w:t xml:space="preserve">Take Kalydeco tablets with </w:t>
      </w:r>
      <w:r w:rsidR="00FB3FA0">
        <w:t>food that contains fat</w:t>
      </w:r>
      <w:r w:rsidR="00743AE6" w:rsidRPr="00743AE6">
        <w:t>.</w:t>
      </w:r>
    </w:p>
    <w:p w14:paraId="454B9399" w14:textId="77777777" w:rsidR="00F976E8" w:rsidRPr="00A808AC" w:rsidRDefault="00F976E8" w:rsidP="002B5107">
      <w:pPr>
        <w:numPr>
          <w:ilvl w:val="12"/>
          <w:numId w:val="0"/>
        </w:numPr>
        <w:spacing w:line="240" w:lineRule="auto"/>
        <w:ind w:right="-2"/>
      </w:pPr>
    </w:p>
    <w:p w14:paraId="7F6A1C36" w14:textId="77777777" w:rsidR="0089678A" w:rsidRPr="00A808AC" w:rsidRDefault="005A3D7D" w:rsidP="00864757">
      <w:pPr>
        <w:spacing w:line="240" w:lineRule="auto"/>
      </w:pPr>
      <w:r>
        <w:t>M</w:t>
      </w:r>
      <w:r w:rsidR="00EA039D" w:rsidRPr="00A808AC">
        <w:t xml:space="preserve">eals or snacks that contain fat </w:t>
      </w:r>
      <w:r>
        <w:t>include</w:t>
      </w:r>
      <w:r w:rsidRPr="00A808AC">
        <w:t xml:space="preserve"> </w:t>
      </w:r>
      <w:r w:rsidR="00EA039D" w:rsidRPr="00A808AC">
        <w:t xml:space="preserve">those prepared with butter or oils or those containing eggs. </w:t>
      </w:r>
      <w:r w:rsidR="008A70C2" w:rsidRPr="00A808AC">
        <w:t>O</w:t>
      </w:r>
      <w:r w:rsidR="00EA039D" w:rsidRPr="00A808AC">
        <w:t>ther fat-containing foods</w:t>
      </w:r>
      <w:r w:rsidR="008A70C2" w:rsidRPr="00A808AC">
        <w:t xml:space="preserve"> are</w:t>
      </w:r>
      <w:r w:rsidR="00EA039D" w:rsidRPr="00A808AC">
        <w:t>:</w:t>
      </w:r>
    </w:p>
    <w:p w14:paraId="24C93656" w14:textId="77777777" w:rsidR="00F976E8" w:rsidRPr="00D34757" w:rsidRDefault="005A3D7D" w:rsidP="000A093B">
      <w:pPr>
        <w:numPr>
          <w:ilvl w:val="0"/>
          <w:numId w:val="14"/>
        </w:numPr>
        <w:tabs>
          <w:tab w:val="clear" w:pos="567"/>
        </w:tabs>
        <w:spacing w:line="240" w:lineRule="auto"/>
        <w:ind w:left="567"/>
        <w:rPr>
          <w:rFonts w:eastAsia="MS Mincho"/>
        </w:rPr>
      </w:pPr>
      <w:r w:rsidRPr="00D34757">
        <w:rPr>
          <w:rFonts w:eastAsia="MS Mincho"/>
        </w:rPr>
        <w:t>Cheese, whole milk, whole</w:t>
      </w:r>
      <w:r w:rsidR="00AB05F1" w:rsidRPr="00D34757">
        <w:rPr>
          <w:rFonts w:eastAsia="MS Mincho"/>
        </w:rPr>
        <w:t>-</w:t>
      </w:r>
      <w:r w:rsidRPr="00D34757">
        <w:rPr>
          <w:rFonts w:eastAsia="MS Mincho"/>
        </w:rPr>
        <w:t>milk dairy products, yogurt, chocolate</w:t>
      </w:r>
    </w:p>
    <w:p w14:paraId="56363850" w14:textId="77777777" w:rsidR="00F976E8" w:rsidRPr="00D34757" w:rsidRDefault="005A3D7D" w:rsidP="000A093B">
      <w:pPr>
        <w:numPr>
          <w:ilvl w:val="0"/>
          <w:numId w:val="14"/>
        </w:numPr>
        <w:tabs>
          <w:tab w:val="clear" w:pos="567"/>
        </w:tabs>
        <w:spacing w:line="240" w:lineRule="auto"/>
        <w:ind w:left="567"/>
        <w:rPr>
          <w:rFonts w:eastAsia="MS Mincho"/>
        </w:rPr>
      </w:pPr>
      <w:r w:rsidRPr="00D34757">
        <w:rPr>
          <w:rFonts w:eastAsia="MS Mincho"/>
        </w:rPr>
        <w:t>Meats, oily fish</w:t>
      </w:r>
    </w:p>
    <w:p w14:paraId="791B424E" w14:textId="77777777" w:rsidR="00F976E8" w:rsidRPr="00D34757" w:rsidRDefault="005A3D7D" w:rsidP="000A093B">
      <w:pPr>
        <w:numPr>
          <w:ilvl w:val="0"/>
          <w:numId w:val="14"/>
        </w:numPr>
        <w:tabs>
          <w:tab w:val="clear" w:pos="567"/>
        </w:tabs>
        <w:spacing w:line="240" w:lineRule="auto"/>
        <w:ind w:left="567"/>
        <w:rPr>
          <w:rFonts w:eastAsia="MS Mincho"/>
        </w:rPr>
      </w:pPr>
      <w:r w:rsidRPr="00D34757">
        <w:rPr>
          <w:rFonts w:eastAsia="MS Mincho"/>
        </w:rPr>
        <w:t>Avocados, hummus, soy</w:t>
      </w:r>
      <w:r w:rsidR="00911ACC" w:rsidRPr="00D34757">
        <w:rPr>
          <w:rFonts w:eastAsia="MS Mincho"/>
        </w:rPr>
        <w:t>-</w:t>
      </w:r>
      <w:r w:rsidRPr="00D34757">
        <w:rPr>
          <w:rFonts w:eastAsia="MS Mincho"/>
        </w:rPr>
        <w:t>based product</w:t>
      </w:r>
      <w:r w:rsidR="000A4186" w:rsidRPr="00D34757">
        <w:rPr>
          <w:rFonts w:eastAsia="MS Mincho"/>
        </w:rPr>
        <w:t>s</w:t>
      </w:r>
      <w:r w:rsidRPr="00D34757">
        <w:rPr>
          <w:rFonts w:eastAsia="MS Mincho"/>
        </w:rPr>
        <w:t xml:space="preserve"> (tofu)</w:t>
      </w:r>
    </w:p>
    <w:p w14:paraId="25CBA419" w14:textId="77777777" w:rsidR="00F976E8" w:rsidRPr="00D34757" w:rsidRDefault="005A3D7D" w:rsidP="000A093B">
      <w:pPr>
        <w:numPr>
          <w:ilvl w:val="0"/>
          <w:numId w:val="14"/>
        </w:numPr>
        <w:tabs>
          <w:tab w:val="clear" w:pos="567"/>
        </w:tabs>
        <w:spacing w:line="240" w:lineRule="auto"/>
        <w:ind w:left="567"/>
        <w:rPr>
          <w:rFonts w:eastAsia="MS Mincho"/>
        </w:rPr>
      </w:pPr>
      <w:r w:rsidRPr="00D34757">
        <w:rPr>
          <w:rFonts w:eastAsia="MS Mincho"/>
        </w:rPr>
        <w:t>Nuts, fat-containing nutritional bars</w:t>
      </w:r>
      <w:r w:rsidRPr="00D34757">
        <w:rPr>
          <w:rFonts w:eastAsia="MS Mincho"/>
        </w:rPr>
        <w:t xml:space="preserve"> or drinks</w:t>
      </w:r>
    </w:p>
    <w:p w14:paraId="10630D01" w14:textId="77777777" w:rsidR="00F976E8" w:rsidRPr="00A808AC" w:rsidRDefault="00F976E8" w:rsidP="002B5107">
      <w:pPr>
        <w:tabs>
          <w:tab w:val="clear" w:pos="567"/>
        </w:tabs>
        <w:spacing w:line="240" w:lineRule="auto"/>
        <w:ind w:right="-2"/>
        <w:rPr>
          <w:rFonts w:eastAsia="Times New Roman"/>
          <w:sz w:val="24"/>
          <w:szCs w:val="24"/>
          <w:lang w:eastAsia="es-ES"/>
        </w:rPr>
      </w:pPr>
    </w:p>
    <w:p w14:paraId="42F6A280" w14:textId="77777777" w:rsidR="00F976E8" w:rsidRDefault="005A3D7D" w:rsidP="00A0798C">
      <w:pPr>
        <w:keepNext/>
        <w:numPr>
          <w:ilvl w:val="12"/>
          <w:numId w:val="0"/>
        </w:numPr>
        <w:tabs>
          <w:tab w:val="clear" w:pos="567"/>
        </w:tabs>
        <w:spacing w:line="240" w:lineRule="auto"/>
        <w:outlineLvl w:val="0"/>
        <w:rPr>
          <w:b/>
          <w:bCs/>
        </w:rPr>
      </w:pPr>
      <w:r w:rsidRPr="00A808AC">
        <w:rPr>
          <w:b/>
          <w:bCs/>
        </w:rPr>
        <w:t>If you take more Kalydeco than you should</w:t>
      </w:r>
    </w:p>
    <w:p w14:paraId="0AC4D8C0" w14:textId="77777777" w:rsidR="00987822" w:rsidRPr="00A808AC" w:rsidRDefault="00987822" w:rsidP="0069106A">
      <w:pPr>
        <w:keepNext/>
        <w:numPr>
          <w:ilvl w:val="12"/>
          <w:numId w:val="0"/>
        </w:numPr>
        <w:tabs>
          <w:tab w:val="clear" w:pos="567"/>
        </w:tabs>
        <w:spacing w:line="240" w:lineRule="auto"/>
        <w:outlineLvl w:val="0"/>
      </w:pPr>
    </w:p>
    <w:p w14:paraId="3CBC05D5" w14:textId="77777777" w:rsidR="00F976E8" w:rsidRPr="00A808AC" w:rsidRDefault="005A3D7D" w:rsidP="000A093B">
      <w:pPr>
        <w:keepNext/>
        <w:numPr>
          <w:ilvl w:val="12"/>
          <w:numId w:val="0"/>
        </w:numPr>
        <w:spacing w:line="240" w:lineRule="auto"/>
        <w:ind w:right="-2"/>
        <w:outlineLvl w:val="0"/>
      </w:pPr>
      <w:r w:rsidRPr="00A808AC">
        <w:t>You may experience side effects, including those mentioned in section 4 below. If so, contact your doctor or pharmacist to ask for advice. If possible, have your medicine and this leaflet with you.</w:t>
      </w:r>
    </w:p>
    <w:p w14:paraId="14388C2E" w14:textId="77777777" w:rsidR="00F976E8" w:rsidRPr="00A808AC" w:rsidRDefault="00F976E8" w:rsidP="00B02282">
      <w:pPr>
        <w:numPr>
          <w:ilvl w:val="12"/>
          <w:numId w:val="0"/>
        </w:numPr>
        <w:tabs>
          <w:tab w:val="clear" w:pos="567"/>
        </w:tabs>
        <w:spacing w:line="240" w:lineRule="auto"/>
        <w:ind w:right="-2"/>
        <w:outlineLvl w:val="0"/>
        <w:rPr>
          <w:iCs/>
        </w:rPr>
      </w:pPr>
    </w:p>
    <w:p w14:paraId="58668558" w14:textId="77777777" w:rsidR="00F976E8" w:rsidRDefault="005A3D7D" w:rsidP="00A0798C">
      <w:pPr>
        <w:keepNext/>
        <w:numPr>
          <w:ilvl w:val="12"/>
          <w:numId w:val="0"/>
        </w:numPr>
        <w:tabs>
          <w:tab w:val="clear" w:pos="567"/>
        </w:tabs>
        <w:spacing w:line="240" w:lineRule="auto"/>
        <w:ind w:right="-2"/>
        <w:outlineLvl w:val="0"/>
        <w:rPr>
          <w:b/>
          <w:bCs/>
        </w:rPr>
      </w:pPr>
      <w:r w:rsidRPr="00A808AC">
        <w:rPr>
          <w:b/>
          <w:bCs/>
        </w:rPr>
        <w:t>If you forget to take Kalydeco</w:t>
      </w:r>
    </w:p>
    <w:p w14:paraId="7016697E" w14:textId="77777777" w:rsidR="00987822" w:rsidRPr="00A808AC" w:rsidRDefault="00987822" w:rsidP="0069106A">
      <w:pPr>
        <w:keepNext/>
        <w:numPr>
          <w:ilvl w:val="12"/>
          <w:numId w:val="0"/>
        </w:numPr>
        <w:tabs>
          <w:tab w:val="clear" w:pos="567"/>
        </w:tabs>
        <w:spacing w:line="240" w:lineRule="auto"/>
        <w:ind w:right="-2"/>
        <w:outlineLvl w:val="0"/>
      </w:pPr>
    </w:p>
    <w:p w14:paraId="26D9EF86" w14:textId="77777777" w:rsidR="00F976E8" w:rsidRPr="00A808AC" w:rsidRDefault="005A3D7D" w:rsidP="000A093B">
      <w:pPr>
        <w:keepNext/>
        <w:spacing w:line="240" w:lineRule="auto"/>
      </w:pPr>
      <w:r w:rsidRPr="00A808AC">
        <w:t>Take the missed dose if less than 6 hours have passed since the time you missed the dose. Otherwise, wait until your next scheduled dose as you normally would. Do not take a double dose to make up for a forgotten dose.</w:t>
      </w:r>
    </w:p>
    <w:p w14:paraId="11C6BF20" w14:textId="77777777" w:rsidR="00F976E8" w:rsidRPr="00A808AC" w:rsidRDefault="00F976E8" w:rsidP="00B02282">
      <w:pPr>
        <w:numPr>
          <w:ilvl w:val="12"/>
          <w:numId w:val="0"/>
        </w:numPr>
        <w:tabs>
          <w:tab w:val="clear" w:pos="567"/>
        </w:tabs>
        <w:spacing w:line="240" w:lineRule="auto"/>
        <w:ind w:right="-2"/>
      </w:pPr>
    </w:p>
    <w:p w14:paraId="109EE121" w14:textId="77777777" w:rsidR="00F976E8" w:rsidRDefault="005A3D7D" w:rsidP="000A093B">
      <w:pPr>
        <w:keepNext/>
        <w:numPr>
          <w:ilvl w:val="12"/>
          <w:numId w:val="0"/>
        </w:numPr>
        <w:tabs>
          <w:tab w:val="clear" w:pos="567"/>
        </w:tabs>
        <w:spacing w:line="240" w:lineRule="auto"/>
        <w:ind w:right="-2"/>
        <w:outlineLvl w:val="0"/>
        <w:rPr>
          <w:b/>
          <w:bCs/>
        </w:rPr>
      </w:pPr>
      <w:r w:rsidRPr="00A808AC">
        <w:rPr>
          <w:b/>
          <w:bCs/>
        </w:rPr>
        <w:t>If y</w:t>
      </w:r>
      <w:r w:rsidRPr="00A808AC">
        <w:rPr>
          <w:b/>
          <w:bCs/>
        </w:rPr>
        <w:t>ou stop taking Kalydeco</w:t>
      </w:r>
    </w:p>
    <w:p w14:paraId="3A2F72CD" w14:textId="77777777" w:rsidR="00987822" w:rsidRPr="00A808AC" w:rsidRDefault="00987822" w:rsidP="000A093B">
      <w:pPr>
        <w:keepNext/>
        <w:numPr>
          <w:ilvl w:val="12"/>
          <w:numId w:val="0"/>
        </w:numPr>
        <w:tabs>
          <w:tab w:val="clear" w:pos="567"/>
        </w:tabs>
        <w:spacing w:line="240" w:lineRule="auto"/>
        <w:ind w:right="-2"/>
        <w:outlineLvl w:val="0"/>
        <w:rPr>
          <w:b/>
          <w:bCs/>
        </w:rPr>
      </w:pPr>
    </w:p>
    <w:p w14:paraId="4953E4B6" w14:textId="77777777" w:rsidR="00F976E8" w:rsidRPr="00A808AC" w:rsidRDefault="005A3D7D" w:rsidP="000A093B">
      <w:pPr>
        <w:keepNext/>
        <w:numPr>
          <w:ilvl w:val="12"/>
          <w:numId w:val="0"/>
        </w:numPr>
        <w:tabs>
          <w:tab w:val="clear" w:pos="567"/>
        </w:tabs>
        <w:spacing w:line="240" w:lineRule="auto"/>
        <w:ind w:right="-2"/>
        <w:outlineLvl w:val="0"/>
      </w:pPr>
      <w:r w:rsidRPr="00A808AC">
        <w:t xml:space="preserve">Take Kalydeco for as long as your doctor recommends. </w:t>
      </w:r>
      <w:r w:rsidR="00F31259" w:rsidRPr="00A808AC">
        <w:t xml:space="preserve">Do not </w:t>
      </w:r>
      <w:r w:rsidRPr="00A808AC">
        <w:t xml:space="preserve">stop unless your doctor advises you to. </w:t>
      </w:r>
      <w:r w:rsidR="00EA039D" w:rsidRPr="00A808AC">
        <w:t>If you have any further questions on the use of this medicine, ask your doctor or pharmacist.</w:t>
      </w:r>
    </w:p>
    <w:p w14:paraId="3279E379" w14:textId="77777777" w:rsidR="00100BC6" w:rsidRPr="00864757" w:rsidRDefault="00100BC6" w:rsidP="00B02282">
      <w:pPr>
        <w:numPr>
          <w:ilvl w:val="12"/>
          <w:numId w:val="0"/>
        </w:numPr>
        <w:tabs>
          <w:tab w:val="clear" w:pos="567"/>
        </w:tabs>
        <w:spacing w:line="240" w:lineRule="auto"/>
        <w:ind w:right="-2"/>
        <w:outlineLvl w:val="0"/>
        <w:rPr>
          <w:color w:val="000000"/>
        </w:rPr>
      </w:pPr>
    </w:p>
    <w:p w14:paraId="09186C22" w14:textId="77777777" w:rsidR="006F3A56" w:rsidRPr="00864757" w:rsidRDefault="006F3A56" w:rsidP="00B02282">
      <w:pPr>
        <w:numPr>
          <w:ilvl w:val="12"/>
          <w:numId w:val="0"/>
        </w:numPr>
        <w:tabs>
          <w:tab w:val="clear" w:pos="567"/>
        </w:tabs>
        <w:spacing w:line="240" w:lineRule="auto"/>
        <w:ind w:right="-2"/>
        <w:outlineLvl w:val="0"/>
        <w:rPr>
          <w:color w:val="000000"/>
        </w:rPr>
      </w:pPr>
    </w:p>
    <w:p w14:paraId="08F8F94B" w14:textId="77777777" w:rsidR="00F976E8" w:rsidRPr="00A808AC" w:rsidRDefault="005A3D7D" w:rsidP="000A093B">
      <w:pPr>
        <w:keepNext/>
        <w:numPr>
          <w:ilvl w:val="12"/>
          <w:numId w:val="0"/>
        </w:numPr>
        <w:tabs>
          <w:tab w:val="clear" w:pos="567"/>
        </w:tabs>
        <w:spacing w:line="240" w:lineRule="auto"/>
        <w:ind w:right="-2"/>
      </w:pPr>
      <w:bookmarkStart w:id="11" w:name="_Hlk45322707"/>
      <w:r w:rsidRPr="00A808AC">
        <w:rPr>
          <w:b/>
          <w:bCs/>
        </w:rPr>
        <w:t>4.</w:t>
      </w:r>
      <w:r w:rsidRPr="00A808AC">
        <w:rPr>
          <w:b/>
          <w:bCs/>
        </w:rPr>
        <w:tab/>
        <w:t>Possible side effects</w:t>
      </w:r>
    </w:p>
    <w:p w14:paraId="52807AC7" w14:textId="77777777" w:rsidR="00F976E8" w:rsidRPr="00A808AC" w:rsidRDefault="00F976E8" w:rsidP="000A093B">
      <w:pPr>
        <w:keepNext/>
        <w:numPr>
          <w:ilvl w:val="12"/>
          <w:numId w:val="0"/>
        </w:numPr>
        <w:tabs>
          <w:tab w:val="clear" w:pos="567"/>
        </w:tabs>
        <w:spacing w:line="240" w:lineRule="auto"/>
      </w:pPr>
    </w:p>
    <w:p w14:paraId="25F2F78A" w14:textId="77777777" w:rsidR="007A267A" w:rsidRPr="00A808AC" w:rsidRDefault="005A3D7D" w:rsidP="000A093B">
      <w:pPr>
        <w:keepNext/>
        <w:numPr>
          <w:ilvl w:val="12"/>
          <w:numId w:val="0"/>
        </w:numPr>
        <w:tabs>
          <w:tab w:val="clear" w:pos="567"/>
        </w:tabs>
        <w:spacing w:line="240" w:lineRule="auto"/>
        <w:ind w:right="-29"/>
        <w:rPr>
          <w:lang w:val="en-US"/>
        </w:rPr>
      </w:pPr>
      <w:r w:rsidRPr="00A808AC">
        <w:t xml:space="preserve">Like </w:t>
      </w:r>
      <w:r w:rsidRPr="00A808AC">
        <w:t>all medicines, this medicine can cause side effects, although not everybody gets them.</w:t>
      </w:r>
    </w:p>
    <w:p w14:paraId="750F3B67" w14:textId="77777777" w:rsidR="00F976E8" w:rsidRPr="00A808AC" w:rsidRDefault="00F976E8" w:rsidP="00883001">
      <w:pPr>
        <w:numPr>
          <w:ilvl w:val="12"/>
          <w:numId w:val="0"/>
        </w:numPr>
        <w:tabs>
          <w:tab w:val="clear" w:pos="567"/>
        </w:tabs>
        <w:spacing w:line="240" w:lineRule="auto"/>
        <w:ind w:right="-29"/>
      </w:pPr>
    </w:p>
    <w:p w14:paraId="6466C930" w14:textId="64E61E5D" w:rsidR="003278C8" w:rsidRDefault="005A3D7D" w:rsidP="00B54C58">
      <w:pPr>
        <w:keepNext/>
        <w:numPr>
          <w:ilvl w:val="12"/>
          <w:numId w:val="0"/>
        </w:numPr>
        <w:tabs>
          <w:tab w:val="clear" w:pos="567"/>
        </w:tabs>
        <w:spacing w:line="240" w:lineRule="auto"/>
        <w:ind w:right="-29"/>
        <w:rPr>
          <w:b/>
          <w:bCs/>
        </w:rPr>
      </w:pPr>
      <w:r w:rsidRPr="000A093B">
        <w:rPr>
          <w:b/>
        </w:rPr>
        <w:t>Serious side effects</w:t>
      </w:r>
      <w:r w:rsidR="007A267A" w:rsidRPr="000A093B">
        <w:rPr>
          <w:b/>
        </w:rPr>
        <w:t xml:space="preserve"> </w:t>
      </w:r>
    </w:p>
    <w:p w14:paraId="5641307F" w14:textId="77777777" w:rsidR="00987822" w:rsidRPr="00A4646D" w:rsidRDefault="00987822" w:rsidP="00B54C58">
      <w:pPr>
        <w:keepNext/>
        <w:numPr>
          <w:ilvl w:val="12"/>
          <w:numId w:val="0"/>
        </w:numPr>
        <w:tabs>
          <w:tab w:val="clear" w:pos="567"/>
        </w:tabs>
        <w:spacing w:line="240" w:lineRule="auto"/>
        <w:ind w:right="-29"/>
        <w:rPr>
          <w:b/>
          <w:bCs/>
        </w:rPr>
      </w:pPr>
    </w:p>
    <w:p w14:paraId="1DEE4DDB" w14:textId="6B27D131" w:rsidR="003278C8" w:rsidRDefault="005A3D7D" w:rsidP="00B54C58">
      <w:pPr>
        <w:keepNext/>
        <w:numPr>
          <w:ilvl w:val="12"/>
          <w:numId w:val="0"/>
        </w:numPr>
        <w:tabs>
          <w:tab w:val="clear" w:pos="567"/>
        </w:tabs>
        <w:spacing w:line="240" w:lineRule="auto"/>
        <w:ind w:right="-29"/>
      </w:pPr>
      <w:r>
        <w:t>S</w:t>
      </w:r>
      <w:r w:rsidRPr="00A808AC">
        <w:t xml:space="preserve">tomach (abdominal) ache and </w:t>
      </w:r>
      <w:r w:rsidR="00582EFB" w:rsidRPr="00A808AC">
        <w:t>increased liver enzymes in the blood</w:t>
      </w:r>
      <w:r w:rsidRPr="00A808AC">
        <w:t xml:space="preserve">. </w:t>
      </w:r>
    </w:p>
    <w:p w14:paraId="5A2D9C9B" w14:textId="77777777" w:rsidR="003278C8" w:rsidRDefault="003278C8" w:rsidP="00883001">
      <w:pPr>
        <w:numPr>
          <w:ilvl w:val="12"/>
          <w:numId w:val="0"/>
        </w:numPr>
        <w:tabs>
          <w:tab w:val="clear" w:pos="567"/>
        </w:tabs>
        <w:spacing w:line="240" w:lineRule="auto"/>
        <w:ind w:right="-29"/>
      </w:pPr>
    </w:p>
    <w:p w14:paraId="22DDBC2E" w14:textId="77777777" w:rsidR="003278C8" w:rsidRPr="00A4646D" w:rsidRDefault="005A3D7D" w:rsidP="00B54C58">
      <w:pPr>
        <w:keepNext/>
        <w:numPr>
          <w:ilvl w:val="12"/>
          <w:numId w:val="0"/>
        </w:numPr>
        <w:tabs>
          <w:tab w:val="clear" w:pos="567"/>
        </w:tabs>
        <w:spacing w:line="240" w:lineRule="auto"/>
        <w:ind w:right="-29"/>
        <w:rPr>
          <w:b/>
          <w:bCs/>
        </w:rPr>
      </w:pPr>
      <w:r w:rsidRPr="00A4646D">
        <w:rPr>
          <w:b/>
          <w:bCs/>
        </w:rPr>
        <w:t>Possible signs of liver problems</w:t>
      </w:r>
    </w:p>
    <w:p w14:paraId="2F88EA55" w14:textId="77777777" w:rsidR="003278C8" w:rsidRDefault="005A3D7D" w:rsidP="00B54C58">
      <w:pPr>
        <w:keepNext/>
        <w:suppressLineNumbers/>
        <w:tabs>
          <w:tab w:val="clear" w:pos="567"/>
        </w:tabs>
        <w:spacing w:line="240" w:lineRule="auto"/>
      </w:pPr>
      <w:r>
        <w:t xml:space="preserve">Increased liver enzymes in the blood are common in patients with CF. These may be signs of liver problems: </w:t>
      </w:r>
    </w:p>
    <w:p w14:paraId="32928C81" w14:textId="77777777" w:rsidR="003278C8" w:rsidRDefault="005A3D7D" w:rsidP="00095957">
      <w:pPr>
        <w:numPr>
          <w:ilvl w:val="0"/>
          <w:numId w:val="31"/>
        </w:numPr>
        <w:suppressLineNumbers/>
        <w:tabs>
          <w:tab w:val="clear" w:pos="360"/>
          <w:tab w:val="clear" w:pos="567"/>
        </w:tabs>
        <w:spacing w:line="240" w:lineRule="auto"/>
        <w:ind w:left="567"/>
      </w:pPr>
      <w:r>
        <w:t>Pain or discomfort in the upper right area of the stomach (abdominal) area</w:t>
      </w:r>
    </w:p>
    <w:p w14:paraId="3B251199" w14:textId="77777777" w:rsidR="003278C8" w:rsidRDefault="005A3D7D" w:rsidP="00095957">
      <w:pPr>
        <w:numPr>
          <w:ilvl w:val="0"/>
          <w:numId w:val="31"/>
        </w:numPr>
        <w:suppressLineNumbers/>
        <w:tabs>
          <w:tab w:val="clear" w:pos="360"/>
          <w:tab w:val="clear" w:pos="567"/>
        </w:tabs>
        <w:spacing w:line="240" w:lineRule="auto"/>
        <w:ind w:left="567"/>
      </w:pPr>
      <w:r>
        <w:t>Yellowing of the skin or white part of the eyes</w:t>
      </w:r>
    </w:p>
    <w:p w14:paraId="1820E12B" w14:textId="77777777" w:rsidR="003278C8" w:rsidRDefault="005A3D7D" w:rsidP="00095957">
      <w:pPr>
        <w:numPr>
          <w:ilvl w:val="0"/>
          <w:numId w:val="31"/>
        </w:numPr>
        <w:suppressLineNumbers/>
        <w:tabs>
          <w:tab w:val="clear" w:pos="360"/>
          <w:tab w:val="clear" w:pos="567"/>
        </w:tabs>
        <w:spacing w:line="240" w:lineRule="auto"/>
        <w:ind w:left="567"/>
      </w:pPr>
      <w:r>
        <w:t>Loss of appetite</w:t>
      </w:r>
    </w:p>
    <w:p w14:paraId="406AE625" w14:textId="77777777" w:rsidR="003278C8" w:rsidRDefault="005A3D7D" w:rsidP="00095957">
      <w:pPr>
        <w:numPr>
          <w:ilvl w:val="0"/>
          <w:numId w:val="31"/>
        </w:numPr>
        <w:suppressLineNumbers/>
        <w:tabs>
          <w:tab w:val="clear" w:pos="360"/>
          <w:tab w:val="clear" w:pos="567"/>
        </w:tabs>
        <w:spacing w:line="240" w:lineRule="auto"/>
        <w:ind w:left="567"/>
      </w:pPr>
      <w:r>
        <w:t>Nausea o</w:t>
      </w:r>
      <w:r>
        <w:t>r vomiting</w:t>
      </w:r>
    </w:p>
    <w:p w14:paraId="600BE3C5" w14:textId="77777777" w:rsidR="003278C8" w:rsidRDefault="005A3D7D" w:rsidP="00095957">
      <w:pPr>
        <w:numPr>
          <w:ilvl w:val="0"/>
          <w:numId w:val="31"/>
        </w:numPr>
        <w:suppressLineNumbers/>
        <w:tabs>
          <w:tab w:val="clear" w:pos="360"/>
          <w:tab w:val="clear" w:pos="567"/>
        </w:tabs>
        <w:spacing w:line="240" w:lineRule="auto"/>
        <w:ind w:left="567"/>
      </w:pPr>
      <w:r>
        <w:t>Dark urine</w:t>
      </w:r>
    </w:p>
    <w:p w14:paraId="432DDD99" w14:textId="77777777" w:rsidR="003278C8" w:rsidRDefault="003278C8" w:rsidP="00883001">
      <w:pPr>
        <w:numPr>
          <w:ilvl w:val="12"/>
          <w:numId w:val="0"/>
        </w:numPr>
        <w:tabs>
          <w:tab w:val="clear" w:pos="567"/>
        </w:tabs>
        <w:spacing w:line="240" w:lineRule="auto"/>
        <w:ind w:right="-29"/>
      </w:pPr>
    </w:p>
    <w:p w14:paraId="519B1909" w14:textId="77777777" w:rsidR="00F976E8" w:rsidRPr="00A808AC" w:rsidRDefault="005A3D7D" w:rsidP="00883001">
      <w:pPr>
        <w:numPr>
          <w:ilvl w:val="12"/>
          <w:numId w:val="0"/>
        </w:numPr>
        <w:tabs>
          <w:tab w:val="clear" w:pos="567"/>
        </w:tabs>
        <w:spacing w:line="240" w:lineRule="auto"/>
        <w:ind w:right="-29"/>
      </w:pPr>
      <w:r w:rsidRPr="00A4646D">
        <w:rPr>
          <w:b/>
          <w:bCs/>
        </w:rPr>
        <w:t>Tell</w:t>
      </w:r>
      <w:r w:rsidRPr="000A093B">
        <w:rPr>
          <w:b/>
        </w:rPr>
        <w:t xml:space="preserve"> </w:t>
      </w:r>
      <w:r w:rsidR="008A70C2" w:rsidRPr="000A093B">
        <w:rPr>
          <w:b/>
        </w:rPr>
        <w:t xml:space="preserve">your doctor </w:t>
      </w:r>
      <w:r w:rsidR="00F31259" w:rsidRPr="000A093B">
        <w:rPr>
          <w:b/>
        </w:rPr>
        <w:t xml:space="preserve">straight </w:t>
      </w:r>
      <w:r w:rsidR="0007362F" w:rsidRPr="000A093B">
        <w:rPr>
          <w:b/>
        </w:rPr>
        <w:t>away</w:t>
      </w:r>
      <w:r w:rsidR="0007362F" w:rsidRPr="00A808AC">
        <w:t xml:space="preserve"> </w:t>
      </w:r>
      <w:r w:rsidR="008A70C2" w:rsidRPr="00A808AC">
        <w:t>if you</w:t>
      </w:r>
      <w:r w:rsidR="0063202D" w:rsidRPr="00A808AC">
        <w:t xml:space="preserve"> </w:t>
      </w:r>
      <w:r w:rsidR="00582EFB" w:rsidRPr="00A808AC">
        <w:t xml:space="preserve">get any of </w:t>
      </w:r>
      <w:r w:rsidR="00DE00B1" w:rsidRPr="00A808AC">
        <w:t>these</w:t>
      </w:r>
      <w:r w:rsidR="008A70C2" w:rsidRPr="00A808AC">
        <w:t>.</w:t>
      </w:r>
    </w:p>
    <w:p w14:paraId="461C6209" w14:textId="77777777" w:rsidR="00F976E8" w:rsidRPr="00A808AC" w:rsidRDefault="00F976E8" w:rsidP="00883001">
      <w:pPr>
        <w:numPr>
          <w:ilvl w:val="12"/>
          <w:numId w:val="0"/>
        </w:numPr>
        <w:tabs>
          <w:tab w:val="clear" w:pos="567"/>
        </w:tabs>
        <w:spacing w:line="240" w:lineRule="auto"/>
        <w:ind w:right="-29"/>
      </w:pPr>
    </w:p>
    <w:p w14:paraId="49E9BF19" w14:textId="77777777" w:rsidR="00F976E8" w:rsidRPr="00A808AC" w:rsidRDefault="005A3D7D" w:rsidP="00883001">
      <w:pPr>
        <w:keepNext/>
        <w:spacing w:line="240" w:lineRule="auto"/>
      </w:pPr>
      <w:r w:rsidRPr="00A808AC">
        <w:rPr>
          <w:b/>
          <w:bCs/>
        </w:rPr>
        <w:t>Very common</w:t>
      </w:r>
      <w:r w:rsidRPr="00A808AC">
        <w:t xml:space="preserve"> side effects (may affect more than 1 in 10 people)</w:t>
      </w:r>
    </w:p>
    <w:p w14:paraId="2754F508" w14:textId="77777777" w:rsidR="00F976E8" w:rsidRPr="00A808AC" w:rsidRDefault="005A3D7D" w:rsidP="000A093B">
      <w:pPr>
        <w:numPr>
          <w:ilvl w:val="0"/>
          <w:numId w:val="31"/>
        </w:numPr>
        <w:suppressLineNumbers/>
        <w:tabs>
          <w:tab w:val="clear" w:pos="360"/>
          <w:tab w:val="clear" w:pos="567"/>
        </w:tabs>
        <w:spacing w:line="240" w:lineRule="auto"/>
        <w:ind w:left="567"/>
      </w:pPr>
      <w:r w:rsidRPr="00A808AC">
        <w:t>Upper respiratory tract infection (the common cold), including sore throat and nasal congestion</w:t>
      </w:r>
    </w:p>
    <w:p w14:paraId="0148EA4F" w14:textId="77777777" w:rsidR="00F976E8" w:rsidRPr="00A808AC" w:rsidRDefault="005A3D7D" w:rsidP="000A093B">
      <w:pPr>
        <w:numPr>
          <w:ilvl w:val="0"/>
          <w:numId w:val="31"/>
        </w:numPr>
        <w:tabs>
          <w:tab w:val="clear" w:pos="360"/>
          <w:tab w:val="clear" w:pos="567"/>
        </w:tabs>
        <w:spacing w:line="240" w:lineRule="auto"/>
        <w:ind w:left="567"/>
      </w:pPr>
      <w:r w:rsidRPr="00A808AC">
        <w:t>Headache</w:t>
      </w:r>
    </w:p>
    <w:p w14:paraId="6551873A" w14:textId="77777777" w:rsidR="00F976E8" w:rsidRPr="00A808AC" w:rsidRDefault="005A3D7D" w:rsidP="000A093B">
      <w:pPr>
        <w:numPr>
          <w:ilvl w:val="0"/>
          <w:numId w:val="31"/>
        </w:numPr>
        <w:tabs>
          <w:tab w:val="clear" w:pos="360"/>
          <w:tab w:val="clear" w:pos="567"/>
        </w:tabs>
        <w:spacing w:line="240" w:lineRule="auto"/>
        <w:ind w:left="567"/>
      </w:pPr>
      <w:r w:rsidRPr="00A808AC">
        <w:t>Dizziness</w:t>
      </w:r>
    </w:p>
    <w:p w14:paraId="03BDB48F" w14:textId="77777777" w:rsidR="00F976E8" w:rsidRDefault="005A3D7D" w:rsidP="000A093B">
      <w:pPr>
        <w:numPr>
          <w:ilvl w:val="0"/>
          <w:numId w:val="31"/>
        </w:numPr>
        <w:tabs>
          <w:tab w:val="clear" w:pos="360"/>
          <w:tab w:val="clear" w:pos="567"/>
        </w:tabs>
        <w:spacing w:line="240" w:lineRule="auto"/>
        <w:ind w:left="567"/>
      </w:pPr>
      <w:r w:rsidRPr="00A808AC">
        <w:t>Diarrhoea</w:t>
      </w:r>
    </w:p>
    <w:p w14:paraId="1FC493E3" w14:textId="77777777" w:rsidR="00B75DDB" w:rsidRPr="00A808AC" w:rsidRDefault="005A3D7D" w:rsidP="00095957">
      <w:pPr>
        <w:numPr>
          <w:ilvl w:val="0"/>
          <w:numId w:val="31"/>
        </w:numPr>
        <w:tabs>
          <w:tab w:val="clear" w:pos="360"/>
          <w:tab w:val="clear" w:pos="567"/>
        </w:tabs>
        <w:spacing w:line="240" w:lineRule="auto"/>
        <w:ind w:left="567"/>
      </w:pPr>
      <w:r>
        <w:t>Stomach or abdominal pain</w:t>
      </w:r>
    </w:p>
    <w:p w14:paraId="536A3F4F" w14:textId="77777777" w:rsidR="007A267A" w:rsidRDefault="005A3D7D" w:rsidP="000A093B">
      <w:pPr>
        <w:numPr>
          <w:ilvl w:val="0"/>
          <w:numId w:val="31"/>
        </w:numPr>
        <w:tabs>
          <w:tab w:val="clear" w:pos="360"/>
          <w:tab w:val="clear" w:pos="567"/>
        </w:tabs>
        <w:spacing w:line="240" w:lineRule="auto"/>
        <w:ind w:left="567"/>
        <w:rPr>
          <w:noProof/>
        </w:rPr>
      </w:pPr>
      <w:r w:rsidRPr="00A808AC">
        <w:rPr>
          <w:noProof/>
        </w:rPr>
        <w:t>Changes in the type of bacteria in mucus</w:t>
      </w:r>
    </w:p>
    <w:p w14:paraId="2E0B9D5B" w14:textId="77777777" w:rsidR="0070608A" w:rsidRPr="00A808AC" w:rsidRDefault="005A3D7D" w:rsidP="00095957">
      <w:pPr>
        <w:numPr>
          <w:ilvl w:val="0"/>
          <w:numId w:val="31"/>
        </w:numPr>
        <w:tabs>
          <w:tab w:val="clear" w:pos="360"/>
          <w:tab w:val="clear" w:pos="567"/>
        </w:tabs>
        <w:spacing w:line="240" w:lineRule="auto"/>
        <w:ind w:left="567"/>
        <w:rPr>
          <w:noProof/>
        </w:rPr>
      </w:pPr>
      <w:r>
        <w:rPr>
          <w:noProof/>
        </w:rPr>
        <w:t>Increased liver enzymes (signs of stress on the liver)</w:t>
      </w:r>
    </w:p>
    <w:p w14:paraId="0EA075DE" w14:textId="77777777" w:rsidR="003278C8" w:rsidRPr="00A808AC" w:rsidRDefault="005A3D7D" w:rsidP="00095957">
      <w:pPr>
        <w:numPr>
          <w:ilvl w:val="0"/>
          <w:numId w:val="31"/>
        </w:numPr>
        <w:tabs>
          <w:tab w:val="clear" w:pos="360"/>
          <w:tab w:val="clear" w:pos="567"/>
        </w:tabs>
        <w:spacing w:line="240" w:lineRule="auto"/>
        <w:ind w:left="567"/>
      </w:pPr>
      <w:r w:rsidRPr="00A808AC">
        <w:t>Rash</w:t>
      </w:r>
      <w:r>
        <w:t xml:space="preserve"> </w:t>
      </w:r>
    </w:p>
    <w:p w14:paraId="3CD675E7" w14:textId="77777777" w:rsidR="00F976E8" w:rsidRPr="00A808AC" w:rsidRDefault="00F976E8" w:rsidP="00883001">
      <w:pPr>
        <w:spacing w:line="240" w:lineRule="auto"/>
        <w:rPr>
          <w:b/>
          <w:bCs/>
        </w:rPr>
      </w:pPr>
    </w:p>
    <w:p w14:paraId="0A75F7DD" w14:textId="77777777" w:rsidR="00F976E8" w:rsidRPr="00A808AC" w:rsidRDefault="005A3D7D" w:rsidP="00883001">
      <w:pPr>
        <w:spacing w:line="240" w:lineRule="auto"/>
      </w:pPr>
      <w:r w:rsidRPr="00A808AC">
        <w:rPr>
          <w:b/>
          <w:bCs/>
        </w:rPr>
        <w:t>Common</w:t>
      </w:r>
      <w:r w:rsidRPr="00A808AC">
        <w:t xml:space="preserve"> side effects (may affect up to 1 in 10 people)</w:t>
      </w:r>
    </w:p>
    <w:p w14:paraId="6AB27DB3" w14:textId="77777777" w:rsidR="00F976E8" w:rsidRPr="003F1CB4" w:rsidRDefault="005A3D7D" w:rsidP="000A093B">
      <w:pPr>
        <w:numPr>
          <w:ilvl w:val="0"/>
          <w:numId w:val="32"/>
        </w:numPr>
        <w:tabs>
          <w:tab w:val="clear" w:pos="360"/>
          <w:tab w:val="clear" w:pos="567"/>
        </w:tabs>
        <w:spacing w:line="240" w:lineRule="auto"/>
        <w:ind w:left="567"/>
      </w:pPr>
      <w:r w:rsidRPr="003F1CB4">
        <w:t>Runny nose</w:t>
      </w:r>
    </w:p>
    <w:p w14:paraId="5C8D2081" w14:textId="77777777" w:rsidR="00F976E8" w:rsidRPr="003F1CB4" w:rsidRDefault="005A3D7D" w:rsidP="000A093B">
      <w:pPr>
        <w:numPr>
          <w:ilvl w:val="0"/>
          <w:numId w:val="32"/>
        </w:numPr>
        <w:tabs>
          <w:tab w:val="clear" w:pos="360"/>
          <w:tab w:val="clear" w:pos="567"/>
        </w:tabs>
        <w:spacing w:line="240" w:lineRule="auto"/>
        <w:ind w:left="567"/>
      </w:pPr>
      <w:r w:rsidRPr="003F1CB4">
        <w:t>Ear pain</w:t>
      </w:r>
      <w:r w:rsidR="007A267A" w:rsidRPr="003F1CB4">
        <w:t>, ear discomfort</w:t>
      </w:r>
    </w:p>
    <w:p w14:paraId="2D24E4F5" w14:textId="77777777" w:rsidR="00F976E8" w:rsidRPr="003F1CB4" w:rsidRDefault="005A3D7D" w:rsidP="000A093B">
      <w:pPr>
        <w:numPr>
          <w:ilvl w:val="0"/>
          <w:numId w:val="32"/>
        </w:numPr>
        <w:tabs>
          <w:tab w:val="clear" w:pos="360"/>
          <w:tab w:val="clear" w:pos="567"/>
        </w:tabs>
        <w:spacing w:line="240" w:lineRule="auto"/>
        <w:ind w:left="567"/>
      </w:pPr>
      <w:r w:rsidRPr="003F1CB4">
        <w:t xml:space="preserve">Ringing in the </w:t>
      </w:r>
      <w:r w:rsidRPr="003F1CB4">
        <w:t>ears</w:t>
      </w:r>
    </w:p>
    <w:p w14:paraId="7B705AA6" w14:textId="77777777" w:rsidR="002B53FA" w:rsidRDefault="005A3D7D" w:rsidP="000A093B">
      <w:pPr>
        <w:numPr>
          <w:ilvl w:val="0"/>
          <w:numId w:val="32"/>
        </w:numPr>
        <w:tabs>
          <w:tab w:val="clear" w:pos="360"/>
          <w:tab w:val="clear" w:pos="567"/>
        </w:tabs>
        <w:spacing w:line="240" w:lineRule="auto"/>
        <w:ind w:left="567"/>
      </w:pPr>
      <w:r w:rsidRPr="003F1CB4">
        <w:t>Redness inside the ear</w:t>
      </w:r>
    </w:p>
    <w:p w14:paraId="205295BB" w14:textId="77777777" w:rsidR="002B53FA" w:rsidRPr="00D34757" w:rsidRDefault="005A3D7D" w:rsidP="000A093B">
      <w:pPr>
        <w:numPr>
          <w:ilvl w:val="0"/>
          <w:numId w:val="32"/>
        </w:numPr>
        <w:tabs>
          <w:tab w:val="clear" w:pos="360"/>
          <w:tab w:val="clear" w:pos="567"/>
        </w:tabs>
        <w:spacing w:line="240" w:lineRule="auto"/>
        <w:ind w:left="567"/>
      </w:pPr>
      <w:r w:rsidRPr="00D34757">
        <w:t>Inner ear disorder (</w:t>
      </w:r>
      <w:r w:rsidRPr="00D34757">
        <w:rPr>
          <w:rFonts w:eastAsia="Times New Roman"/>
        </w:rPr>
        <w:t>feeling dizzy or spinning</w:t>
      </w:r>
      <w:r w:rsidRPr="00D34757">
        <w:t>)</w:t>
      </w:r>
    </w:p>
    <w:p w14:paraId="1B46F17D" w14:textId="77777777" w:rsidR="00C90251" w:rsidRPr="003F1CB4" w:rsidRDefault="005A3D7D" w:rsidP="000A093B">
      <w:pPr>
        <w:numPr>
          <w:ilvl w:val="0"/>
          <w:numId w:val="32"/>
        </w:numPr>
        <w:tabs>
          <w:tab w:val="clear" w:pos="360"/>
          <w:tab w:val="clear" w:pos="567"/>
        </w:tabs>
        <w:spacing w:line="240" w:lineRule="auto"/>
        <w:ind w:left="567"/>
      </w:pPr>
      <w:r>
        <w:t>Sinus problems (s</w:t>
      </w:r>
      <w:r w:rsidRPr="003F1CB4">
        <w:t>inus congestion</w:t>
      </w:r>
      <w:r>
        <w:t>)</w:t>
      </w:r>
    </w:p>
    <w:p w14:paraId="0BAB17FD" w14:textId="77777777" w:rsidR="00F976E8" w:rsidRPr="003F1CB4" w:rsidRDefault="005A3D7D" w:rsidP="000A093B">
      <w:pPr>
        <w:numPr>
          <w:ilvl w:val="0"/>
          <w:numId w:val="32"/>
        </w:numPr>
        <w:tabs>
          <w:tab w:val="clear" w:pos="360"/>
          <w:tab w:val="clear" w:pos="567"/>
        </w:tabs>
        <w:spacing w:line="240" w:lineRule="auto"/>
        <w:ind w:left="567"/>
      </w:pPr>
      <w:r w:rsidRPr="003F1CB4">
        <w:t xml:space="preserve">Redness </w:t>
      </w:r>
      <w:r w:rsidR="009E1718" w:rsidRPr="003F1CB4">
        <w:t>in the throat</w:t>
      </w:r>
    </w:p>
    <w:p w14:paraId="3DC3F4A4" w14:textId="77777777" w:rsidR="00F976E8" w:rsidRDefault="005A3D7D" w:rsidP="000A093B">
      <w:pPr>
        <w:numPr>
          <w:ilvl w:val="0"/>
          <w:numId w:val="32"/>
        </w:numPr>
        <w:tabs>
          <w:tab w:val="clear" w:pos="360"/>
          <w:tab w:val="clear" w:pos="567"/>
        </w:tabs>
        <w:spacing w:line="240" w:lineRule="auto"/>
        <w:ind w:left="567"/>
      </w:pPr>
      <w:r w:rsidRPr="003F1CB4">
        <w:t>Breast mass</w:t>
      </w:r>
    </w:p>
    <w:p w14:paraId="218D061B" w14:textId="77777777" w:rsidR="009309B6" w:rsidRDefault="005A3D7D" w:rsidP="000A093B">
      <w:pPr>
        <w:numPr>
          <w:ilvl w:val="0"/>
          <w:numId w:val="32"/>
        </w:numPr>
        <w:tabs>
          <w:tab w:val="clear" w:pos="360"/>
          <w:tab w:val="clear" w:pos="567"/>
        </w:tabs>
        <w:spacing w:line="240" w:lineRule="auto"/>
        <w:ind w:left="567"/>
      </w:pPr>
      <w:r>
        <w:t>Feeling sick (nausea)</w:t>
      </w:r>
    </w:p>
    <w:p w14:paraId="3A2FFB12" w14:textId="77777777" w:rsidR="005B3EA5" w:rsidRDefault="005A3D7D" w:rsidP="00095957">
      <w:pPr>
        <w:numPr>
          <w:ilvl w:val="0"/>
          <w:numId w:val="32"/>
        </w:numPr>
        <w:tabs>
          <w:tab w:val="clear" w:pos="360"/>
          <w:tab w:val="clear" w:pos="567"/>
        </w:tabs>
        <w:spacing w:line="240" w:lineRule="auto"/>
        <w:ind w:left="567"/>
      </w:pPr>
      <w:r>
        <w:t>Flu</w:t>
      </w:r>
    </w:p>
    <w:p w14:paraId="5DBFC365" w14:textId="77777777" w:rsidR="005B3EA5" w:rsidRDefault="005A3D7D" w:rsidP="00095957">
      <w:pPr>
        <w:numPr>
          <w:ilvl w:val="0"/>
          <w:numId w:val="32"/>
        </w:numPr>
        <w:tabs>
          <w:tab w:val="clear" w:pos="360"/>
          <w:tab w:val="clear" w:pos="567"/>
        </w:tabs>
        <w:spacing w:line="240" w:lineRule="auto"/>
        <w:ind w:left="567"/>
      </w:pPr>
      <w:r>
        <w:t>Low blood sugar (hypoglycaemia)</w:t>
      </w:r>
    </w:p>
    <w:p w14:paraId="20B7DC13" w14:textId="77777777" w:rsidR="005B3EA5" w:rsidRDefault="005A3D7D" w:rsidP="00095957">
      <w:pPr>
        <w:numPr>
          <w:ilvl w:val="0"/>
          <w:numId w:val="32"/>
        </w:numPr>
        <w:tabs>
          <w:tab w:val="clear" w:pos="360"/>
          <w:tab w:val="clear" w:pos="567"/>
        </w:tabs>
        <w:spacing w:line="240" w:lineRule="auto"/>
        <w:ind w:left="567"/>
      </w:pPr>
      <w:r>
        <w:t xml:space="preserve">Abnormal breathing (shortness of breath or </w:t>
      </w:r>
      <w:r>
        <w:t>difficulty breathing)</w:t>
      </w:r>
    </w:p>
    <w:p w14:paraId="48828B56" w14:textId="77777777" w:rsidR="005B3EA5" w:rsidRDefault="005A3D7D" w:rsidP="00095957">
      <w:pPr>
        <w:numPr>
          <w:ilvl w:val="0"/>
          <w:numId w:val="32"/>
        </w:numPr>
        <w:tabs>
          <w:tab w:val="clear" w:pos="360"/>
          <w:tab w:val="clear" w:pos="567"/>
        </w:tabs>
        <w:spacing w:line="240" w:lineRule="auto"/>
        <w:ind w:left="567"/>
      </w:pPr>
      <w:r>
        <w:t>Wind (flatulence)</w:t>
      </w:r>
    </w:p>
    <w:p w14:paraId="53283231" w14:textId="77777777" w:rsidR="00CF5EDD" w:rsidRDefault="005A3D7D" w:rsidP="00095957">
      <w:pPr>
        <w:numPr>
          <w:ilvl w:val="0"/>
          <w:numId w:val="32"/>
        </w:numPr>
        <w:tabs>
          <w:tab w:val="clear" w:pos="360"/>
          <w:tab w:val="clear" w:pos="567"/>
        </w:tabs>
        <w:spacing w:line="240" w:lineRule="auto"/>
        <w:ind w:left="567"/>
      </w:pPr>
      <w:r>
        <w:t>Spots (acne)</w:t>
      </w:r>
    </w:p>
    <w:p w14:paraId="481A545F" w14:textId="77777777" w:rsidR="00CF5EDD" w:rsidRDefault="005A3D7D" w:rsidP="00095957">
      <w:pPr>
        <w:numPr>
          <w:ilvl w:val="0"/>
          <w:numId w:val="32"/>
        </w:numPr>
        <w:tabs>
          <w:tab w:val="clear" w:pos="360"/>
          <w:tab w:val="clear" w:pos="567"/>
        </w:tabs>
        <w:spacing w:line="240" w:lineRule="auto"/>
        <w:ind w:left="567"/>
      </w:pPr>
      <w:r>
        <w:t>Itchy skin</w:t>
      </w:r>
      <w:r w:rsidRPr="00CF5EDD">
        <w:t xml:space="preserve"> </w:t>
      </w:r>
    </w:p>
    <w:p w14:paraId="3523A0CC" w14:textId="77777777" w:rsidR="00E5020A" w:rsidRPr="003F1CB4" w:rsidRDefault="005A3D7D" w:rsidP="00095957">
      <w:pPr>
        <w:numPr>
          <w:ilvl w:val="0"/>
          <w:numId w:val="32"/>
        </w:numPr>
        <w:tabs>
          <w:tab w:val="clear" w:pos="360"/>
          <w:tab w:val="clear" w:pos="567"/>
        </w:tabs>
        <w:spacing w:line="240" w:lineRule="auto"/>
        <w:ind w:left="567"/>
      </w:pPr>
      <w:r>
        <w:t>I</w:t>
      </w:r>
      <w:r w:rsidR="009B1867">
        <w:t>ncreased creatine phosphokinase</w:t>
      </w:r>
      <w:r>
        <w:t xml:space="preserve"> (sign of muscle breakdown) seen in blood tests</w:t>
      </w:r>
    </w:p>
    <w:p w14:paraId="32DC753F" w14:textId="77777777" w:rsidR="00F976E8" w:rsidRPr="003F1CB4" w:rsidRDefault="00F976E8" w:rsidP="00883001">
      <w:pPr>
        <w:tabs>
          <w:tab w:val="clear" w:pos="567"/>
        </w:tabs>
        <w:spacing w:line="240" w:lineRule="auto"/>
      </w:pPr>
    </w:p>
    <w:p w14:paraId="4E8AC222" w14:textId="77777777" w:rsidR="00F976E8" w:rsidRPr="003F1CB4" w:rsidRDefault="005A3D7D" w:rsidP="00883001">
      <w:pPr>
        <w:tabs>
          <w:tab w:val="clear" w:pos="567"/>
        </w:tabs>
        <w:spacing w:line="240" w:lineRule="auto"/>
      </w:pPr>
      <w:r w:rsidRPr="003F1CB4">
        <w:rPr>
          <w:b/>
        </w:rPr>
        <w:t>Uncommon</w:t>
      </w:r>
      <w:r w:rsidRPr="003F1CB4">
        <w:t xml:space="preserve"> side effects (may affect up to 1 in 100 people)</w:t>
      </w:r>
    </w:p>
    <w:p w14:paraId="3C4680CC" w14:textId="77777777" w:rsidR="00F976E8" w:rsidRPr="003F1CB4" w:rsidRDefault="005A3D7D" w:rsidP="000A093B">
      <w:pPr>
        <w:numPr>
          <w:ilvl w:val="0"/>
          <w:numId w:val="33"/>
        </w:numPr>
        <w:tabs>
          <w:tab w:val="clear" w:pos="360"/>
          <w:tab w:val="clear" w:pos="567"/>
        </w:tabs>
        <w:spacing w:line="240" w:lineRule="auto"/>
        <w:ind w:left="567"/>
      </w:pPr>
      <w:r w:rsidRPr="003F1CB4">
        <w:t>Ear congestion</w:t>
      </w:r>
    </w:p>
    <w:p w14:paraId="77C7E1E8" w14:textId="77777777" w:rsidR="00F976E8" w:rsidRPr="003F1CB4" w:rsidRDefault="005A3D7D" w:rsidP="000A093B">
      <w:pPr>
        <w:numPr>
          <w:ilvl w:val="0"/>
          <w:numId w:val="33"/>
        </w:numPr>
        <w:tabs>
          <w:tab w:val="clear" w:pos="360"/>
          <w:tab w:val="clear" w:pos="567"/>
        </w:tabs>
        <w:spacing w:line="240" w:lineRule="auto"/>
        <w:ind w:left="567"/>
      </w:pPr>
      <w:r w:rsidRPr="003F1CB4">
        <w:t>Breast inflammation</w:t>
      </w:r>
      <w:r w:rsidR="009E1718" w:rsidRPr="003F1CB4">
        <w:t xml:space="preserve"> </w:t>
      </w:r>
    </w:p>
    <w:p w14:paraId="4A326C47" w14:textId="77777777" w:rsidR="00F976E8" w:rsidRPr="003F1CB4" w:rsidRDefault="005A3D7D" w:rsidP="000A093B">
      <w:pPr>
        <w:numPr>
          <w:ilvl w:val="0"/>
          <w:numId w:val="33"/>
        </w:numPr>
        <w:tabs>
          <w:tab w:val="clear" w:pos="360"/>
          <w:tab w:val="clear" w:pos="567"/>
        </w:tabs>
        <w:spacing w:line="240" w:lineRule="auto"/>
        <w:ind w:left="567"/>
      </w:pPr>
      <w:r w:rsidRPr="003F1CB4">
        <w:t>Enlargement of the breast</w:t>
      </w:r>
      <w:r w:rsidR="002B138E">
        <w:t xml:space="preserve"> in males</w:t>
      </w:r>
    </w:p>
    <w:p w14:paraId="0B70C852" w14:textId="77777777" w:rsidR="00F976E8" w:rsidRDefault="005A3D7D" w:rsidP="000A093B">
      <w:pPr>
        <w:numPr>
          <w:ilvl w:val="0"/>
          <w:numId w:val="33"/>
        </w:numPr>
        <w:tabs>
          <w:tab w:val="clear" w:pos="360"/>
          <w:tab w:val="clear" w:pos="567"/>
        </w:tabs>
        <w:spacing w:line="240" w:lineRule="auto"/>
        <w:ind w:left="567"/>
      </w:pPr>
      <w:r w:rsidRPr="003F1CB4">
        <w:t>Nipple changes or pain</w:t>
      </w:r>
    </w:p>
    <w:p w14:paraId="00C1B42E" w14:textId="77777777" w:rsidR="000D6771" w:rsidRPr="003F1CB4" w:rsidRDefault="005A3D7D" w:rsidP="00095957">
      <w:pPr>
        <w:numPr>
          <w:ilvl w:val="0"/>
          <w:numId w:val="33"/>
        </w:numPr>
        <w:tabs>
          <w:tab w:val="clear" w:pos="360"/>
          <w:tab w:val="clear" w:pos="567"/>
        </w:tabs>
        <w:spacing w:line="240" w:lineRule="auto"/>
        <w:ind w:left="567"/>
      </w:pPr>
      <w:r>
        <w:t>Wheezing</w:t>
      </w:r>
    </w:p>
    <w:p w14:paraId="2229F9A4" w14:textId="77777777" w:rsidR="00854AA0" w:rsidRDefault="005A3D7D" w:rsidP="00854AA0">
      <w:pPr>
        <w:numPr>
          <w:ilvl w:val="0"/>
          <w:numId w:val="32"/>
        </w:numPr>
        <w:tabs>
          <w:tab w:val="clear" w:pos="360"/>
          <w:tab w:val="clear" w:pos="567"/>
        </w:tabs>
        <w:spacing w:line="240" w:lineRule="auto"/>
        <w:ind w:left="567"/>
      </w:pPr>
      <w:r>
        <w:t>Increased blood pressure</w:t>
      </w:r>
    </w:p>
    <w:bookmarkEnd w:id="11"/>
    <w:p w14:paraId="3F5AD382" w14:textId="77777777" w:rsidR="000D6771" w:rsidRPr="00A808AC" w:rsidRDefault="000D6771" w:rsidP="00883001">
      <w:pPr>
        <w:numPr>
          <w:ilvl w:val="12"/>
          <w:numId w:val="0"/>
        </w:numPr>
        <w:spacing w:line="240" w:lineRule="auto"/>
        <w:ind w:right="-2"/>
      </w:pPr>
    </w:p>
    <w:p w14:paraId="1A70F9C8" w14:textId="77777777" w:rsidR="00582EFB" w:rsidRDefault="005A3D7D" w:rsidP="000A093B">
      <w:pPr>
        <w:keepNext/>
        <w:numPr>
          <w:ilvl w:val="12"/>
          <w:numId w:val="0"/>
        </w:numPr>
        <w:spacing w:line="240" w:lineRule="auto"/>
        <w:rPr>
          <w:b/>
        </w:rPr>
      </w:pPr>
      <w:r w:rsidRPr="00A808AC">
        <w:rPr>
          <w:b/>
        </w:rPr>
        <w:t>Additional side effects in children</w:t>
      </w:r>
      <w:r w:rsidR="00743AE6">
        <w:rPr>
          <w:b/>
        </w:rPr>
        <w:t xml:space="preserve"> and adole</w:t>
      </w:r>
      <w:r w:rsidR="00766AA7">
        <w:rPr>
          <w:b/>
        </w:rPr>
        <w:t>s</w:t>
      </w:r>
      <w:r w:rsidR="00743AE6">
        <w:rPr>
          <w:b/>
        </w:rPr>
        <w:t>cents</w:t>
      </w:r>
    </w:p>
    <w:p w14:paraId="7B2B3DD4" w14:textId="77777777" w:rsidR="00987822" w:rsidRPr="00A808AC" w:rsidRDefault="00987822" w:rsidP="000A093B">
      <w:pPr>
        <w:keepNext/>
        <w:numPr>
          <w:ilvl w:val="12"/>
          <w:numId w:val="0"/>
        </w:numPr>
        <w:spacing w:line="240" w:lineRule="auto"/>
        <w:rPr>
          <w:b/>
        </w:rPr>
      </w:pPr>
    </w:p>
    <w:p w14:paraId="44EFD57E" w14:textId="77777777" w:rsidR="00582EFB" w:rsidRPr="000A093B" w:rsidRDefault="005A3D7D" w:rsidP="000A093B">
      <w:pPr>
        <w:keepNext/>
        <w:numPr>
          <w:ilvl w:val="12"/>
          <w:numId w:val="0"/>
        </w:numPr>
        <w:spacing w:line="240" w:lineRule="auto"/>
      </w:pPr>
      <w:r w:rsidRPr="00A808AC">
        <w:t xml:space="preserve">Side effects seen in children </w:t>
      </w:r>
      <w:r w:rsidR="00743AE6">
        <w:t xml:space="preserve">and adolescents </w:t>
      </w:r>
      <w:r w:rsidRPr="00A808AC">
        <w:t>are similar to those observed in adults. However, increased live</w:t>
      </w:r>
      <w:r w:rsidRPr="00A808AC">
        <w:t>r enzymes in the blood are more frequently seen in young children.</w:t>
      </w:r>
    </w:p>
    <w:p w14:paraId="3FDE16C5" w14:textId="77777777" w:rsidR="00DA2F1E" w:rsidRPr="000A093B" w:rsidRDefault="00DA2F1E" w:rsidP="000A093B">
      <w:pPr>
        <w:keepNext/>
        <w:numPr>
          <w:ilvl w:val="12"/>
          <w:numId w:val="0"/>
        </w:numPr>
        <w:spacing w:line="240" w:lineRule="auto"/>
      </w:pPr>
    </w:p>
    <w:p w14:paraId="461C4ECB" w14:textId="77777777" w:rsidR="00F976E8" w:rsidRDefault="005A3D7D" w:rsidP="000A093B">
      <w:pPr>
        <w:keepNext/>
        <w:numPr>
          <w:ilvl w:val="12"/>
          <w:numId w:val="0"/>
        </w:numPr>
        <w:spacing w:line="240" w:lineRule="auto"/>
        <w:ind w:right="-2"/>
        <w:rPr>
          <w:b/>
        </w:rPr>
      </w:pPr>
      <w:r w:rsidRPr="00A808AC">
        <w:rPr>
          <w:b/>
        </w:rPr>
        <w:t>Reporting of side effects</w:t>
      </w:r>
    </w:p>
    <w:p w14:paraId="4707A9AC" w14:textId="77777777" w:rsidR="00987822" w:rsidRPr="00A808AC" w:rsidRDefault="00987822" w:rsidP="000A093B">
      <w:pPr>
        <w:keepNext/>
        <w:numPr>
          <w:ilvl w:val="12"/>
          <w:numId w:val="0"/>
        </w:numPr>
        <w:spacing w:line="240" w:lineRule="auto"/>
        <w:ind w:right="-2"/>
        <w:rPr>
          <w:b/>
        </w:rPr>
      </w:pPr>
    </w:p>
    <w:p w14:paraId="0C0502DB" w14:textId="77777777" w:rsidR="00F976E8" w:rsidRPr="00A808AC" w:rsidRDefault="005A3D7D" w:rsidP="000A093B">
      <w:pPr>
        <w:keepNext/>
        <w:numPr>
          <w:ilvl w:val="12"/>
          <w:numId w:val="0"/>
        </w:numPr>
        <w:spacing w:line="240" w:lineRule="auto"/>
        <w:ind w:right="-2"/>
      </w:pPr>
      <w:r w:rsidRPr="00A808AC">
        <w:t xml:space="preserve">If you get any side effects, talk to your doctor or pharmacist. This includes any possible side effects not listed in this leaflet. You can also report side effects directly via </w:t>
      </w:r>
      <w:r w:rsidRPr="00695508">
        <w:rPr>
          <w:highlight w:val="lightGray"/>
        </w:rPr>
        <w:t xml:space="preserve">the national reporting system listed in </w:t>
      </w:r>
      <w:hyperlink r:id="rId16" w:history="1">
        <w:r w:rsidRPr="00536B68">
          <w:rPr>
            <w:rStyle w:val="Hyperlink"/>
            <w:color w:val="auto"/>
            <w:highlight w:val="lightGray"/>
          </w:rPr>
          <w:t>Appendix V</w:t>
        </w:r>
      </w:hyperlink>
      <w:r w:rsidRPr="00A808AC">
        <w:t>. By reporting side effects you can help provide more information on the safety of this medicine.</w:t>
      </w:r>
    </w:p>
    <w:p w14:paraId="374B3718" w14:textId="77777777" w:rsidR="00F976E8" w:rsidRPr="00A808AC" w:rsidRDefault="00F976E8" w:rsidP="00883001">
      <w:pPr>
        <w:numPr>
          <w:ilvl w:val="12"/>
          <w:numId w:val="0"/>
        </w:numPr>
        <w:tabs>
          <w:tab w:val="clear" w:pos="567"/>
        </w:tabs>
        <w:spacing w:line="240" w:lineRule="auto"/>
        <w:ind w:right="-2"/>
      </w:pPr>
    </w:p>
    <w:p w14:paraId="5B8D5BA6" w14:textId="77777777" w:rsidR="00F976E8" w:rsidRPr="00A808AC" w:rsidRDefault="00F976E8" w:rsidP="00883001">
      <w:pPr>
        <w:numPr>
          <w:ilvl w:val="12"/>
          <w:numId w:val="0"/>
        </w:numPr>
        <w:tabs>
          <w:tab w:val="clear" w:pos="567"/>
        </w:tabs>
        <w:spacing w:line="240" w:lineRule="auto"/>
        <w:ind w:right="-2"/>
      </w:pPr>
    </w:p>
    <w:p w14:paraId="5901D787" w14:textId="77777777" w:rsidR="00F976E8" w:rsidRPr="00A808AC" w:rsidRDefault="005A3D7D" w:rsidP="00A0798C">
      <w:pPr>
        <w:keepNext/>
        <w:numPr>
          <w:ilvl w:val="0"/>
          <w:numId w:val="7"/>
        </w:numPr>
        <w:tabs>
          <w:tab w:val="clear" w:pos="567"/>
        </w:tabs>
        <w:spacing w:line="240" w:lineRule="auto"/>
        <w:ind w:hanging="720"/>
        <w:rPr>
          <w:b/>
          <w:bCs/>
        </w:rPr>
      </w:pPr>
      <w:r w:rsidRPr="00A808AC">
        <w:rPr>
          <w:b/>
          <w:bCs/>
        </w:rPr>
        <w:t>How to store Kalydeco</w:t>
      </w:r>
    </w:p>
    <w:p w14:paraId="36B64949" w14:textId="77777777" w:rsidR="00F976E8" w:rsidRPr="00A808AC" w:rsidRDefault="00F976E8" w:rsidP="000A093B">
      <w:pPr>
        <w:keepNext/>
        <w:tabs>
          <w:tab w:val="clear" w:pos="567"/>
        </w:tabs>
        <w:spacing w:line="240" w:lineRule="auto"/>
        <w:ind w:right="-2"/>
        <w:rPr>
          <w:b/>
          <w:bCs/>
        </w:rPr>
      </w:pPr>
    </w:p>
    <w:p w14:paraId="0A2636EF" w14:textId="77777777" w:rsidR="00F976E8" w:rsidRPr="00A808AC" w:rsidRDefault="005A3D7D" w:rsidP="000A093B">
      <w:pPr>
        <w:keepNext/>
        <w:numPr>
          <w:ilvl w:val="12"/>
          <w:numId w:val="0"/>
        </w:numPr>
        <w:spacing w:line="240" w:lineRule="auto"/>
        <w:ind w:right="-2"/>
      </w:pPr>
      <w:r w:rsidRPr="00A808AC">
        <w:t>Keep this medicine out of the sight and reach of ch</w:t>
      </w:r>
      <w:r w:rsidRPr="00A808AC">
        <w:t>ildren.</w:t>
      </w:r>
    </w:p>
    <w:p w14:paraId="77163840" w14:textId="77777777" w:rsidR="00F976E8" w:rsidRPr="00A808AC" w:rsidRDefault="00F976E8" w:rsidP="00883001">
      <w:pPr>
        <w:numPr>
          <w:ilvl w:val="12"/>
          <w:numId w:val="0"/>
        </w:numPr>
        <w:tabs>
          <w:tab w:val="clear" w:pos="567"/>
        </w:tabs>
        <w:spacing w:line="240" w:lineRule="auto"/>
        <w:ind w:right="-2"/>
      </w:pPr>
    </w:p>
    <w:p w14:paraId="2A78EFC1" w14:textId="77777777" w:rsidR="00F976E8" w:rsidRPr="00A808AC" w:rsidRDefault="005A3D7D" w:rsidP="00883001">
      <w:pPr>
        <w:numPr>
          <w:ilvl w:val="12"/>
          <w:numId w:val="0"/>
        </w:numPr>
        <w:tabs>
          <w:tab w:val="clear" w:pos="567"/>
        </w:tabs>
        <w:spacing w:line="240" w:lineRule="auto"/>
        <w:ind w:right="-2"/>
      </w:pPr>
      <w:r w:rsidRPr="00A808AC">
        <w:t xml:space="preserve">Do not use this medicine after the expiry date </w:t>
      </w:r>
      <w:r w:rsidR="009E1718" w:rsidRPr="00A808AC">
        <w:t xml:space="preserve">which </w:t>
      </w:r>
      <w:r w:rsidRPr="00A808AC">
        <w:t>is stated on the package after EXP. The expiry date refers to the last day of that month.</w:t>
      </w:r>
    </w:p>
    <w:p w14:paraId="7C92865E" w14:textId="77777777" w:rsidR="00F976E8" w:rsidRPr="00A808AC" w:rsidRDefault="00F976E8" w:rsidP="00883001">
      <w:pPr>
        <w:numPr>
          <w:ilvl w:val="12"/>
          <w:numId w:val="0"/>
        </w:numPr>
        <w:tabs>
          <w:tab w:val="clear" w:pos="567"/>
        </w:tabs>
        <w:spacing w:line="240" w:lineRule="auto"/>
        <w:ind w:right="-2"/>
      </w:pPr>
    </w:p>
    <w:p w14:paraId="1C39BA63" w14:textId="77777777" w:rsidR="00EA7D11" w:rsidRPr="00A808AC" w:rsidRDefault="005A3D7D" w:rsidP="00EA7D11">
      <w:pPr>
        <w:spacing w:line="240" w:lineRule="auto"/>
      </w:pPr>
      <w:r>
        <w:t>This medicin</w:t>
      </w:r>
      <w:r w:rsidR="00A12101">
        <w:t>e</w:t>
      </w:r>
      <w:r>
        <w:t xml:space="preserve"> does not require any special storage conditions</w:t>
      </w:r>
      <w:r w:rsidR="00542B9A">
        <w:t>.</w:t>
      </w:r>
    </w:p>
    <w:p w14:paraId="6DB033B7" w14:textId="77777777" w:rsidR="00F976E8" w:rsidRPr="00A808AC" w:rsidRDefault="00F976E8" w:rsidP="00883001">
      <w:pPr>
        <w:numPr>
          <w:ilvl w:val="12"/>
          <w:numId w:val="0"/>
        </w:numPr>
        <w:tabs>
          <w:tab w:val="clear" w:pos="567"/>
        </w:tabs>
        <w:spacing w:line="240" w:lineRule="auto"/>
        <w:ind w:right="-2"/>
      </w:pPr>
    </w:p>
    <w:p w14:paraId="1BBCE5D3" w14:textId="77777777" w:rsidR="00F976E8" w:rsidRPr="00A808AC" w:rsidRDefault="005A3D7D" w:rsidP="00883001">
      <w:pPr>
        <w:numPr>
          <w:ilvl w:val="12"/>
          <w:numId w:val="0"/>
        </w:numPr>
        <w:tabs>
          <w:tab w:val="clear" w:pos="567"/>
        </w:tabs>
        <w:spacing w:line="240" w:lineRule="auto"/>
        <w:ind w:right="-2"/>
        <w:rPr>
          <w:i/>
          <w:iCs/>
        </w:rPr>
      </w:pPr>
      <w:r w:rsidRPr="00A808AC">
        <w:t>Do not throw away any medicines via was</w:t>
      </w:r>
      <w:r w:rsidRPr="00A808AC">
        <w:t>tewater or household waste. Ask your pharmacist how to throw away medicines you no longer use. These measures will help to protect the environment.</w:t>
      </w:r>
    </w:p>
    <w:p w14:paraId="38C98A52" w14:textId="77777777" w:rsidR="00F976E8" w:rsidRPr="00A808AC" w:rsidRDefault="00F976E8" w:rsidP="00883001">
      <w:pPr>
        <w:numPr>
          <w:ilvl w:val="12"/>
          <w:numId w:val="0"/>
        </w:numPr>
        <w:tabs>
          <w:tab w:val="clear" w:pos="567"/>
          <w:tab w:val="left" w:pos="1515"/>
        </w:tabs>
        <w:spacing w:line="240" w:lineRule="auto"/>
        <w:ind w:right="-2"/>
      </w:pPr>
    </w:p>
    <w:p w14:paraId="26CC4E3F" w14:textId="77777777" w:rsidR="00F976E8" w:rsidRPr="00A808AC" w:rsidRDefault="00F976E8" w:rsidP="00883001">
      <w:pPr>
        <w:numPr>
          <w:ilvl w:val="12"/>
          <w:numId w:val="0"/>
        </w:numPr>
        <w:tabs>
          <w:tab w:val="clear" w:pos="567"/>
          <w:tab w:val="left" w:pos="1515"/>
        </w:tabs>
        <w:spacing w:line="240" w:lineRule="auto"/>
        <w:ind w:right="-2"/>
      </w:pPr>
    </w:p>
    <w:p w14:paraId="06E2944B" w14:textId="77777777" w:rsidR="00F976E8" w:rsidRPr="00A808AC" w:rsidRDefault="005A3D7D" w:rsidP="00A0798C">
      <w:pPr>
        <w:keepNext/>
        <w:numPr>
          <w:ilvl w:val="12"/>
          <w:numId w:val="0"/>
        </w:numPr>
        <w:spacing w:line="240" w:lineRule="auto"/>
        <w:rPr>
          <w:b/>
          <w:bCs/>
        </w:rPr>
      </w:pPr>
      <w:r w:rsidRPr="00A808AC">
        <w:rPr>
          <w:b/>
          <w:bCs/>
        </w:rPr>
        <w:t>6.</w:t>
      </w:r>
      <w:r w:rsidRPr="00A808AC">
        <w:rPr>
          <w:b/>
          <w:bCs/>
        </w:rPr>
        <w:tab/>
        <w:t>Contents of the pack and other information</w:t>
      </w:r>
    </w:p>
    <w:p w14:paraId="3D5FA6B6" w14:textId="77777777" w:rsidR="00F976E8" w:rsidRPr="00A808AC" w:rsidRDefault="00F976E8" w:rsidP="000A093B">
      <w:pPr>
        <w:keepNext/>
        <w:numPr>
          <w:ilvl w:val="12"/>
          <w:numId w:val="0"/>
        </w:numPr>
        <w:tabs>
          <w:tab w:val="clear" w:pos="567"/>
        </w:tabs>
        <w:spacing w:line="240" w:lineRule="auto"/>
      </w:pPr>
    </w:p>
    <w:p w14:paraId="198B6711" w14:textId="77777777" w:rsidR="00F976E8" w:rsidRDefault="005A3D7D" w:rsidP="000A093B">
      <w:pPr>
        <w:keepNext/>
        <w:numPr>
          <w:ilvl w:val="12"/>
          <w:numId w:val="0"/>
        </w:numPr>
        <w:tabs>
          <w:tab w:val="clear" w:pos="567"/>
        </w:tabs>
        <w:spacing w:line="240" w:lineRule="auto"/>
        <w:ind w:right="-2"/>
        <w:rPr>
          <w:b/>
          <w:bCs/>
        </w:rPr>
      </w:pPr>
      <w:r w:rsidRPr="00A808AC">
        <w:rPr>
          <w:b/>
          <w:bCs/>
        </w:rPr>
        <w:t>What Kalydeco contains</w:t>
      </w:r>
    </w:p>
    <w:p w14:paraId="13FDAD94" w14:textId="77777777" w:rsidR="00987822" w:rsidRPr="00A808AC" w:rsidRDefault="00987822" w:rsidP="000A093B">
      <w:pPr>
        <w:keepNext/>
        <w:numPr>
          <w:ilvl w:val="12"/>
          <w:numId w:val="0"/>
        </w:numPr>
        <w:tabs>
          <w:tab w:val="clear" w:pos="567"/>
        </w:tabs>
        <w:spacing w:line="240" w:lineRule="auto"/>
        <w:ind w:right="-2"/>
        <w:rPr>
          <w:b/>
          <w:bCs/>
        </w:rPr>
      </w:pPr>
    </w:p>
    <w:p w14:paraId="05F8B54D" w14:textId="77777777" w:rsidR="00F976E8" w:rsidRPr="00A808AC" w:rsidRDefault="005A3D7D" w:rsidP="00A0798C">
      <w:pPr>
        <w:keepNext/>
        <w:tabs>
          <w:tab w:val="clear" w:pos="567"/>
        </w:tabs>
        <w:spacing w:line="240" w:lineRule="auto"/>
        <w:ind w:right="-2"/>
        <w:rPr>
          <w:i/>
          <w:iCs/>
        </w:rPr>
      </w:pPr>
      <w:r w:rsidRPr="00A808AC">
        <w:t xml:space="preserve">The active substance is </w:t>
      </w:r>
      <w:r w:rsidRPr="00A808AC">
        <w:t>ivacaftor. Each film</w:t>
      </w:r>
      <w:r w:rsidRPr="00A808AC">
        <w:noBreakHyphen/>
        <w:t>coated tablet contains 150 mg of ivacaftor.</w:t>
      </w:r>
    </w:p>
    <w:p w14:paraId="314FF6BB" w14:textId="77777777" w:rsidR="00F976E8" w:rsidRPr="00A808AC" w:rsidRDefault="00F976E8" w:rsidP="00883001">
      <w:pPr>
        <w:spacing w:line="240" w:lineRule="auto"/>
        <w:rPr>
          <w:iCs/>
        </w:rPr>
      </w:pPr>
    </w:p>
    <w:p w14:paraId="63B940C5" w14:textId="77777777" w:rsidR="00F976E8" w:rsidRPr="00A808AC" w:rsidRDefault="005A3D7D" w:rsidP="007B0741">
      <w:pPr>
        <w:keepNext/>
        <w:tabs>
          <w:tab w:val="clear" w:pos="567"/>
        </w:tabs>
        <w:spacing w:line="240" w:lineRule="auto"/>
      </w:pPr>
      <w:r w:rsidRPr="00A808AC">
        <w:t>The other ingredients are:</w:t>
      </w:r>
    </w:p>
    <w:p w14:paraId="54F6A16D" w14:textId="77777777" w:rsidR="00F976E8" w:rsidRPr="00A808AC" w:rsidRDefault="005A3D7D" w:rsidP="000A093B">
      <w:pPr>
        <w:numPr>
          <w:ilvl w:val="0"/>
          <w:numId w:val="6"/>
        </w:numPr>
        <w:tabs>
          <w:tab w:val="clear" w:pos="567"/>
          <w:tab w:val="clear" w:pos="1440"/>
        </w:tabs>
        <w:spacing w:line="240" w:lineRule="auto"/>
        <w:ind w:left="567" w:hanging="270"/>
        <w:rPr>
          <w:rFonts w:eastAsia="MS Mincho"/>
          <w:lang w:eastAsia="ja-JP"/>
        </w:rPr>
      </w:pPr>
      <w:r w:rsidRPr="00A808AC">
        <w:rPr>
          <w:rFonts w:eastAsia="MS Mincho"/>
          <w:lang w:eastAsia="ja-JP"/>
        </w:rPr>
        <w:t xml:space="preserve">Tablet core: </w:t>
      </w:r>
      <w:r w:rsidR="009E1718" w:rsidRPr="00A808AC">
        <w:rPr>
          <w:rFonts w:eastAsia="MS Mincho"/>
          <w:lang w:eastAsia="ja-JP"/>
        </w:rPr>
        <w:t>cellulose</w:t>
      </w:r>
      <w:r w:rsidRPr="00A808AC">
        <w:rPr>
          <w:rFonts w:eastAsia="MS Mincho"/>
          <w:lang w:eastAsia="ja-JP"/>
        </w:rPr>
        <w:t xml:space="preserve"> microcrystalline</w:t>
      </w:r>
      <w:r w:rsidR="007E202C" w:rsidRPr="00A808AC">
        <w:rPr>
          <w:rFonts w:eastAsia="MS Mincho"/>
          <w:lang w:eastAsia="ja-JP"/>
        </w:rPr>
        <w:t xml:space="preserve">, </w:t>
      </w:r>
      <w:r w:rsidRPr="00A808AC">
        <w:rPr>
          <w:rFonts w:eastAsia="MS Mincho"/>
          <w:lang w:eastAsia="ja-JP"/>
        </w:rPr>
        <w:t>lactose monohydrate</w:t>
      </w:r>
      <w:r w:rsidR="007E202C" w:rsidRPr="00A808AC">
        <w:rPr>
          <w:rFonts w:eastAsia="MS Mincho"/>
          <w:lang w:eastAsia="ja-JP"/>
        </w:rPr>
        <w:t xml:space="preserve">, </w:t>
      </w:r>
      <w:r w:rsidRPr="00A808AC">
        <w:rPr>
          <w:rFonts w:eastAsia="MS Mincho"/>
          <w:lang w:eastAsia="ja-JP"/>
        </w:rPr>
        <w:t>hypromellose acetate succinate</w:t>
      </w:r>
      <w:r w:rsidR="007E202C" w:rsidRPr="00A808AC">
        <w:rPr>
          <w:rFonts w:eastAsia="MS Mincho"/>
          <w:lang w:eastAsia="ja-JP"/>
        </w:rPr>
        <w:t xml:space="preserve">, </w:t>
      </w:r>
      <w:r w:rsidRPr="00A808AC">
        <w:rPr>
          <w:rFonts w:eastAsia="MS Mincho"/>
          <w:lang w:eastAsia="ja-JP"/>
        </w:rPr>
        <w:t>croscarmellose sodium</w:t>
      </w:r>
      <w:r w:rsidR="007E202C" w:rsidRPr="00A808AC">
        <w:rPr>
          <w:rFonts w:eastAsia="MS Mincho"/>
          <w:lang w:eastAsia="ja-JP"/>
        </w:rPr>
        <w:t xml:space="preserve">, </w:t>
      </w:r>
      <w:r w:rsidRPr="00A808AC">
        <w:rPr>
          <w:rFonts w:eastAsia="MS Mincho"/>
          <w:lang w:eastAsia="ja-JP"/>
        </w:rPr>
        <w:t>sodium laurilsulfate</w:t>
      </w:r>
      <w:r w:rsidR="00743AE6">
        <w:rPr>
          <w:rFonts w:eastAsia="MS Mincho"/>
          <w:lang w:eastAsia="ja-JP"/>
        </w:rPr>
        <w:t xml:space="preserve"> (E487)</w:t>
      </w:r>
      <w:r w:rsidR="007E202C" w:rsidRPr="00A808AC">
        <w:rPr>
          <w:rFonts w:eastAsia="MS Mincho"/>
          <w:lang w:eastAsia="ja-JP"/>
        </w:rPr>
        <w:t xml:space="preserve">, </w:t>
      </w:r>
      <w:r w:rsidR="00434D43">
        <w:rPr>
          <w:rFonts w:eastAsia="MS Mincho"/>
          <w:lang w:eastAsia="ja-JP"/>
        </w:rPr>
        <w:t xml:space="preserve">silica, colloidal anhydrous, </w:t>
      </w:r>
      <w:r w:rsidRPr="00A808AC">
        <w:rPr>
          <w:rFonts w:eastAsia="MS Mincho"/>
          <w:lang w:eastAsia="ja-JP"/>
        </w:rPr>
        <w:t>and magnesium stearate.</w:t>
      </w:r>
    </w:p>
    <w:p w14:paraId="149BC6F7" w14:textId="77777777" w:rsidR="00F976E8" w:rsidRPr="00A808AC" w:rsidRDefault="005A3D7D" w:rsidP="000A093B">
      <w:pPr>
        <w:numPr>
          <w:ilvl w:val="0"/>
          <w:numId w:val="6"/>
        </w:numPr>
        <w:tabs>
          <w:tab w:val="clear" w:pos="567"/>
          <w:tab w:val="clear" w:pos="1440"/>
        </w:tabs>
        <w:spacing w:line="240" w:lineRule="auto"/>
        <w:ind w:left="567" w:hanging="270"/>
        <w:rPr>
          <w:rFonts w:eastAsia="MS Mincho"/>
          <w:lang w:eastAsia="ja-JP"/>
        </w:rPr>
      </w:pPr>
      <w:r w:rsidRPr="00A808AC">
        <w:rPr>
          <w:rFonts w:eastAsia="MS Mincho"/>
          <w:lang w:eastAsia="ja-JP"/>
        </w:rPr>
        <w:t>Coating:</w:t>
      </w:r>
      <w:r w:rsidRPr="00A808AC">
        <w:rPr>
          <w:rFonts w:eastAsia="MS Mincho"/>
          <w:i/>
          <w:iCs/>
          <w:lang w:eastAsia="ja-JP"/>
        </w:rPr>
        <w:t xml:space="preserve"> </w:t>
      </w:r>
      <w:r w:rsidR="007E202C" w:rsidRPr="00A808AC">
        <w:rPr>
          <w:rFonts w:eastAsia="MS Mincho"/>
          <w:lang w:eastAsia="ja-JP"/>
        </w:rPr>
        <w:t xml:space="preserve">polyvinyl </w:t>
      </w:r>
      <w:r w:rsidRPr="00A808AC">
        <w:rPr>
          <w:rFonts w:eastAsia="MS Mincho"/>
          <w:lang w:eastAsia="ja-JP"/>
        </w:rPr>
        <w:t>alcohol, titanium dioxide</w:t>
      </w:r>
      <w:r w:rsidR="007E202C" w:rsidRPr="00A808AC">
        <w:rPr>
          <w:rFonts w:eastAsia="MS Mincho"/>
          <w:lang w:eastAsia="ja-JP"/>
        </w:rPr>
        <w:t xml:space="preserve"> (E171)</w:t>
      </w:r>
      <w:r w:rsidRPr="00A808AC">
        <w:rPr>
          <w:rFonts w:eastAsia="MS Mincho"/>
          <w:lang w:eastAsia="ja-JP"/>
        </w:rPr>
        <w:t>, macrogol</w:t>
      </w:r>
      <w:r w:rsidR="000A4186" w:rsidRPr="00A808AC">
        <w:rPr>
          <w:rFonts w:eastAsia="MS Mincho"/>
          <w:lang w:eastAsia="ja-JP"/>
        </w:rPr>
        <w:t xml:space="preserve"> (PEG 3350)</w:t>
      </w:r>
      <w:r w:rsidRPr="00A808AC">
        <w:rPr>
          <w:rFonts w:eastAsia="MS Mincho"/>
          <w:lang w:eastAsia="ja-JP"/>
        </w:rPr>
        <w:t>, talc, indigo carmine aluminium lake</w:t>
      </w:r>
      <w:r w:rsidR="007E202C" w:rsidRPr="00A808AC">
        <w:rPr>
          <w:rFonts w:eastAsia="MS Mincho"/>
          <w:lang w:eastAsia="ja-JP"/>
        </w:rPr>
        <w:t xml:space="preserve"> (E132)</w:t>
      </w:r>
      <w:r w:rsidRPr="00A808AC">
        <w:rPr>
          <w:rFonts w:eastAsia="MS Mincho"/>
          <w:lang w:eastAsia="ja-JP"/>
        </w:rPr>
        <w:t xml:space="preserve"> and carnauba wax.</w:t>
      </w:r>
    </w:p>
    <w:p w14:paraId="372CA894" w14:textId="77777777" w:rsidR="00F976E8" w:rsidRPr="00A808AC" w:rsidRDefault="005A3D7D" w:rsidP="000A093B">
      <w:pPr>
        <w:numPr>
          <w:ilvl w:val="0"/>
          <w:numId w:val="6"/>
        </w:numPr>
        <w:tabs>
          <w:tab w:val="clear" w:pos="567"/>
          <w:tab w:val="clear" w:pos="1440"/>
        </w:tabs>
        <w:spacing w:line="240" w:lineRule="auto"/>
        <w:ind w:left="567" w:hanging="270"/>
      </w:pPr>
      <w:r w:rsidRPr="00A808AC">
        <w:t xml:space="preserve">Printing ink: </w:t>
      </w:r>
      <w:r w:rsidR="007E202C" w:rsidRPr="00A808AC">
        <w:rPr>
          <w:rFonts w:eastAsia="MS Mincho"/>
          <w:lang w:eastAsia="ja-JP"/>
        </w:rPr>
        <w:t>shellac</w:t>
      </w:r>
      <w:r w:rsidRPr="00A808AC">
        <w:rPr>
          <w:rFonts w:eastAsia="MS Mincho"/>
          <w:lang w:eastAsia="ja-JP"/>
        </w:rPr>
        <w:t>, iron oxide black</w:t>
      </w:r>
      <w:r w:rsidR="007E202C" w:rsidRPr="00A808AC">
        <w:rPr>
          <w:rFonts w:eastAsia="MS Mincho"/>
          <w:lang w:eastAsia="ja-JP"/>
        </w:rPr>
        <w:t xml:space="preserve"> (E172)</w:t>
      </w:r>
      <w:r w:rsidRPr="00A808AC">
        <w:rPr>
          <w:rFonts w:eastAsia="MS Mincho"/>
          <w:lang w:eastAsia="ja-JP"/>
        </w:rPr>
        <w:t xml:space="preserve">, propylene glycol </w:t>
      </w:r>
      <w:r w:rsidR="00743AE6">
        <w:rPr>
          <w:rFonts w:eastAsia="MS Mincho"/>
          <w:lang w:eastAsia="ja-JP"/>
        </w:rPr>
        <w:t>(E1520)</w:t>
      </w:r>
      <w:r w:rsidR="00743AE6" w:rsidRPr="00E3668F">
        <w:rPr>
          <w:rFonts w:eastAsia="MS Mincho"/>
          <w:lang w:eastAsia="ja-JP"/>
        </w:rPr>
        <w:t xml:space="preserve"> </w:t>
      </w:r>
      <w:r w:rsidRPr="00A808AC">
        <w:rPr>
          <w:rFonts w:eastAsia="MS Mincho"/>
          <w:lang w:eastAsia="ja-JP"/>
        </w:rPr>
        <w:t>and ammoni</w:t>
      </w:r>
      <w:r w:rsidR="000A5696">
        <w:rPr>
          <w:rFonts w:eastAsia="MS Mincho"/>
          <w:lang w:eastAsia="ja-JP"/>
        </w:rPr>
        <w:t>a</w:t>
      </w:r>
      <w:r w:rsidR="00434D43">
        <w:rPr>
          <w:rFonts w:eastAsia="MS Mincho"/>
          <w:lang w:eastAsia="ja-JP"/>
        </w:rPr>
        <w:t xml:space="preserve"> solution</w:t>
      </w:r>
      <w:r w:rsidR="000A5696">
        <w:rPr>
          <w:rFonts w:eastAsia="MS Mincho"/>
          <w:lang w:eastAsia="ja-JP"/>
        </w:rPr>
        <w:t>,</w:t>
      </w:r>
      <w:r w:rsidR="00434D43">
        <w:rPr>
          <w:rFonts w:eastAsia="MS Mincho"/>
          <w:lang w:eastAsia="ja-JP"/>
        </w:rPr>
        <w:t xml:space="preserve"> concentrate</w:t>
      </w:r>
      <w:r w:rsidR="000A5696">
        <w:rPr>
          <w:rFonts w:eastAsia="MS Mincho"/>
          <w:lang w:eastAsia="ja-JP"/>
        </w:rPr>
        <w:t>d</w:t>
      </w:r>
      <w:r w:rsidR="00BF511B">
        <w:rPr>
          <w:rFonts w:eastAsia="MS Mincho"/>
          <w:lang w:eastAsia="ja-JP"/>
        </w:rPr>
        <w:t>.</w:t>
      </w:r>
    </w:p>
    <w:p w14:paraId="474C0E1B" w14:textId="77777777" w:rsidR="002B269B" w:rsidRDefault="005A3D7D" w:rsidP="002B269B">
      <w:pPr>
        <w:pStyle w:val="ListParagraph"/>
        <w:ind w:left="0"/>
      </w:pPr>
      <w:r>
        <w:t xml:space="preserve">See </w:t>
      </w:r>
      <w:r w:rsidR="00704E2F">
        <w:t xml:space="preserve">the end of </w:t>
      </w:r>
      <w:r>
        <w:t>section 2 - I</w:t>
      </w:r>
      <w:r w:rsidRPr="002B269B">
        <w:t>mportant information about the contents of Kalydeco</w:t>
      </w:r>
      <w:r>
        <w:t>.</w:t>
      </w:r>
    </w:p>
    <w:p w14:paraId="4BC60191" w14:textId="77777777" w:rsidR="00F976E8" w:rsidRPr="00A808AC" w:rsidRDefault="00F976E8" w:rsidP="00883001">
      <w:pPr>
        <w:numPr>
          <w:ilvl w:val="12"/>
          <w:numId w:val="0"/>
        </w:numPr>
        <w:tabs>
          <w:tab w:val="clear" w:pos="567"/>
        </w:tabs>
        <w:spacing w:line="240" w:lineRule="auto"/>
        <w:ind w:right="-2"/>
        <w:rPr>
          <w:bCs/>
        </w:rPr>
      </w:pPr>
    </w:p>
    <w:p w14:paraId="0636F6C3" w14:textId="77777777" w:rsidR="00F976E8" w:rsidRDefault="005A3D7D" w:rsidP="00A0798C">
      <w:pPr>
        <w:keepNext/>
        <w:numPr>
          <w:ilvl w:val="12"/>
          <w:numId w:val="0"/>
        </w:numPr>
        <w:tabs>
          <w:tab w:val="clear" w:pos="567"/>
        </w:tabs>
        <w:spacing w:line="240" w:lineRule="auto"/>
        <w:rPr>
          <w:b/>
          <w:bCs/>
        </w:rPr>
      </w:pPr>
      <w:r w:rsidRPr="00A808AC">
        <w:rPr>
          <w:b/>
          <w:bCs/>
        </w:rPr>
        <w:t>What Kalydeco looks like and contents of the pack</w:t>
      </w:r>
    </w:p>
    <w:p w14:paraId="05A55D93" w14:textId="77777777" w:rsidR="00987822" w:rsidRPr="00A808AC" w:rsidRDefault="00987822" w:rsidP="0069106A">
      <w:pPr>
        <w:keepNext/>
        <w:numPr>
          <w:ilvl w:val="12"/>
          <w:numId w:val="0"/>
        </w:numPr>
        <w:tabs>
          <w:tab w:val="clear" w:pos="567"/>
        </w:tabs>
        <w:spacing w:line="240" w:lineRule="auto"/>
        <w:rPr>
          <w:b/>
          <w:bCs/>
        </w:rPr>
      </w:pPr>
    </w:p>
    <w:p w14:paraId="340395DD" w14:textId="77777777" w:rsidR="00F976E8" w:rsidRPr="00A808AC" w:rsidRDefault="005A3D7D" w:rsidP="000A093B">
      <w:pPr>
        <w:keepNext/>
        <w:spacing w:line="240" w:lineRule="auto"/>
      </w:pPr>
      <w:r w:rsidRPr="00A808AC">
        <w:t>Kalydeco 150 mg film-coated tablets are light blue, capsule</w:t>
      </w:r>
      <w:r w:rsidRPr="00A808AC">
        <w:noBreakHyphen/>
        <w:t xml:space="preserve">shaped, 16.5 mm x </w:t>
      </w:r>
      <w:r w:rsidRPr="00A808AC">
        <w:t>8.4 mm, and printed with “V 150” in black ink on one side and plain on the other.</w:t>
      </w:r>
    </w:p>
    <w:p w14:paraId="08990160" w14:textId="77777777" w:rsidR="00F976E8" w:rsidRPr="00A808AC" w:rsidRDefault="00F976E8" w:rsidP="00883001">
      <w:pPr>
        <w:spacing w:line="240" w:lineRule="auto"/>
      </w:pPr>
    </w:p>
    <w:p w14:paraId="70D67B4A" w14:textId="77777777" w:rsidR="00F976E8" w:rsidRPr="00A808AC" w:rsidRDefault="005A3D7D" w:rsidP="00883001">
      <w:pPr>
        <w:spacing w:line="240" w:lineRule="auto"/>
      </w:pPr>
      <w:r w:rsidRPr="00A808AC">
        <w:t>Kalydeco is available in the following pack sizes:</w:t>
      </w:r>
    </w:p>
    <w:p w14:paraId="6F44C7A8" w14:textId="77777777" w:rsidR="00B935E8" w:rsidRDefault="005A3D7D" w:rsidP="000A093B">
      <w:pPr>
        <w:numPr>
          <w:ilvl w:val="0"/>
          <w:numId w:val="35"/>
        </w:numPr>
        <w:tabs>
          <w:tab w:val="clear" w:pos="360"/>
          <w:tab w:val="clear" w:pos="567"/>
        </w:tabs>
        <w:spacing w:line="240" w:lineRule="auto"/>
        <w:ind w:left="567"/>
      </w:pPr>
      <w:r w:rsidRPr="00A808AC">
        <w:t xml:space="preserve">Blister </w:t>
      </w:r>
      <w:r>
        <w:t xml:space="preserve">card </w:t>
      </w:r>
      <w:r w:rsidRPr="00A808AC">
        <w:t xml:space="preserve">pack containing </w:t>
      </w:r>
      <w:r>
        <w:t xml:space="preserve">28 </w:t>
      </w:r>
      <w:r w:rsidRPr="00A808AC">
        <w:t>film</w:t>
      </w:r>
      <w:r w:rsidRPr="00A808AC">
        <w:noBreakHyphen/>
        <w:t>coated tablets</w:t>
      </w:r>
    </w:p>
    <w:p w14:paraId="3CAC68F3" w14:textId="77777777" w:rsidR="00F976E8" w:rsidRDefault="005A3D7D" w:rsidP="000A093B">
      <w:pPr>
        <w:numPr>
          <w:ilvl w:val="0"/>
          <w:numId w:val="35"/>
        </w:numPr>
        <w:tabs>
          <w:tab w:val="clear" w:pos="360"/>
          <w:tab w:val="clear" w:pos="567"/>
        </w:tabs>
        <w:spacing w:line="240" w:lineRule="auto"/>
        <w:ind w:left="567"/>
      </w:pPr>
      <w:r w:rsidRPr="00A808AC">
        <w:t>Blister pack containing 56</w:t>
      </w:r>
      <w:r w:rsidR="00536B68">
        <w:t xml:space="preserve"> </w:t>
      </w:r>
      <w:r w:rsidRPr="00A808AC">
        <w:t>film</w:t>
      </w:r>
      <w:r w:rsidRPr="00A808AC">
        <w:noBreakHyphen/>
        <w:t>coated tablets</w:t>
      </w:r>
    </w:p>
    <w:p w14:paraId="3D4301ED" w14:textId="77777777" w:rsidR="00F976E8" w:rsidRPr="00A808AC" w:rsidRDefault="005A3D7D" w:rsidP="000A093B">
      <w:pPr>
        <w:numPr>
          <w:ilvl w:val="0"/>
          <w:numId w:val="35"/>
        </w:numPr>
        <w:tabs>
          <w:tab w:val="clear" w:pos="360"/>
          <w:tab w:val="clear" w:pos="567"/>
        </w:tabs>
        <w:spacing w:line="240" w:lineRule="auto"/>
        <w:ind w:left="567"/>
      </w:pPr>
      <w:r w:rsidRPr="00A808AC">
        <w:t>Bottle containing 56 fi</w:t>
      </w:r>
      <w:r w:rsidRPr="00A808AC">
        <w:t>lm</w:t>
      </w:r>
      <w:r w:rsidRPr="00A808AC">
        <w:noBreakHyphen/>
        <w:t>coated tablets</w:t>
      </w:r>
    </w:p>
    <w:p w14:paraId="4EADBE28" w14:textId="77777777" w:rsidR="00F976E8" w:rsidRDefault="00F976E8" w:rsidP="00883001">
      <w:pPr>
        <w:numPr>
          <w:ilvl w:val="12"/>
          <w:numId w:val="0"/>
        </w:numPr>
        <w:tabs>
          <w:tab w:val="clear" w:pos="567"/>
        </w:tabs>
        <w:spacing w:line="240" w:lineRule="auto"/>
        <w:ind w:right="-2"/>
        <w:rPr>
          <w:bCs/>
        </w:rPr>
      </w:pPr>
    </w:p>
    <w:p w14:paraId="7A64F54C" w14:textId="77777777" w:rsidR="007762E4" w:rsidRDefault="005A3D7D" w:rsidP="00A0798C">
      <w:pPr>
        <w:keepNext/>
        <w:tabs>
          <w:tab w:val="clear" w:pos="567"/>
        </w:tabs>
        <w:autoSpaceDE w:val="0"/>
        <w:autoSpaceDN w:val="0"/>
        <w:adjustRightInd w:val="0"/>
        <w:spacing w:line="240" w:lineRule="auto"/>
        <w:rPr>
          <w:b/>
        </w:rPr>
      </w:pPr>
      <w:bookmarkStart w:id="12" w:name="OLE_LINK2"/>
      <w:bookmarkStart w:id="13" w:name="OLE_LINK3"/>
      <w:r w:rsidRPr="008B6996">
        <w:rPr>
          <w:b/>
        </w:rPr>
        <w:t>Marketing Authorisation Holder</w:t>
      </w:r>
    </w:p>
    <w:p w14:paraId="0E234C9D" w14:textId="77777777" w:rsidR="00987822" w:rsidRPr="008B6996" w:rsidRDefault="00987822" w:rsidP="0069106A">
      <w:pPr>
        <w:keepNext/>
        <w:tabs>
          <w:tab w:val="clear" w:pos="567"/>
        </w:tabs>
        <w:autoSpaceDE w:val="0"/>
        <w:autoSpaceDN w:val="0"/>
        <w:adjustRightInd w:val="0"/>
        <w:spacing w:line="240" w:lineRule="auto"/>
        <w:rPr>
          <w:b/>
        </w:rPr>
      </w:pPr>
    </w:p>
    <w:p w14:paraId="7B3EDB01" w14:textId="77777777" w:rsidR="007762E4" w:rsidRPr="00420287" w:rsidRDefault="005A3D7D" w:rsidP="000A093B">
      <w:pPr>
        <w:keepNext/>
        <w:rPr>
          <w:iCs/>
        </w:rPr>
      </w:pPr>
      <w:r w:rsidRPr="00420287">
        <w:rPr>
          <w:iCs/>
        </w:rPr>
        <w:t>Vertex Pharmaceuticals (Ireland) Limited</w:t>
      </w:r>
    </w:p>
    <w:p w14:paraId="3564A981" w14:textId="77777777" w:rsidR="007762E4" w:rsidRPr="00420287" w:rsidRDefault="005A3D7D" w:rsidP="000A093B">
      <w:pPr>
        <w:keepNext/>
        <w:rPr>
          <w:iCs/>
        </w:rPr>
      </w:pPr>
      <w:r w:rsidRPr="00420287">
        <w:rPr>
          <w:iCs/>
        </w:rPr>
        <w:t>28-32 Pembroke Street Upper</w:t>
      </w:r>
    </w:p>
    <w:p w14:paraId="71C78251" w14:textId="77777777" w:rsidR="007762E4" w:rsidRPr="00420287" w:rsidRDefault="005A3D7D" w:rsidP="000A093B">
      <w:pPr>
        <w:keepNext/>
        <w:rPr>
          <w:iCs/>
        </w:rPr>
      </w:pPr>
      <w:r w:rsidRPr="00420287">
        <w:rPr>
          <w:iCs/>
        </w:rPr>
        <w:t>Dublin 2</w:t>
      </w:r>
      <w:r>
        <w:rPr>
          <w:iCs/>
        </w:rPr>
        <w:t xml:space="preserve">, </w:t>
      </w:r>
      <w:r w:rsidRPr="00420287">
        <w:rPr>
          <w:iCs/>
        </w:rPr>
        <w:t>D02 EK84</w:t>
      </w:r>
    </w:p>
    <w:p w14:paraId="0DDF5012" w14:textId="77777777" w:rsidR="007762E4" w:rsidRPr="00420287" w:rsidRDefault="005A3D7D" w:rsidP="000A093B">
      <w:pPr>
        <w:keepNext/>
        <w:rPr>
          <w:iCs/>
        </w:rPr>
      </w:pPr>
      <w:r w:rsidRPr="00420287">
        <w:rPr>
          <w:iCs/>
        </w:rPr>
        <w:t>Ireland</w:t>
      </w:r>
    </w:p>
    <w:p w14:paraId="4B0F72B8" w14:textId="77777777" w:rsidR="007762E4" w:rsidRDefault="005A3D7D" w:rsidP="000A093B">
      <w:pPr>
        <w:pStyle w:val="NormalIndent"/>
        <w:keepNext/>
        <w:spacing w:after="0"/>
        <w:ind w:left="0"/>
        <w:rPr>
          <w:iCs/>
        </w:rPr>
      </w:pPr>
      <w:r>
        <w:rPr>
          <w:iCs/>
        </w:rPr>
        <w:t xml:space="preserve">Tel: </w:t>
      </w:r>
      <w:r w:rsidRPr="00420287">
        <w:rPr>
          <w:iCs/>
        </w:rPr>
        <w:t>+353 (0)1 761 7299</w:t>
      </w:r>
    </w:p>
    <w:p w14:paraId="2AB0CED1" w14:textId="77777777" w:rsidR="007762E4" w:rsidRPr="00A808AC" w:rsidRDefault="007762E4" w:rsidP="007762E4">
      <w:pPr>
        <w:pStyle w:val="NormalIndent"/>
        <w:spacing w:after="0"/>
        <w:ind w:left="0"/>
        <w:rPr>
          <w:rFonts w:eastAsia="MS Mincho"/>
          <w:lang w:eastAsia="ja-JP"/>
        </w:rPr>
      </w:pPr>
    </w:p>
    <w:p w14:paraId="5BFAF6D3" w14:textId="77777777" w:rsidR="007762E4" w:rsidRDefault="005A3D7D" w:rsidP="000A093B">
      <w:pPr>
        <w:pStyle w:val="NormalIndent"/>
        <w:keepNext/>
        <w:spacing w:after="0"/>
        <w:ind w:left="0"/>
        <w:rPr>
          <w:b/>
        </w:rPr>
      </w:pPr>
      <w:r w:rsidRPr="007B0741">
        <w:rPr>
          <w:b/>
        </w:rPr>
        <w:t>Manufacturer</w:t>
      </w:r>
    </w:p>
    <w:p w14:paraId="45DBE0C2" w14:textId="77777777" w:rsidR="00987822" w:rsidRPr="00864757" w:rsidRDefault="00987822" w:rsidP="000A093B">
      <w:pPr>
        <w:pStyle w:val="NormalIndent"/>
        <w:keepNext/>
        <w:spacing w:after="0"/>
        <w:ind w:left="0"/>
        <w:rPr>
          <w:b/>
        </w:rPr>
      </w:pPr>
    </w:p>
    <w:p w14:paraId="1F4A3FBB" w14:textId="77777777" w:rsidR="007762E4" w:rsidRPr="00B96017" w:rsidRDefault="005A3D7D" w:rsidP="000A093B">
      <w:pPr>
        <w:keepNext/>
      </w:pPr>
      <w:r w:rsidRPr="00B96017">
        <w:t>Almac Pharma Services (Ireland) Limited</w:t>
      </w:r>
    </w:p>
    <w:p w14:paraId="7E7BA6D2" w14:textId="77777777" w:rsidR="007762E4" w:rsidRPr="00B96017" w:rsidRDefault="005A3D7D" w:rsidP="000A093B">
      <w:pPr>
        <w:keepNext/>
      </w:pPr>
      <w:r w:rsidRPr="00B96017">
        <w:t xml:space="preserve">Finnabair Industrial </w:t>
      </w:r>
      <w:r w:rsidRPr="00B96017">
        <w:t>Estate</w:t>
      </w:r>
    </w:p>
    <w:p w14:paraId="68BBC7D7" w14:textId="77777777" w:rsidR="007762E4" w:rsidRPr="00B96017" w:rsidRDefault="005A3D7D" w:rsidP="000A093B">
      <w:pPr>
        <w:keepNext/>
      </w:pPr>
      <w:r w:rsidRPr="00B96017">
        <w:t>Dundalk</w:t>
      </w:r>
    </w:p>
    <w:p w14:paraId="06EE5F32" w14:textId="77777777" w:rsidR="007762E4" w:rsidRPr="00B96017" w:rsidRDefault="005A3D7D" w:rsidP="000A093B">
      <w:pPr>
        <w:keepNext/>
      </w:pPr>
      <w:r w:rsidRPr="00B96017">
        <w:t>Co. Louth</w:t>
      </w:r>
    </w:p>
    <w:p w14:paraId="01C6BDB6" w14:textId="77777777" w:rsidR="007762E4" w:rsidRPr="00B96017" w:rsidRDefault="005A3D7D" w:rsidP="000A093B">
      <w:pPr>
        <w:keepNext/>
      </w:pPr>
      <w:r w:rsidRPr="00B96017">
        <w:t>A91 P9KD</w:t>
      </w:r>
    </w:p>
    <w:p w14:paraId="4068999A" w14:textId="77777777" w:rsidR="007762E4" w:rsidRPr="00B96017" w:rsidRDefault="005A3D7D" w:rsidP="000A093B">
      <w:pPr>
        <w:keepNext/>
      </w:pPr>
      <w:r w:rsidRPr="00B96017">
        <w:t>Ireland</w:t>
      </w:r>
    </w:p>
    <w:p w14:paraId="07D9826A" w14:textId="77777777" w:rsidR="007762E4" w:rsidRDefault="007762E4" w:rsidP="000A093B">
      <w:pPr>
        <w:keepNext/>
        <w:spacing w:line="240" w:lineRule="auto"/>
        <w:rPr>
          <w:rFonts w:eastAsia="MS Mincho"/>
          <w:bCs/>
          <w:lang w:eastAsia="ja-JP"/>
        </w:rPr>
      </w:pPr>
    </w:p>
    <w:p w14:paraId="3E6CE257" w14:textId="77777777" w:rsidR="007762E4" w:rsidRPr="006E7916" w:rsidRDefault="005A3D7D" w:rsidP="000A093B">
      <w:pPr>
        <w:keepNext/>
        <w:spacing w:line="240" w:lineRule="auto"/>
        <w:rPr>
          <w:highlight w:val="lightGray"/>
        </w:rPr>
      </w:pPr>
      <w:r w:rsidRPr="006E7916">
        <w:rPr>
          <w:highlight w:val="lightGray"/>
        </w:rPr>
        <w:t>Almac Pharma Services Limited</w:t>
      </w:r>
    </w:p>
    <w:p w14:paraId="72340888" w14:textId="77777777" w:rsidR="007762E4" w:rsidRPr="006E7916" w:rsidRDefault="005A3D7D" w:rsidP="000A093B">
      <w:pPr>
        <w:keepNext/>
        <w:spacing w:line="240" w:lineRule="auto"/>
        <w:rPr>
          <w:highlight w:val="lightGray"/>
        </w:rPr>
      </w:pPr>
      <w:r w:rsidRPr="006E7916">
        <w:rPr>
          <w:highlight w:val="lightGray"/>
        </w:rPr>
        <w:t>Seagoe Industrial Estate</w:t>
      </w:r>
    </w:p>
    <w:p w14:paraId="51383CF2" w14:textId="77777777" w:rsidR="007762E4" w:rsidRPr="006E7916" w:rsidRDefault="005A3D7D" w:rsidP="000A093B">
      <w:pPr>
        <w:keepNext/>
        <w:spacing w:line="240" w:lineRule="auto"/>
        <w:rPr>
          <w:highlight w:val="lightGray"/>
        </w:rPr>
      </w:pPr>
      <w:r w:rsidRPr="006E7916">
        <w:rPr>
          <w:highlight w:val="lightGray"/>
        </w:rPr>
        <w:t>Craigavon</w:t>
      </w:r>
    </w:p>
    <w:p w14:paraId="7586ED59" w14:textId="77777777" w:rsidR="007762E4" w:rsidRPr="006E7916" w:rsidRDefault="005A3D7D" w:rsidP="000A093B">
      <w:pPr>
        <w:keepNext/>
        <w:spacing w:line="240" w:lineRule="auto"/>
        <w:rPr>
          <w:highlight w:val="lightGray"/>
        </w:rPr>
      </w:pPr>
      <w:r w:rsidRPr="006E7916">
        <w:rPr>
          <w:highlight w:val="lightGray"/>
        </w:rPr>
        <w:t>County Armagh</w:t>
      </w:r>
    </w:p>
    <w:p w14:paraId="544C5C94" w14:textId="77777777" w:rsidR="007762E4" w:rsidRPr="006E7916" w:rsidRDefault="005A3D7D" w:rsidP="000A093B">
      <w:pPr>
        <w:keepNext/>
        <w:spacing w:line="240" w:lineRule="auto"/>
        <w:rPr>
          <w:highlight w:val="lightGray"/>
        </w:rPr>
      </w:pPr>
      <w:r w:rsidRPr="006E7916">
        <w:rPr>
          <w:highlight w:val="lightGray"/>
        </w:rPr>
        <w:t>BT63 5UA</w:t>
      </w:r>
    </w:p>
    <w:p w14:paraId="10886D50" w14:textId="77777777" w:rsidR="007762E4" w:rsidRPr="00A808AC" w:rsidRDefault="005A3D7D" w:rsidP="000A093B">
      <w:pPr>
        <w:keepNext/>
        <w:spacing w:line="240" w:lineRule="auto"/>
        <w:rPr>
          <w:rFonts w:eastAsia="MS Mincho"/>
          <w:bCs/>
          <w:lang w:eastAsia="ja-JP"/>
        </w:rPr>
      </w:pPr>
      <w:r w:rsidRPr="006E7916">
        <w:rPr>
          <w:highlight w:val="lightGray"/>
        </w:rPr>
        <w:t>United Kingdom</w:t>
      </w:r>
    </w:p>
    <w:bookmarkEnd w:id="12"/>
    <w:bookmarkEnd w:id="13"/>
    <w:p w14:paraId="5CD65DD8" w14:textId="77777777" w:rsidR="00F976E8" w:rsidRPr="00A808AC" w:rsidRDefault="00F976E8" w:rsidP="00883001">
      <w:pPr>
        <w:numPr>
          <w:ilvl w:val="12"/>
          <w:numId w:val="0"/>
        </w:numPr>
        <w:tabs>
          <w:tab w:val="clear" w:pos="567"/>
        </w:tabs>
        <w:spacing w:line="240" w:lineRule="auto"/>
        <w:ind w:right="-2"/>
        <w:outlineLvl w:val="0"/>
      </w:pPr>
    </w:p>
    <w:p w14:paraId="26DB01C2" w14:textId="77777777" w:rsidR="00F976E8" w:rsidRPr="00A808AC" w:rsidRDefault="005A3D7D" w:rsidP="000A093B">
      <w:pPr>
        <w:keepNext/>
        <w:numPr>
          <w:ilvl w:val="12"/>
          <w:numId w:val="0"/>
        </w:numPr>
        <w:tabs>
          <w:tab w:val="clear" w:pos="567"/>
        </w:tabs>
        <w:spacing w:line="240" w:lineRule="auto"/>
        <w:ind w:right="-2"/>
        <w:outlineLvl w:val="0"/>
      </w:pPr>
      <w:r w:rsidRPr="00A808AC">
        <w:rPr>
          <w:b/>
          <w:bCs/>
        </w:rPr>
        <w:t>This leaflet was last revised in</w:t>
      </w:r>
    </w:p>
    <w:p w14:paraId="3ADF4499" w14:textId="77777777" w:rsidR="00F976E8" w:rsidRPr="00A808AC" w:rsidRDefault="00F976E8" w:rsidP="000A093B">
      <w:pPr>
        <w:keepNext/>
        <w:spacing w:line="240" w:lineRule="auto"/>
        <w:rPr>
          <w:iCs/>
        </w:rPr>
      </w:pPr>
    </w:p>
    <w:p w14:paraId="2257623F" w14:textId="77777777" w:rsidR="00F976E8" w:rsidRPr="00A808AC" w:rsidRDefault="005A3D7D" w:rsidP="000A093B">
      <w:pPr>
        <w:keepNext/>
        <w:numPr>
          <w:ilvl w:val="12"/>
          <w:numId w:val="0"/>
        </w:numPr>
        <w:spacing w:line="240" w:lineRule="auto"/>
        <w:ind w:right="-2"/>
        <w:rPr>
          <w:b/>
        </w:rPr>
      </w:pPr>
      <w:r w:rsidRPr="00A808AC">
        <w:rPr>
          <w:b/>
        </w:rPr>
        <w:t>Other sources of information</w:t>
      </w:r>
    </w:p>
    <w:p w14:paraId="0D60DB5D" w14:textId="77777777" w:rsidR="00F976E8" w:rsidRPr="00A808AC" w:rsidRDefault="005A3D7D" w:rsidP="000A093B">
      <w:pPr>
        <w:keepNext/>
        <w:numPr>
          <w:ilvl w:val="12"/>
          <w:numId w:val="0"/>
        </w:numPr>
        <w:spacing w:line="240" w:lineRule="auto"/>
        <w:ind w:right="-2"/>
      </w:pPr>
      <w:r w:rsidRPr="00A808AC">
        <w:t xml:space="preserve">Detailed information on this medicine is available on the European Medicines Agency website: </w:t>
      </w:r>
      <w:hyperlink r:id="rId17" w:history="1">
        <w:r w:rsidRPr="00A808AC">
          <w:rPr>
            <w:rStyle w:val="Hyperlink"/>
            <w:color w:val="auto"/>
          </w:rPr>
          <w:t>http://www.ema.europa.eu</w:t>
        </w:r>
      </w:hyperlink>
      <w:r w:rsidRPr="00A808AC">
        <w:t>. There are also links to other websites about rare diseases and treatments.</w:t>
      </w:r>
    </w:p>
    <w:p w14:paraId="57CC3568" w14:textId="77777777" w:rsidR="004B5786" w:rsidRPr="00A808AC" w:rsidRDefault="005A3D7D" w:rsidP="004B5786">
      <w:pPr>
        <w:numPr>
          <w:ilvl w:val="12"/>
          <w:numId w:val="0"/>
        </w:numPr>
        <w:spacing w:line="240" w:lineRule="auto"/>
        <w:ind w:right="-2"/>
        <w:jc w:val="center"/>
      </w:pPr>
      <w:r w:rsidRPr="00A808AC">
        <w:br w:type="page"/>
      </w:r>
      <w:r w:rsidRPr="00A808AC">
        <w:rPr>
          <w:b/>
          <w:bCs/>
        </w:rPr>
        <w:t>Package leaflet: Inf</w:t>
      </w:r>
      <w:r w:rsidRPr="00A808AC">
        <w:rPr>
          <w:b/>
          <w:bCs/>
        </w:rPr>
        <w:t>ormation for the patient</w:t>
      </w:r>
    </w:p>
    <w:p w14:paraId="5029C094" w14:textId="77777777" w:rsidR="004B5786" w:rsidRPr="00A808AC" w:rsidRDefault="004B5786" w:rsidP="004B5786">
      <w:pPr>
        <w:numPr>
          <w:ilvl w:val="12"/>
          <w:numId w:val="0"/>
        </w:numPr>
        <w:shd w:val="clear" w:color="auto" w:fill="FFFFFF"/>
        <w:tabs>
          <w:tab w:val="clear" w:pos="567"/>
        </w:tabs>
        <w:spacing w:line="240" w:lineRule="auto"/>
        <w:jc w:val="center"/>
      </w:pPr>
    </w:p>
    <w:p w14:paraId="6CCDD9E2" w14:textId="77777777" w:rsidR="00A76C06" w:rsidRDefault="005A3D7D" w:rsidP="004B5786">
      <w:pPr>
        <w:numPr>
          <w:ilvl w:val="12"/>
          <w:numId w:val="0"/>
        </w:numPr>
        <w:spacing w:line="240" w:lineRule="auto"/>
        <w:jc w:val="center"/>
        <w:rPr>
          <w:b/>
          <w:bCs/>
        </w:rPr>
      </w:pPr>
      <w:r>
        <w:rPr>
          <w:b/>
          <w:bCs/>
        </w:rPr>
        <w:t>Kalydeco 25</w:t>
      </w:r>
      <w:r w:rsidR="003A3EEC">
        <w:rPr>
          <w:b/>
          <w:bCs/>
        </w:rPr>
        <w:t> </w:t>
      </w:r>
      <w:r>
        <w:rPr>
          <w:b/>
          <w:bCs/>
        </w:rPr>
        <w:t>mg granules in sachet</w:t>
      </w:r>
    </w:p>
    <w:p w14:paraId="302CB76D" w14:textId="77777777" w:rsidR="004B5786" w:rsidRPr="00A808AC" w:rsidRDefault="005A3D7D" w:rsidP="004B5786">
      <w:pPr>
        <w:numPr>
          <w:ilvl w:val="12"/>
          <w:numId w:val="0"/>
        </w:numPr>
        <w:spacing w:line="240" w:lineRule="auto"/>
        <w:jc w:val="center"/>
        <w:rPr>
          <w:b/>
          <w:bCs/>
        </w:rPr>
      </w:pPr>
      <w:r w:rsidRPr="00A808AC">
        <w:rPr>
          <w:b/>
          <w:bCs/>
        </w:rPr>
        <w:t>Kalydeco 50 mg granules in sachet</w:t>
      </w:r>
    </w:p>
    <w:p w14:paraId="3E85A20C" w14:textId="77777777" w:rsidR="004B5786" w:rsidRPr="00A808AC" w:rsidRDefault="005A3D7D" w:rsidP="004B5786">
      <w:pPr>
        <w:numPr>
          <w:ilvl w:val="12"/>
          <w:numId w:val="0"/>
        </w:numPr>
        <w:spacing w:line="240" w:lineRule="auto"/>
        <w:jc w:val="center"/>
        <w:rPr>
          <w:b/>
          <w:bCs/>
        </w:rPr>
      </w:pPr>
      <w:r w:rsidRPr="00A808AC">
        <w:rPr>
          <w:b/>
          <w:bCs/>
        </w:rPr>
        <w:t>Kalydeco 75</w:t>
      </w:r>
      <w:r w:rsidR="007C0C7A">
        <w:rPr>
          <w:b/>
          <w:bCs/>
        </w:rPr>
        <w:t> </w:t>
      </w:r>
      <w:r w:rsidRPr="00A808AC">
        <w:rPr>
          <w:b/>
          <w:bCs/>
        </w:rPr>
        <w:t>mg granules in sachet</w:t>
      </w:r>
    </w:p>
    <w:p w14:paraId="27A66AD8" w14:textId="77777777" w:rsidR="004B5786" w:rsidRPr="007B0741" w:rsidRDefault="005A3D7D" w:rsidP="004B5786">
      <w:pPr>
        <w:numPr>
          <w:ilvl w:val="12"/>
          <w:numId w:val="0"/>
        </w:numPr>
        <w:tabs>
          <w:tab w:val="center" w:pos="4542"/>
          <w:tab w:val="left" w:pos="6168"/>
        </w:tabs>
        <w:spacing w:line="240" w:lineRule="auto"/>
        <w:jc w:val="center"/>
      </w:pPr>
      <w:r w:rsidRPr="007B0741">
        <w:t>ivacaftor</w:t>
      </w:r>
    </w:p>
    <w:p w14:paraId="365DBB0F" w14:textId="77777777" w:rsidR="004B5786" w:rsidRPr="00A808AC" w:rsidRDefault="004B5786" w:rsidP="004B5786">
      <w:pPr>
        <w:numPr>
          <w:ilvl w:val="12"/>
          <w:numId w:val="0"/>
        </w:numPr>
        <w:spacing w:line="240" w:lineRule="auto"/>
        <w:jc w:val="center"/>
      </w:pPr>
    </w:p>
    <w:p w14:paraId="44DDF914" w14:textId="77777777" w:rsidR="004B5786" w:rsidRPr="00A808AC" w:rsidRDefault="004B5786" w:rsidP="004B7816">
      <w:pPr>
        <w:tabs>
          <w:tab w:val="clear" w:pos="567"/>
        </w:tabs>
        <w:spacing w:line="240" w:lineRule="auto"/>
      </w:pPr>
    </w:p>
    <w:p w14:paraId="12A94AD0" w14:textId="77777777" w:rsidR="004B5786" w:rsidRPr="00A808AC" w:rsidRDefault="005A3D7D" w:rsidP="000A093B">
      <w:pPr>
        <w:keepNext/>
        <w:suppressAutoHyphens/>
        <w:spacing w:line="240" w:lineRule="auto"/>
        <w:rPr>
          <w:b/>
          <w:bCs/>
        </w:rPr>
      </w:pPr>
      <w:r w:rsidRPr="00A808AC">
        <w:rPr>
          <w:b/>
          <w:bCs/>
        </w:rPr>
        <w:t xml:space="preserve">Read all of this leaflet carefully before your child starts taking this medicine because it contains </w:t>
      </w:r>
      <w:r w:rsidRPr="00A808AC">
        <w:rPr>
          <w:b/>
          <w:bCs/>
        </w:rPr>
        <w:t>important information for your child.</w:t>
      </w:r>
    </w:p>
    <w:p w14:paraId="03A7B92D" w14:textId="77777777" w:rsidR="004B5786" w:rsidRPr="00A808AC" w:rsidRDefault="005A3D7D" w:rsidP="000A093B">
      <w:pPr>
        <w:keepNext/>
        <w:numPr>
          <w:ilvl w:val="0"/>
          <w:numId w:val="36"/>
        </w:numPr>
        <w:tabs>
          <w:tab w:val="clear" w:pos="567"/>
        </w:tabs>
        <w:spacing w:line="240" w:lineRule="auto"/>
        <w:ind w:left="567" w:right="-2"/>
      </w:pPr>
      <w:r w:rsidRPr="00A808AC">
        <w:t>Keep this leaflet. You may need to read it again.</w:t>
      </w:r>
    </w:p>
    <w:p w14:paraId="54779BE2" w14:textId="77777777" w:rsidR="004B5786" w:rsidRPr="00A808AC" w:rsidRDefault="005A3D7D" w:rsidP="000A093B">
      <w:pPr>
        <w:numPr>
          <w:ilvl w:val="0"/>
          <w:numId w:val="36"/>
        </w:numPr>
        <w:tabs>
          <w:tab w:val="clear" w:pos="567"/>
        </w:tabs>
        <w:spacing w:line="240" w:lineRule="auto"/>
        <w:ind w:left="567" w:right="-2"/>
      </w:pPr>
      <w:r w:rsidRPr="00A808AC">
        <w:t>If you have any further questions, ask your child’s doctor or pharmacist.</w:t>
      </w:r>
    </w:p>
    <w:p w14:paraId="0BA41136" w14:textId="77777777" w:rsidR="004B5786" w:rsidRPr="00A808AC" w:rsidRDefault="005A3D7D" w:rsidP="000A093B">
      <w:pPr>
        <w:numPr>
          <w:ilvl w:val="0"/>
          <w:numId w:val="36"/>
        </w:numPr>
        <w:tabs>
          <w:tab w:val="clear" w:pos="567"/>
        </w:tabs>
        <w:spacing w:line="240" w:lineRule="auto"/>
        <w:ind w:left="567" w:right="-2"/>
      </w:pPr>
      <w:r w:rsidRPr="00A808AC">
        <w:t xml:space="preserve">This medicine has been prescribed for your child only. Do not pass it on to others. It may </w:t>
      </w:r>
      <w:r w:rsidRPr="00A808AC">
        <w:t>harm them, even if their signs of illness are the same as your child’s.</w:t>
      </w:r>
    </w:p>
    <w:p w14:paraId="3034EB82" w14:textId="77777777" w:rsidR="004B5786" w:rsidRPr="00A808AC" w:rsidRDefault="005A3D7D" w:rsidP="000A093B">
      <w:pPr>
        <w:numPr>
          <w:ilvl w:val="0"/>
          <w:numId w:val="36"/>
        </w:numPr>
        <w:tabs>
          <w:tab w:val="clear" w:pos="567"/>
        </w:tabs>
        <w:spacing w:line="240" w:lineRule="auto"/>
        <w:ind w:left="567" w:right="-2"/>
      </w:pPr>
      <w:r w:rsidRPr="00A808AC">
        <w:t>If your child gets any side effects, talk to your child’s doctor or pharmacist. This includes any possible side effects not listed in this leaflet. See section 4.</w:t>
      </w:r>
    </w:p>
    <w:p w14:paraId="793B981D" w14:textId="77777777" w:rsidR="004B5786" w:rsidRPr="00A808AC" w:rsidRDefault="004B5786" w:rsidP="004B5786">
      <w:pPr>
        <w:tabs>
          <w:tab w:val="clear" w:pos="567"/>
        </w:tabs>
        <w:spacing w:line="240" w:lineRule="auto"/>
        <w:ind w:right="-2"/>
      </w:pPr>
    </w:p>
    <w:p w14:paraId="7E479215" w14:textId="77777777" w:rsidR="004B5786" w:rsidRPr="00A808AC" w:rsidRDefault="005A3D7D" w:rsidP="00A0798C">
      <w:pPr>
        <w:keepNext/>
        <w:numPr>
          <w:ilvl w:val="12"/>
          <w:numId w:val="0"/>
        </w:numPr>
        <w:spacing w:line="240" w:lineRule="auto"/>
        <w:ind w:right="-2"/>
        <w:outlineLvl w:val="0"/>
        <w:rPr>
          <w:b/>
          <w:bCs/>
        </w:rPr>
      </w:pPr>
      <w:r w:rsidRPr="00A808AC">
        <w:rPr>
          <w:b/>
          <w:bCs/>
        </w:rPr>
        <w:t>What is in this leaf</w:t>
      </w:r>
      <w:r w:rsidRPr="00A808AC">
        <w:rPr>
          <w:b/>
          <w:bCs/>
        </w:rPr>
        <w:t>let</w:t>
      </w:r>
    </w:p>
    <w:p w14:paraId="1ABC3215" w14:textId="77777777" w:rsidR="004B5786" w:rsidRPr="00A808AC" w:rsidRDefault="004B5786" w:rsidP="0069106A">
      <w:pPr>
        <w:keepNext/>
        <w:numPr>
          <w:ilvl w:val="12"/>
          <w:numId w:val="0"/>
        </w:numPr>
        <w:spacing w:line="240" w:lineRule="auto"/>
        <w:ind w:right="-2"/>
        <w:outlineLvl w:val="0"/>
        <w:rPr>
          <w:b/>
          <w:bCs/>
        </w:rPr>
      </w:pPr>
    </w:p>
    <w:p w14:paraId="40DA0C3F" w14:textId="77777777" w:rsidR="004B5786" w:rsidRPr="00A808AC" w:rsidRDefault="005A3D7D" w:rsidP="000A093B">
      <w:pPr>
        <w:keepNext/>
        <w:spacing w:line="240" w:lineRule="auto"/>
        <w:ind w:left="357" w:right="-28" w:hanging="357"/>
      </w:pPr>
      <w:r w:rsidRPr="00A808AC">
        <w:t>1.</w:t>
      </w:r>
      <w:r w:rsidRPr="00A808AC">
        <w:tab/>
        <w:t>What Kalydeco is and what it is used for</w:t>
      </w:r>
    </w:p>
    <w:p w14:paraId="0814A4B5" w14:textId="77777777" w:rsidR="004B5786" w:rsidRPr="00A808AC" w:rsidRDefault="005A3D7D" w:rsidP="004B5786">
      <w:pPr>
        <w:spacing w:line="240" w:lineRule="auto"/>
        <w:ind w:left="357" w:right="-28" w:hanging="357"/>
      </w:pPr>
      <w:r w:rsidRPr="00A808AC">
        <w:t>2.</w:t>
      </w:r>
      <w:r w:rsidRPr="00A808AC">
        <w:tab/>
        <w:t>What you need to know before your child takes Kalydeco</w:t>
      </w:r>
    </w:p>
    <w:p w14:paraId="1AFF62BD" w14:textId="77777777" w:rsidR="004B5786" w:rsidRPr="00A808AC" w:rsidRDefault="005A3D7D" w:rsidP="004B5786">
      <w:pPr>
        <w:spacing w:line="240" w:lineRule="auto"/>
        <w:ind w:left="357" w:right="-28" w:hanging="357"/>
      </w:pPr>
      <w:r w:rsidRPr="00A808AC">
        <w:t>3.</w:t>
      </w:r>
      <w:r w:rsidRPr="00A808AC">
        <w:tab/>
        <w:t>How to take Kalydeco</w:t>
      </w:r>
    </w:p>
    <w:p w14:paraId="527B9BDD" w14:textId="77777777" w:rsidR="004B5786" w:rsidRPr="00A808AC" w:rsidRDefault="005A3D7D" w:rsidP="004B5786">
      <w:pPr>
        <w:spacing w:line="240" w:lineRule="auto"/>
        <w:ind w:left="357" w:right="-28" w:hanging="357"/>
      </w:pPr>
      <w:r w:rsidRPr="00A808AC">
        <w:t>4.</w:t>
      </w:r>
      <w:r w:rsidRPr="00A808AC">
        <w:tab/>
        <w:t>Possible side effects</w:t>
      </w:r>
    </w:p>
    <w:p w14:paraId="6B1757C2" w14:textId="77777777" w:rsidR="004B5786" w:rsidRPr="00A808AC" w:rsidRDefault="005A3D7D" w:rsidP="004B5786">
      <w:pPr>
        <w:spacing w:line="240" w:lineRule="auto"/>
        <w:ind w:left="357" w:right="-28" w:hanging="357"/>
      </w:pPr>
      <w:r w:rsidRPr="00A808AC">
        <w:t>5.</w:t>
      </w:r>
      <w:r w:rsidRPr="00A808AC">
        <w:tab/>
        <w:t>How to store Kalydeco</w:t>
      </w:r>
    </w:p>
    <w:p w14:paraId="798E8B95" w14:textId="77777777" w:rsidR="004B5786" w:rsidRPr="00A808AC" w:rsidRDefault="005A3D7D" w:rsidP="004B5786">
      <w:pPr>
        <w:spacing w:line="240" w:lineRule="auto"/>
        <w:ind w:left="357" w:right="-28" w:hanging="357"/>
      </w:pPr>
      <w:r w:rsidRPr="00A808AC">
        <w:t>6.</w:t>
      </w:r>
      <w:r w:rsidRPr="00A808AC">
        <w:tab/>
        <w:t>Contents of the pack and other information</w:t>
      </w:r>
    </w:p>
    <w:p w14:paraId="6C8DD8B9" w14:textId="77777777" w:rsidR="004B5786" w:rsidRPr="00A808AC" w:rsidRDefault="004B5786" w:rsidP="004B5786">
      <w:pPr>
        <w:numPr>
          <w:ilvl w:val="12"/>
          <w:numId w:val="0"/>
        </w:numPr>
        <w:tabs>
          <w:tab w:val="clear" w:pos="567"/>
        </w:tabs>
        <w:spacing w:line="240" w:lineRule="auto"/>
      </w:pPr>
    </w:p>
    <w:p w14:paraId="18C02C51" w14:textId="77777777" w:rsidR="004B5786" w:rsidRPr="00A808AC" w:rsidRDefault="004B5786" w:rsidP="004B5786">
      <w:pPr>
        <w:numPr>
          <w:ilvl w:val="12"/>
          <w:numId w:val="0"/>
        </w:numPr>
        <w:tabs>
          <w:tab w:val="clear" w:pos="567"/>
        </w:tabs>
        <w:spacing w:line="240" w:lineRule="auto"/>
      </w:pPr>
    </w:p>
    <w:p w14:paraId="1F70E3B0" w14:textId="77777777" w:rsidR="004B5786" w:rsidRPr="00A808AC" w:rsidRDefault="005A3D7D" w:rsidP="000A093B">
      <w:pPr>
        <w:keepNext/>
        <w:numPr>
          <w:ilvl w:val="0"/>
          <w:numId w:val="18"/>
        </w:numPr>
        <w:spacing w:line="240" w:lineRule="auto"/>
        <w:ind w:right="-2"/>
        <w:rPr>
          <w:b/>
          <w:bCs/>
        </w:rPr>
      </w:pPr>
      <w:r w:rsidRPr="00A808AC">
        <w:rPr>
          <w:b/>
          <w:bCs/>
        </w:rPr>
        <w:t xml:space="preserve">What Kalydeco is and </w:t>
      </w:r>
      <w:r w:rsidRPr="00A808AC">
        <w:rPr>
          <w:b/>
          <w:bCs/>
        </w:rPr>
        <w:t>what it is used for</w:t>
      </w:r>
    </w:p>
    <w:p w14:paraId="48DB9C9F" w14:textId="77777777" w:rsidR="004B5786" w:rsidRPr="00A808AC" w:rsidRDefault="004B5786" w:rsidP="000A093B">
      <w:pPr>
        <w:keepNext/>
        <w:widowControl w:val="0"/>
        <w:autoSpaceDE w:val="0"/>
        <w:autoSpaceDN w:val="0"/>
        <w:adjustRightInd w:val="0"/>
        <w:spacing w:line="240" w:lineRule="auto"/>
      </w:pPr>
    </w:p>
    <w:p w14:paraId="2C1456C1" w14:textId="77777777" w:rsidR="004B5786" w:rsidRPr="00A808AC" w:rsidRDefault="005A3D7D" w:rsidP="000A093B">
      <w:pPr>
        <w:keepNext/>
        <w:widowControl w:val="0"/>
        <w:autoSpaceDE w:val="0"/>
        <w:autoSpaceDN w:val="0"/>
        <w:adjustRightInd w:val="0"/>
        <w:spacing w:line="240" w:lineRule="auto"/>
        <w:rPr>
          <w:lang w:val="en-US"/>
        </w:rPr>
      </w:pPr>
      <w:r w:rsidRPr="00A808AC">
        <w:t xml:space="preserve">Kalydeco contains the active ingredient ivacaftor. </w:t>
      </w:r>
      <w:r w:rsidRPr="00A808AC">
        <w:rPr>
          <w:lang w:val="en-US"/>
        </w:rPr>
        <w:t xml:space="preserve">Ivacaftor acts at the level of the cystic fibrosis transmembrane conductance regulator (CFTR), a protein that forms a channel at the cell surface that allows the movement of particles </w:t>
      </w:r>
      <w:r w:rsidRPr="00A808AC">
        <w:rPr>
          <w:lang w:val="en-US"/>
        </w:rPr>
        <w:t xml:space="preserve">such as chloride in and out of the cell. Due to mutations in the </w:t>
      </w:r>
      <w:r w:rsidRPr="00A808AC">
        <w:rPr>
          <w:i/>
          <w:lang w:val="en-US"/>
        </w:rPr>
        <w:t xml:space="preserve">CFTR </w:t>
      </w:r>
      <w:r w:rsidRPr="00A808AC">
        <w:rPr>
          <w:lang w:val="en-US"/>
        </w:rPr>
        <w:t xml:space="preserve">gene (see below), chloride movement is reduced in those with cystic fibrosis (CF). Ivacaftor helps certain abnormal CFTR proteins open more often to improve chloride movement in and out </w:t>
      </w:r>
      <w:r w:rsidRPr="00A808AC">
        <w:rPr>
          <w:lang w:val="en-US"/>
        </w:rPr>
        <w:t>of the cell.</w:t>
      </w:r>
    </w:p>
    <w:p w14:paraId="2350FF89" w14:textId="77777777" w:rsidR="004B5786" w:rsidRPr="00A808AC" w:rsidRDefault="004B5786" w:rsidP="004B5786">
      <w:pPr>
        <w:widowControl w:val="0"/>
        <w:autoSpaceDE w:val="0"/>
        <w:autoSpaceDN w:val="0"/>
        <w:adjustRightInd w:val="0"/>
        <w:spacing w:line="240" w:lineRule="auto"/>
      </w:pPr>
    </w:p>
    <w:p w14:paraId="7567E0F1" w14:textId="1EC65197" w:rsidR="004B5786" w:rsidRPr="003F1CB4" w:rsidRDefault="005A3D7D" w:rsidP="004B5786">
      <w:pPr>
        <w:pStyle w:val="labeltext"/>
        <w:rPr>
          <w:sz w:val="22"/>
          <w:szCs w:val="22"/>
        </w:rPr>
      </w:pPr>
      <w:r w:rsidRPr="003F1CB4">
        <w:rPr>
          <w:sz w:val="22"/>
          <w:szCs w:val="22"/>
        </w:rPr>
        <w:t xml:space="preserve">Kalydeco granules are indicated for the treatment of </w:t>
      </w:r>
      <w:r w:rsidR="007D3D08" w:rsidRPr="001C1C01">
        <w:rPr>
          <w:sz w:val="22"/>
          <w:szCs w:val="22"/>
        </w:rPr>
        <w:t xml:space="preserve">babies and </w:t>
      </w:r>
      <w:r w:rsidRPr="003F1CB4">
        <w:rPr>
          <w:sz w:val="22"/>
          <w:szCs w:val="22"/>
        </w:rPr>
        <w:t xml:space="preserve">children </w:t>
      </w:r>
      <w:r w:rsidR="007D3D08" w:rsidRPr="001C1C01">
        <w:rPr>
          <w:sz w:val="22"/>
          <w:szCs w:val="22"/>
        </w:rPr>
        <w:t xml:space="preserve">aged </w:t>
      </w:r>
      <w:r w:rsidR="0073031A">
        <w:rPr>
          <w:sz w:val="22"/>
          <w:szCs w:val="22"/>
        </w:rPr>
        <w:t>4 </w:t>
      </w:r>
      <w:r w:rsidR="007D3D08" w:rsidRPr="001C1C01">
        <w:rPr>
          <w:sz w:val="22"/>
          <w:szCs w:val="22"/>
        </w:rPr>
        <w:t>months and older and weighing 5</w:t>
      </w:r>
      <w:r w:rsidR="007D3D08">
        <w:rPr>
          <w:sz w:val="22"/>
          <w:szCs w:val="22"/>
        </w:rPr>
        <w:t> </w:t>
      </w:r>
      <w:r w:rsidR="007D3D08" w:rsidRPr="001C1C01">
        <w:rPr>
          <w:sz w:val="22"/>
          <w:szCs w:val="22"/>
        </w:rPr>
        <w:t>kg to less than 25</w:t>
      </w:r>
      <w:r w:rsidR="007D3D08">
        <w:rPr>
          <w:sz w:val="22"/>
          <w:szCs w:val="22"/>
        </w:rPr>
        <w:t> </w:t>
      </w:r>
      <w:r w:rsidR="007D3D08" w:rsidRPr="001C1C01">
        <w:rPr>
          <w:sz w:val="22"/>
          <w:szCs w:val="22"/>
        </w:rPr>
        <w:t xml:space="preserve">kg </w:t>
      </w:r>
      <w:r w:rsidRPr="003F1CB4">
        <w:rPr>
          <w:sz w:val="22"/>
          <w:szCs w:val="22"/>
        </w:rPr>
        <w:t xml:space="preserve">with cystic fibrosis (CF) who have </w:t>
      </w:r>
      <w:r w:rsidR="00E74C79">
        <w:rPr>
          <w:sz w:val="22"/>
          <w:szCs w:val="22"/>
        </w:rPr>
        <w:t>an</w:t>
      </w:r>
      <w:r w:rsidR="00E74C79" w:rsidRPr="000A093B">
        <w:rPr>
          <w:i/>
          <w:sz w:val="22"/>
        </w:rPr>
        <w:t xml:space="preserve"> </w:t>
      </w:r>
      <w:r w:rsidR="00E74C79" w:rsidRPr="00E74C79">
        <w:rPr>
          <w:i/>
          <w:iCs/>
          <w:sz w:val="22"/>
          <w:szCs w:val="22"/>
        </w:rPr>
        <w:t>R117H CFTR</w:t>
      </w:r>
      <w:r w:rsidR="00E74C79">
        <w:rPr>
          <w:sz w:val="22"/>
          <w:szCs w:val="22"/>
        </w:rPr>
        <w:t xml:space="preserve"> mutation or </w:t>
      </w:r>
      <w:r w:rsidRPr="003F1CB4">
        <w:rPr>
          <w:sz w:val="22"/>
          <w:szCs w:val="22"/>
        </w:rPr>
        <w:t xml:space="preserve">one of the following gating mutations in the </w:t>
      </w:r>
      <w:r w:rsidRPr="003F1CB4">
        <w:rPr>
          <w:i/>
          <w:iCs/>
          <w:sz w:val="22"/>
          <w:szCs w:val="22"/>
        </w:rPr>
        <w:t>CFTR</w:t>
      </w:r>
      <w:r w:rsidRPr="003F1CB4">
        <w:rPr>
          <w:sz w:val="22"/>
          <w:szCs w:val="22"/>
        </w:rPr>
        <w:t xml:space="preserve"> gene: </w:t>
      </w:r>
      <w:r w:rsidRPr="003F1CB4">
        <w:rPr>
          <w:i/>
          <w:sz w:val="22"/>
          <w:szCs w:val="22"/>
        </w:rPr>
        <w:t xml:space="preserve">G551D, G1244E, G1349D, G178R, G551S, S1251N, S1255P, S549N </w:t>
      </w:r>
      <w:r w:rsidRPr="003F1CB4">
        <w:rPr>
          <w:iCs/>
          <w:sz w:val="22"/>
          <w:szCs w:val="22"/>
        </w:rPr>
        <w:t>or</w:t>
      </w:r>
      <w:r w:rsidRPr="003F1CB4">
        <w:rPr>
          <w:i/>
          <w:sz w:val="22"/>
          <w:szCs w:val="22"/>
        </w:rPr>
        <w:t xml:space="preserve"> S549R</w:t>
      </w:r>
      <w:r w:rsidRPr="003F1CB4">
        <w:rPr>
          <w:sz w:val="22"/>
          <w:szCs w:val="22"/>
        </w:rPr>
        <w:t>.</w:t>
      </w:r>
    </w:p>
    <w:p w14:paraId="2D2D63E8" w14:textId="77777777" w:rsidR="004B5786" w:rsidRPr="003F1CB4" w:rsidRDefault="004B5786" w:rsidP="004B5786">
      <w:pPr>
        <w:numPr>
          <w:ilvl w:val="12"/>
          <w:numId w:val="0"/>
        </w:numPr>
        <w:tabs>
          <w:tab w:val="clear" w:pos="567"/>
        </w:tabs>
        <w:spacing w:line="240" w:lineRule="auto"/>
      </w:pPr>
    </w:p>
    <w:p w14:paraId="415E738D" w14:textId="77777777" w:rsidR="004B5786" w:rsidRPr="003F1CB4" w:rsidRDefault="004B5786" w:rsidP="004B5786">
      <w:pPr>
        <w:numPr>
          <w:ilvl w:val="12"/>
          <w:numId w:val="0"/>
        </w:numPr>
        <w:tabs>
          <w:tab w:val="clear" w:pos="567"/>
        </w:tabs>
        <w:spacing w:line="240" w:lineRule="auto"/>
      </w:pPr>
    </w:p>
    <w:p w14:paraId="5F83D1DF" w14:textId="77777777" w:rsidR="004B5786" w:rsidRPr="003F1CB4" w:rsidRDefault="005A3D7D" w:rsidP="000A093B">
      <w:pPr>
        <w:keepNext/>
        <w:numPr>
          <w:ilvl w:val="0"/>
          <w:numId w:val="19"/>
        </w:numPr>
        <w:spacing w:line="240" w:lineRule="auto"/>
        <w:ind w:right="-2"/>
        <w:rPr>
          <w:b/>
          <w:bCs/>
          <w:caps/>
        </w:rPr>
      </w:pPr>
      <w:r w:rsidRPr="003F1CB4">
        <w:rPr>
          <w:b/>
          <w:bCs/>
        </w:rPr>
        <w:t>What you need to know before your child takes Kalydeco</w:t>
      </w:r>
    </w:p>
    <w:p w14:paraId="5F173632" w14:textId="77777777" w:rsidR="004B5786" w:rsidRPr="003F1CB4" w:rsidRDefault="004B5786" w:rsidP="000A093B">
      <w:pPr>
        <w:keepNext/>
        <w:spacing w:line="240" w:lineRule="auto"/>
      </w:pPr>
    </w:p>
    <w:p w14:paraId="1887025E" w14:textId="77777777" w:rsidR="004B5786" w:rsidRDefault="005A3D7D" w:rsidP="000A093B">
      <w:pPr>
        <w:keepNext/>
        <w:spacing w:line="240" w:lineRule="auto"/>
        <w:rPr>
          <w:b/>
          <w:bCs/>
        </w:rPr>
      </w:pPr>
      <w:r w:rsidRPr="003F1CB4">
        <w:rPr>
          <w:b/>
          <w:bCs/>
        </w:rPr>
        <w:t>Do not take Kalydeco</w:t>
      </w:r>
    </w:p>
    <w:p w14:paraId="0E72A0B3" w14:textId="77777777" w:rsidR="00987822" w:rsidRPr="00A808AC" w:rsidRDefault="00987822" w:rsidP="000A093B">
      <w:pPr>
        <w:keepNext/>
        <w:spacing w:line="240" w:lineRule="auto"/>
        <w:rPr>
          <w:b/>
          <w:bCs/>
        </w:rPr>
      </w:pPr>
    </w:p>
    <w:p w14:paraId="5E8BB09E" w14:textId="77777777" w:rsidR="004B5786" w:rsidRPr="00A808AC" w:rsidRDefault="005A3D7D" w:rsidP="000A093B">
      <w:pPr>
        <w:keepNext/>
        <w:numPr>
          <w:ilvl w:val="0"/>
          <w:numId w:val="5"/>
        </w:numPr>
        <w:tabs>
          <w:tab w:val="clear" w:pos="567"/>
          <w:tab w:val="clear" w:pos="720"/>
        </w:tabs>
        <w:spacing w:line="240" w:lineRule="auto"/>
        <w:ind w:left="567"/>
      </w:pPr>
      <w:r w:rsidRPr="00A808AC">
        <w:t>if your child is allergic to ivacaftor or any of th</w:t>
      </w:r>
      <w:r w:rsidRPr="00A808AC">
        <w:t>e other ingredients of this medicine (listed in section 6).</w:t>
      </w:r>
    </w:p>
    <w:p w14:paraId="30038314" w14:textId="77777777" w:rsidR="004B5786" w:rsidRPr="00A808AC" w:rsidRDefault="004B5786" w:rsidP="004B5786">
      <w:pPr>
        <w:numPr>
          <w:ilvl w:val="12"/>
          <w:numId w:val="0"/>
        </w:numPr>
        <w:tabs>
          <w:tab w:val="clear" w:pos="567"/>
        </w:tabs>
        <w:spacing w:line="240" w:lineRule="auto"/>
      </w:pPr>
    </w:p>
    <w:p w14:paraId="11C85C67" w14:textId="77777777" w:rsidR="004B5786" w:rsidRDefault="005A3D7D" w:rsidP="004B5786">
      <w:pPr>
        <w:keepNext/>
        <w:numPr>
          <w:ilvl w:val="12"/>
          <w:numId w:val="0"/>
        </w:numPr>
        <w:tabs>
          <w:tab w:val="clear" w:pos="567"/>
        </w:tabs>
        <w:spacing w:line="240" w:lineRule="auto"/>
        <w:outlineLvl w:val="0"/>
        <w:rPr>
          <w:b/>
          <w:bCs/>
        </w:rPr>
      </w:pPr>
      <w:r w:rsidRPr="00A808AC">
        <w:rPr>
          <w:b/>
          <w:bCs/>
        </w:rPr>
        <w:t>Warnings and precautions</w:t>
      </w:r>
    </w:p>
    <w:p w14:paraId="4E8D8F7E" w14:textId="77777777" w:rsidR="00987822" w:rsidRPr="00A808AC" w:rsidRDefault="00987822" w:rsidP="004B5786">
      <w:pPr>
        <w:keepNext/>
        <w:numPr>
          <w:ilvl w:val="12"/>
          <w:numId w:val="0"/>
        </w:numPr>
        <w:tabs>
          <w:tab w:val="clear" w:pos="567"/>
        </w:tabs>
        <w:spacing w:line="240" w:lineRule="auto"/>
        <w:outlineLvl w:val="0"/>
        <w:rPr>
          <w:b/>
          <w:bCs/>
        </w:rPr>
      </w:pPr>
    </w:p>
    <w:p w14:paraId="27C6B7D5" w14:textId="146932C1" w:rsidR="00CA310E" w:rsidRPr="00A808AC" w:rsidRDefault="005A3D7D" w:rsidP="000A093B">
      <w:pPr>
        <w:keepNext/>
        <w:numPr>
          <w:ilvl w:val="0"/>
          <w:numId w:val="47"/>
        </w:numPr>
        <w:tabs>
          <w:tab w:val="clear" w:pos="567"/>
        </w:tabs>
        <w:spacing w:line="240" w:lineRule="auto"/>
        <w:ind w:left="567"/>
        <w:outlineLvl w:val="0"/>
        <w:rPr>
          <w:bCs/>
        </w:rPr>
      </w:pPr>
      <w:r w:rsidRPr="00A808AC">
        <w:rPr>
          <w:bCs/>
        </w:rPr>
        <w:t xml:space="preserve">Talk to your </w:t>
      </w:r>
      <w:r w:rsidR="00207E2F" w:rsidRPr="00A808AC">
        <w:rPr>
          <w:bCs/>
        </w:rPr>
        <w:t xml:space="preserve">child’s </w:t>
      </w:r>
      <w:r w:rsidRPr="00A808AC">
        <w:rPr>
          <w:bCs/>
        </w:rPr>
        <w:t xml:space="preserve">doctor </w:t>
      </w:r>
      <w:r w:rsidR="0076765F" w:rsidRPr="0076765F">
        <w:rPr>
          <w:bCs/>
        </w:rPr>
        <w:t>if you</w:t>
      </w:r>
      <w:r w:rsidR="0076765F">
        <w:rPr>
          <w:bCs/>
        </w:rPr>
        <w:t>r child has liver problems or has</w:t>
      </w:r>
      <w:r w:rsidR="0076765F" w:rsidRPr="0076765F">
        <w:rPr>
          <w:bCs/>
        </w:rPr>
        <w:t xml:space="preserve"> had them previously. Your </w:t>
      </w:r>
      <w:r w:rsidR="0076765F">
        <w:rPr>
          <w:bCs/>
        </w:rPr>
        <w:t>child</w:t>
      </w:r>
      <w:r w:rsidR="003A61B8">
        <w:rPr>
          <w:bCs/>
        </w:rPr>
        <w:t>’</w:t>
      </w:r>
      <w:r w:rsidR="0076765F">
        <w:rPr>
          <w:bCs/>
        </w:rPr>
        <w:t xml:space="preserve">s </w:t>
      </w:r>
      <w:r w:rsidR="0076765F" w:rsidRPr="0076765F">
        <w:rPr>
          <w:bCs/>
        </w:rPr>
        <w:t xml:space="preserve">doctor may need to adjust </w:t>
      </w:r>
      <w:r w:rsidR="0076765F">
        <w:rPr>
          <w:bCs/>
        </w:rPr>
        <w:t>your child</w:t>
      </w:r>
      <w:r w:rsidR="003A61B8">
        <w:rPr>
          <w:bCs/>
        </w:rPr>
        <w:t>’</w:t>
      </w:r>
      <w:r w:rsidR="0076765F">
        <w:rPr>
          <w:bCs/>
        </w:rPr>
        <w:t>s</w:t>
      </w:r>
      <w:r w:rsidR="0076765F" w:rsidRPr="0076765F">
        <w:rPr>
          <w:bCs/>
        </w:rPr>
        <w:t xml:space="preserve"> dose</w:t>
      </w:r>
      <w:r w:rsidRPr="00A808AC">
        <w:rPr>
          <w:bCs/>
        </w:rPr>
        <w:t>.</w:t>
      </w:r>
    </w:p>
    <w:p w14:paraId="0D871ECE" w14:textId="77777777" w:rsidR="004B5786" w:rsidRPr="00D34757" w:rsidRDefault="005A3D7D" w:rsidP="000A093B">
      <w:pPr>
        <w:numPr>
          <w:ilvl w:val="0"/>
          <w:numId w:val="11"/>
        </w:numPr>
        <w:tabs>
          <w:tab w:val="clear" w:pos="360"/>
          <w:tab w:val="clear" w:pos="567"/>
        </w:tabs>
        <w:spacing w:line="240" w:lineRule="auto"/>
        <w:ind w:left="567"/>
        <w:outlineLvl w:val="0"/>
      </w:pPr>
      <w:r w:rsidRPr="00D34757">
        <w:t xml:space="preserve">Increased liver enzymes in the blood have been seen in some people receiving </w:t>
      </w:r>
      <w:r w:rsidR="00DA11A1">
        <w:t>Kalydeco</w:t>
      </w:r>
      <w:r w:rsidRPr="00D34757">
        <w:t>. Tell your child’s doctor right away if your child has any of these symptoms, which may be a sign of liver problems:</w:t>
      </w:r>
    </w:p>
    <w:p w14:paraId="13B56FB3" w14:textId="77777777" w:rsidR="004B5786" w:rsidRPr="00A808AC" w:rsidRDefault="005A3D7D" w:rsidP="000A093B">
      <w:pPr>
        <w:numPr>
          <w:ilvl w:val="0"/>
          <w:numId w:val="37"/>
        </w:numPr>
        <w:tabs>
          <w:tab w:val="clear" w:pos="567"/>
          <w:tab w:val="clear" w:pos="720"/>
          <w:tab w:val="num" w:pos="851"/>
        </w:tabs>
        <w:autoSpaceDE w:val="0"/>
        <w:autoSpaceDN w:val="0"/>
        <w:adjustRightInd w:val="0"/>
        <w:spacing w:line="240" w:lineRule="auto"/>
        <w:ind w:left="851"/>
        <w:rPr>
          <w:rFonts w:eastAsia="MS Mincho"/>
          <w:lang w:eastAsia="ja-JP"/>
        </w:rPr>
      </w:pPr>
      <w:r w:rsidRPr="00A808AC">
        <w:rPr>
          <w:rFonts w:eastAsia="MS Mincho"/>
          <w:lang w:eastAsia="ja-JP"/>
        </w:rPr>
        <w:t>Pain or discomfort in the upper right stomach (abdomi</w:t>
      </w:r>
      <w:r w:rsidRPr="00A808AC">
        <w:rPr>
          <w:rFonts w:eastAsia="MS Mincho"/>
          <w:lang w:eastAsia="ja-JP"/>
        </w:rPr>
        <w:t>nal) area</w:t>
      </w:r>
    </w:p>
    <w:p w14:paraId="328AD59C" w14:textId="77777777" w:rsidR="004B5786" w:rsidRPr="00A808AC" w:rsidRDefault="005A3D7D" w:rsidP="000A093B">
      <w:pPr>
        <w:numPr>
          <w:ilvl w:val="0"/>
          <w:numId w:val="37"/>
        </w:numPr>
        <w:tabs>
          <w:tab w:val="clear" w:pos="567"/>
          <w:tab w:val="clear" w:pos="720"/>
          <w:tab w:val="num" w:pos="851"/>
        </w:tabs>
        <w:autoSpaceDE w:val="0"/>
        <w:autoSpaceDN w:val="0"/>
        <w:adjustRightInd w:val="0"/>
        <w:spacing w:line="240" w:lineRule="auto"/>
        <w:ind w:left="851"/>
        <w:rPr>
          <w:rFonts w:eastAsia="MS Mincho"/>
          <w:lang w:eastAsia="ja-JP"/>
        </w:rPr>
      </w:pPr>
      <w:r w:rsidRPr="00A808AC">
        <w:rPr>
          <w:rFonts w:eastAsia="MS Mincho"/>
          <w:lang w:eastAsia="ja-JP"/>
        </w:rPr>
        <w:t>Yellowing of the skin or the white part of the eyes</w:t>
      </w:r>
    </w:p>
    <w:p w14:paraId="13318243" w14:textId="77777777" w:rsidR="004B5786" w:rsidRPr="00A808AC" w:rsidRDefault="005A3D7D" w:rsidP="000A093B">
      <w:pPr>
        <w:numPr>
          <w:ilvl w:val="0"/>
          <w:numId w:val="37"/>
        </w:numPr>
        <w:tabs>
          <w:tab w:val="clear" w:pos="567"/>
          <w:tab w:val="clear" w:pos="720"/>
          <w:tab w:val="num" w:pos="851"/>
        </w:tabs>
        <w:autoSpaceDE w:val="0"/>
        <w:autoSpaceDN w:val="0"/>
        <w:adjustRightInd w:val="0"/>
        <w:spacing w:line="240" w:lineRule="auto"/>
        <w:ind w:left="851"/>
        <w:rPr>
          <w:rFonts w:eastAsia="MS Mincho"/>
          <w:lang w:eastAsia="ja-JP"/>
        </w:rPr>
      </w:pPr>
      <w:r w:rsidRPr="00A808AC">
        <w:rPr>
          <w:rFonts w:eastAsia="MS Mincho"/>
          <w:lang w:eastAsia="ja-JP"/>
        </w:rPr>
        <w:t>Loss of appetite</w:t>
      </w:r>
    </w:p>
    <w:p w14:paraId="6D5F0DD8" w14:textId="77777777" w:rsidR="004B5786" w:rsidRPr="00A808AC" w:rsidRDefault="005A3D7D" w:rsidP="000A093B">
      <w:pPr>
        <w:numPr>
          <w:ilvl w:val="0"/>
          <w:numId w:val="37"/>
        </w:numPr>
        <w:tabs>
          <w:tab w:val="clear" w:pos="567"/>
          <w:tab w:val="clear" w:pos="720"/>
          <w:tab w:val="num" w:pos="851"/>
        </w:tabs>
        <w:autoSpaceDE w:val="0"/>
        <w:autoSpaceDN w:val="0"/>
        <w:adjustRightInd w:val="0"/>
        <w:spacing w:line="240" w:lineRule="auto"/>
        <w:ind w:left="851"/>
        <w:rPr>
          <w:rFonts w:eastAsia="MS Mincho"/>
          <w:lang w:eastAsia="ja-JP"/>
        </w:rPr>
      </w:pPr>
      <w:r w:rsidRPr="00A808AC">
        <w:rPr>
          <w:rFonts w:eastAsia="MS Mincho"/>
          <w:lang w:eastAsia="ja-JP"/>
        </w:rPr>
        <w:t>Nausea or vomiting</w:t>
      </w:r>
    </w:p>
    <w:p w14:paraId="72A2F893" w14:textId="77777777" w:rsidR="004B5786" w:rsidRPr="00A808AC" w:rsidRDefault="005A3D7D" w:rsidP="000A093B">
      <w:pPr>
        <w:numPr>
          <w:ilvl w:val="0"/>
          <w:numId w:val="37"/>
        </w:numPr>
        <w:tabs>
          <w:tab w:val="clear" w:pos="567"/>
          <w:tab w:val="clear" w:pos="720"/>
          <w:tab w:val="num" w:pos="851"/>
        </w:tabs>
        <w:autoSpaceDE w:val="0"/>
        <w:autoSpaceDN w:val="0"/>
        <w:adjustRightInd w:val="0"/>
        <w:spacing w:line="240" w:lineRule="auto"/>
        <w:ind w:left="851"/>
        <w:rPr>
          <w:rFonts w:eastAsia="MS Mincho"/>
          <w:lang w:eastAsia="ja-JP"/>
        </w:rPr>
      </w:pPr>
      <w:r w:rsidRPr="00A808AC">
        <w:rPr>
          <w:rFonts w:eastAsia="MS Mincho"/>
          <w:lang w:eastAsia="ja-JP"/>
        </w:rPr>
        <w:t>Dark urine</w:t>
      </w:r>
    </w:p>
    <w:p w14:paraId="712708D3" w14:textId="77777777" w:rsidR="004B5786" w:rsidRPr="00A808AC" w:rsidRDefault="005A3D7D" w:rsidP="00BA47B4">
      <w:pPr>
        <w:tabs>
          <w:tab w:val="clear" w:pos="567"/>
        </w:tabs>
        <w:spacing w:line="240" w:lineRule="auto"/>
        <w:ind w:left="360"/>
      </w:pPr>
      <w:r w:rsidRPr="00A808AC">
        <w:rPr>
          <w:rFonts w:eastAsia="MS Mincho"/>
          <w:lang w:eastAsia="ja-JP"/>
        </w:rPr>
        <w:t xml:space="preserve">Your child’s doctor will do some blood tests to check your child’s liver </w:t>
      </w:r>
      <w:r w:rsidR="0076765F">
        <w:rPr>
          <w:rFonts w:eastAsia="MS Mincho"/>
          <w:lang w:eastAsia="ja-JP"/>
        </w:rPr>
        <w:t>before and during treatment</w:t>
      </w:r>
      <w:r w:rsidRPr="00A808AC">
        <w:rPr>
          <w:rFonts w:eastAsia="MS Mincho"/>
          <w:lang w:eastAsia="ja-JP"/>
        </w:rPr>
        <w:t xml:space="preserve">, particularly during the first year and </w:t>
      </w:r>
      <w:r w:rsidRPr="00A808AC">
        <w:t>especi</w:t>
      </w:r>
      <w:r w:rsidRPr="00A808AC">
        <w:t>ally</w:t>
      </w:r>
      <w:r w:rsidRPr="00420CDD">
        <w:t xml:space="preserve"> </w:t>
      </w:r>
      <w:r w:rsidR="00420CDD" w:rsidRPr="00420CDD">
        <w:t>if</w:t>
      </w:r>
      <w:r w:rsidR="00420CDD">
        <w:t xml:space="preserve"> </w:t>
      </w:r>
      <w:r w:rsidR="0076765F">
        <w:t>blood tests showed</w:t>
      </w:r>
      <w:r w:rsidRPr="00A808AC">
        <w:t xml:space="preserve"> high liver enzymes in the past.</w:t>
      </w:r>
    </w:p>
    <w:p w14:paraId="018A7660" w14:textId="77777777" w:rsidR="00854AA0" w:rsidRDefault="00854AA0" w:rsidP="00854AA0">
      <w:pPr>
        <w:tabs>
          <w:tab w:val="clear" w:pos="567"/>
        </w:tabs>
        <w:spacing w:line="240" w:lineRule="auto"/>
        <w:ind w:left="360"/>
        <w:outlineLvl w:val="0"/>
      </w:pPr>
    </w:p>
    <w:p w14:paraId="37EBEDC2" w14:textId="22CCC40C" w:rsidR="00AC6207" w:rsidRDefault="005A3D7D" w:rsidP="000A093B">
      <w:pPr>
        <w:numPr>
          <w:ilvl w:val="0"/>
          <w:numId w:val="11"/>
        </w:numPr>
        <w:tabs>
          <w:tab w:val="clear" w:pos="360"/>
          <w:tab w:val="clear" w:pos="567"/>
        </w:tabs>
        <w:spacing w:line="240" w:lineRule="auto"/>
        <w:ind w:left="567"/>
        <w:outlineLvl w:val="0"/>
      </w:pPr>
      <w:r w:rsidRPr="00D34757">
        <w:t xml:space="preserve">Talk to your child’s doctor if you have been told your child has </w:t>
      </w:r>
      <w:r w:rsidR="0076765F">
        <w:t>kidney problems or has</w:t>
      </w:r>
      <w:r w:rsidR="0076765F" w:rsidRPr="00405F8A">
        <w:t xml:space="preserve"> previously had them.</w:t>
      </w:r>
      <w:r w:rsidR="0076765F">
        <w:t xml:space="preserve"> </w:t>
      </w:r>
    </w:p>
    <w:p w14:paraId="710CFDBF" w14:textId="77777777" w:rsidR="0087081C" w:rsidRPr="00D34757" w:rsidRDefault="0087081C" w:rsidP="000A093B">
      <w:pPr>
        <w:tabs>
          <w:tab w:val="clear" w:pos="567"/>
        </w:tabs>
        <w:spacing w:line="240" w:lineRule="auto"/>
        <w:ind w:left="567"/>
        <w:outlineLvl w:val="0"/>
      </w:pPr>
    </w:p>
    <w:p w14:paraId="1A6F7EA0" w14:textId="77777777" w:rsidR="00CA310E" w:rsidRDefault="005A3D7D" w:rsidP="000A093B">
      <w:pPr>
        <w:numPr>
          <w:ilvl w:val="0"/>
          <w:numId w:val="11"/>
        </w:numPr>
        <w:tabs>
          <w:tab w:val="clear" w:pos="360"/>
          <w:tab w:val="clear" w:pos="567"/>
        </w:tabs>
        <w:spacing w:line="240" w:lineRule="auto"/>
        <w:ind w:left="567"/>
        <w:outlineLvl w:val="0"/>
      </w:pPr>
      <w:r w:rsidRPr="00D34757">
        <w:t xml:space="preserve">Kalydeco is not recommended </w:t>
      </w:r>
      <w:r w:rsidR="0002105B" w:rsidRPr="00D34757">
        <w:t>for</w:t>
      </w:r>
      <w:r w:rsidRPr="00D34757">
        <w:t xml:space="preserve"> patients who have undergone an organ transplant.</w:t>
      </w:r>
    </w:p>
    <w:p w14:paraId="42598BE1" w14:textId="77777777" w:rsidR="0087081C" w:rsidRPr="00D34757" w:rsidRDefault="0087081C" w:rsidP="000A093B">
      <w:pPr>
        <w:tabs>
          <w:tab w:val="clear" w:pos="567"/>
        </w:tabs>
        <w:spacing w:line="240" w:lineRule="auto"/>
        <w:ind w:left="567"/>
        <w:outlineLvl w:val="0"/>
      </w:pPr>
    </w:p>
    <w:p w14:paraId="005802B8" w14:textId="77777777" w:rsidR="002F3747" w:rsidRPr="002F3747" w:rsidRDefault="005A3D7D" w:rsidP="000A093B">
      <w:pPr>
        <w:numPr>
          <w:ilvl w:val="0"/>
          <w:numId w:val="11"/>
        </w:numPr>
        <w:tabs>
          <w:tab w:val="clear" w:pos="360"/>
          <w:tab w:val="clear" w:pos="567"/>
        </w:tabs>
        <w:spacing w:line="240" w:lineRule="auto"/>
        <w:ind w:left="567"/>
        <w:outlineLvl w:val="0"/>
        <w:rPr>
          <w:bCs/>
          <w:iCs/>
        </w:rPr>
      </w:pPr>
      <w:r w:rsidRPr="00D34757">
        <w:t xml:space="preserve">Abnormality of the eye lens (cataract) without any effect on vision has been noted in some children </w:t>
      </w:r>
      <w:r w:rsidR="006A5C6B" w:rsidRPr="00D34757">
        <w:t xml:space="preserve">and adolescents </w:t>
      </w:r>
      <w:r w:rsidR="00443D61">
        <w:t>during treatment</w:t>
      </w:r>
      <w:r w:rsidRPr="00D34757">
        <w:t>.</w:t>
      </w:r>
      <w:r w:rsidR="007A7710" w:rsidRPr="00D34757">
        <w:t xml:space="preserve"> </w:t>
      </w:r>
    </w:p>
    <w:p w14:paraId="4B6D075D" w14:textId="77777777" w:rsidR="004838A2" w:rsidRPr="00D34757" w:rsidRDefault="005A3D7D" w:rsidP="000A093B">
      <w:pPr>
        <w:tabs>
          <w:tab w:val="clear" w:pos="567"/>
        </w:tabs>
        <w:spacing w:line="240" w:lineRule="auto"/>
        <w:ind w:left="567"/>
        <w:outlineLvl w:val="0"/>
        <w:rPr>
          <w:bCs/>
          <w:iCs/>
        </w:rPr>
      </w:pPr>
      <w:r w:rsidRPr="004C2199">
        <w:rPr>
          <w:rFonts w:eastAsia="MS Mincho"/>
          <w:lang w:eastAsia="ja-JP"/>
        </w:rPr>
        <w:t xml:space="preserve">Your child’s doctor may perform some eye examinations prior to and </w:t>
      </w:r>
      <w:r w:rsidRPr="004C2199">
        <w:rPr>
          <w:rFonts w:eastAsia="MS Mincho"/>
          <w:lang w:eastAsia="ja-JP"/>
        </w:rPr>
        <w:t>during treatment with ivacaftor.</w:t>
      </w:r>
    </w:p>
    <w:p w14:paraId="30C04F4F" w14:textId="77777777" w:rsidR="004B5786" w:rsidRPr="00A808AC" w:rsidRDefault="004B5786" w:rsidP="004B5786">
      <w:pPr>
        <w:numPr>
          <w:ilvl w:val="12"/>
          <w:numId w:val="0"/>
        </w:numPr>
        <w:tabs>
          <w:tab w:val="clear" w:pos="567"/>
        </w:tabs>
        <w:spacing w:line="240" w:lineRule="auto"/>
        <w:ind w:right="-2"/>
      </w:pPr>
    </w:p>
    <w:p w14:paraId="5CAF475D" w14:textId="77777777" w:rsidR="004B5786" w:rsidRDefault="005A3D7D" w:rsidP="000A093B">
      <w:pPr>
        <w:keepNext/>
        <w:numPr>
          <w:ilvl w:val="12"/>
          <w:numId w:val="0"/>
        </w:numPr>
        <w:tabs>
          <w:tab w:val="clear" w:pos="567"/>
        </w:tabs>
        <w:spacing w:line="240" w:lineRule="auto"/>
        <w:rPr>
          <w:b/>
          <w:bCs/>
        </w:rPr>
      </w:pPr>
      <w:r w:rsidRPr="00A808AC">
        <w:rPr>
          <w:b/>
          <w:bCs/>
        </w:rPr>
        <w:t>Children</w:t>
      </w:r>
    </w:p>
    <w:p w14:paraId="4B51A76E" w14:textId="77777777" w:rsidR="00987822" w:rsidRPr="00A808AC" w:rsidRDefault="00987822" w:rsidP="000A093B">
      <w:pPr>
        <w:keepNext/>
        <w:numPr>
          <w:ilvl w:val="12"/>
          <w:numId w:val="0"/>
        </w:numPr>
        <w:tabs>
          <w:tab w:val="clear" w:pos="567"/>
        </w:tabs>
        <w:spacing w:line="240" w:lineRule="auto"/>
        <w:rPr>
          <w:b/>
          <w:bCs/>
        </w:rPr>
      </w:pPr>
    </w:p>
    <w:p w14:paraId="16910F57" w14:textId="3928BD32" w:rsidR="004B5786" w:rsidRPr="003F1CB4" w:rsidRDefault="005A3D7D" w:rsidP="000A093B">
      <w:pPr>
        <w:keepNext/>
        <w:numPr>
          <w:ilvl w:val="12"/>
          <w:numId w:val="0"/>
        </w:numPr>
        <w:tabs>
          <w:tab w:val="clear" w:pos="567"/>
        </w:tabs>
        <w:spacing w:line="240" w:lineRule="auto"/>
        <w:rPr>
          <w:bCs/>
        </w:rPr>
      </w:pPr>
      <w:r w:rsidRPr="001C1C01">
        <w:rPr>
          <w:bCs/>
        </w:rPr>
        <w:t>Do not give this medicine to</w:t>
      </w:r>
      <w:r w:rsidRPr="00A808AC">
        <w:rPr>
          <w:bCs/>
        </w:rPr>
        <w:t xml:space="preserve"> children under </w:t>
      </w:r>
      <w:r w:rsidR="0073031A">
        <w:rPr>
          <w:bCs/>
        </w:rPr>
        <w:t>4 </w:t>
      </w:r>
      <w:r w:rsidR="00B95574">
        <w:rPr>
          <w:bCs/>
        </w:rPr>
        <w:t>months</w:t>
      </w:r>
      <w:r w:rsidR="00B95574" w:rsidRPr="00A808AC">
        <w:rPr>
          <w:bCs/>
        </w:rPr>
        <w:t xml:space="preserve"> </w:t>
      </w:r>
      <w:r w:rsidRPr="00A808AC">
        <w:rPr>
          <w:bCs/>
        </w:rPr>
        <w:t xml:space="preserve">of age as it is not known if </w:t>
      </w:r>
      <w:r w:rsidRPr="003F1CB4">
        <w:rPr>
          <w:bCs/>
        </w:rPr>
        <w:t>ivacaftor is safe and effective in these children.</w:t>
      </w:r>
    </w:p>
    <w:p w14:paraId="5606310E" w14:textId="77777777" w:rsidR="004B5786" w:rsidRPr="003F1CB4" w:rsidRDefault="004B5786" w:rsidP="004B5786">
      <w:pPr>
        <w:numPr>
          <w:ilvl w:val="12"/>
          <w:numId w:val="0"/>
        </w:numPr>
        <w:tabs>
          <w:tab w:val="clear" w:pos="567"/>
        </w:tabs>
        <w:spacing w:line="240" w:lineRule="auto"/>
        <w:rPr>
          <w:bCs/>
        </w:rPr>
      </w:pPr>
    </w:p>
    <w:p w14:paraId="4694C59F" w14:textId="77777777" w:rsidR="004B5786" w:rsidRDefault="005A3D7D" w:rsidP="000A093B">
      <w:pPr>
        <w:keepNext/>
        <w:numPr>
          <w:ilvl w:val="12"/>
          <w:numId w:val="0"/>
        </w:numPr>
        <w:tabs>
          <w:tab w:val="clear" w:pos="567"/>
        </w:tabs>
        <w:spacing w:line="240" w:lineRule="auto"/>
        <w:ind w:right="-2"/>
        <w:rPr>
          <w:b/>
          <w:bCs/>
        </w:rPr>
      </w:pPr>
      <w:r w:rsidRPr="003F1CB4">
        <w:rPr>
          <w:b/>
          <w:bCs/>
        </w:rPr>
        <w:t>Other medicines and Kalydeco</w:t>
      </w:r>
    </w:p>
    <w:p w14:paraId="546E2EF1" w14:textId="77777777" w:rsidR="00987822" w:rsidRPr="003F1CB4" w:rsidRDefault="00987822" w:rsidP="000A093B">
      <w:pPr>
        <w:keepNext/>
        <w:numPr>
          <w:ilvl w:val="12"/>
          <w:numId w:val="0"/>
        </w:numPr>
        <w:tabs>
          <w:tab w:val="clear" w:pos="567"/>
        </w:tabs>
        <w:spacing w:line="240" w:lineRule="auto"/>
        <w:ind w:right="-2"/>
      </w:pPr>
    </w:p>
    <w:p w14:paraId="220BA6A6" w14:textId="2489C119" w:rsidR="004B5786" w:rsidRPr="00A808AC" w:rsidRDefault="005A3D7D" w:rsidP="000A093B">
      <w:pPr>
        <w:keepNext/>
        <w:numPr>
          <w:ilvl w:val="12"/>
          <w:numId w:val="0"/>
        </w:numPr>
        <w:spacing w:line="240" w:lineRule="auto"/>
        <w:ind w:right="-2"/>
      </w:pPr>
      <w:r w:rsidRPr="003F1CB4">
        <w:t>Tell your child’s doctor or pharmacist if your c</w:t>
      </w:r>
      <w:r w:rsidRPr="003F1CB4">
        <w:t>hild is using, has recently used or might use any other medicines.</w:t>
      </w:r>
      <w:r w:rsidR="0076765F">
        <w:t xml:space="preserve"> </w:t>
      </w:r>
      <w:r w:rsidR="0076765F" w:rsidRPr="008D632A">
        <w:t xml:space="preserve">Some medicines can affect how </w:t>
      </w:r>
      <w:r w:rsidR="0076765F">
        <w:t>Kalydeco</w:t>
      </w:r>
      <w:r w:rsidR="0076765F" w:rsidRPr="008D632A">
        <w:t xml:space="preserve"> works or make side effects more likely.</w:t>
      </w:r>
      <w:r w:rsidR="0076765F">
        <w:t xml:space="preserve"> </w:t>
      </w:r>
      <w:r w:rsidR="0076765F" w:rsidRPr="00236846">
        <w:t xml:space="preserve">In particular, tell your </w:t>
      </w:r>
      <w:r w:rsidR="00CF4128">
        <w:t>child’s</w:t>
      </w:r>
      <w:r w:rsidR="00542B9A">
        <w:t xml:space="preserve"> </w:t>
      </w:r>
      <w:r w:rsidR="0076765F" w:rsidRPr="00236846">
        <w:t>doctor if you</w:t>
      </w:r>
      <w:r w:rsidR="007570B1">
        <w:t>r child is</w:t>
      </w:r>
      <w:r w:rsidR="0076765F" w:rsidRPr="00236846">
        <w:t xml:space="preserve"> taking any of the medicines listed below. Your </w:t>
      </w:r>
      <w:r w:rsidR="00CF4128">
        <w:t>child’s</w:t>
      </w:r>
      <w:r w:rsidR="00542B9A">
        <w:t xml:space="preserve"> </w:t>
      </w:r>
      <w:r w:rsidR="0076765F" w:rsidRPr="00236846">
        <w:t xml:space="preserve">doctor may decide to adjust your </w:t>
      </w:r>
      <w:r w:rsidR="007570B1">
        <w:t xml:space="preserve">child’s </w:t>
      </w:r>
      <w:r w:rsidR="0076765F" w:rsidRPr="00236846">
        <w:t xml:space="preserve">dose or </w:t>
      </w:r>
      <w:r w:rsidR="001C1C01">
        <w:t xml:space="preserve">if </w:t>
      </w:r>
      <w:r w:rsidR="0076765F" w:rsidRPr="00236846">
        <w:t>extra check</w:t>
      </w:r>
      <w:r w:rsidR="00E522A8">
        <w:t>-</w:t>
      </w:r>
      <w:r w:rsidR="0076765F" w:rsidRPr="00236846">
        <w:t>ups</w:t>
      </w:r>
      <w:r w:rsidR="001C1C01">
        <w:t xml:space="preserve"> are needed</w:t>
      </w:r>
      <w:r w:rsidR="0076765F" w:rsidRPr="00236846">
        <w:t>.</w:t>
      </w:r>
    </w:p>
    <w:p w14:paraId="3404F2A4" w14:textId="2A8262AC" w:rsidR="007A4A24" w:rsidRPr="00236846" w:rsidRDefault="005A3D7D" w:rsidP="000A093B">
      <w:pPr>
        <w:numPr>
          <w:ilvl w:val="0"/>
          <w:numId w:val="14"/>
        </w:numPr>
        <w:tabs>
          <w:tab w:val="clear" w:pos="567"/>
        </w:tabs>
        <w:spacing w:line="240" w:lineRule="auto"/>
        <w:ind w:left="567"/>
        <w:rPr>
          <w:rFonts w:eastAsia="MS Mincho"/>
        </w:rPr>
      </w:pPr>
      <w:r w:rsidRPr="000A093B">
        <w:rPr>
          <w:b/>
        </w:rPr>
        <w:t>Antifungal medicines</w:t>
      </w:r>
      <w:r w:rsidRPr="00236846">
        <w:rPr>
          <w:rFonts w:eastAsia="MS Mincho"/>
        </w:rPr>
        <w:t xml:space="preserve"> </w:t>
      </w:r>
      <w:r w:rsidR="00B75DDB">
        <w:rPr>
          <w:rFonts w:eastAsia="MS Mincho"/>
        </w:rPr>
        <w:t xml:space="preserve">(used for the treatment of fungal infections). These include </w:t>
      </w:r>
      <w:r w:rsidR="002C7F75" w:rsidRPr="00236846">
        <w:rPr>
          <w:rFonts w:eastAsia="MS Mincho"/>
        </w:rPr>
        <w:t>fluconazole</w:t>
      </w:r>
      <w:r w:rsidR="002C7F75">
        <w:rPr>
          <w:rFonts w:eastAsia="MS Mincho"/>
        </w:rPr>
        <w:t xml:space="preserve">, </w:t>
      </w:r>
      <w:r w:rsidR="002C7F75" w:rsidRPr="00236846">
        <w:rPr>
          <w:rFonts w:eastAsia="MS Mincho"/>
        </w:rPr>
        <w:t xml:space="preserve">itraconazole, </w:t>
      </w:r>
      <w:r>
        <w:rPr>
          <w:rFonts w:eastAsia="MS Mincho"/>
        </w:rPr>
        <w:t>k</w:t>
      </w:r>
      <w:r w:rsidRPr="00236846">
        <w:rPr>
          <w:rFonts w:eastAsia="MS Mincho"/>
        </w:rPr>
        <w:t xml:space="preserve">etoconazole, posaconazole, </w:t>
      </w:r>
      <w:r w:rsidR="002C7F75">
        <w:rPr>
          <w:rFonts w:eastAsia="MS Mincho"/>
        </w:rPr>
        <w:t xml:space="preserve">and </w:t>
      </w:r>
      <w:r w:rsidRPr="00236846">
        <w:rPr>
          <w:rFonts w:eastAsia="MS Mincho"/>
        </w:rPr>
        <w:t>voriconazole</w:t>
      </w:r>
      <w:r w:rsidR="00B75DDB">
        <w:rPr>
          <w:rFonts w:eastAsia="MS Mincho"/>
        </w:rPr>
        <w:t>.</w:t>
      </w:r>
    </w:p>
    <w:p w14:paraId="3CDD4A3B" w14:textId="30596840" w:rsidR="007A4A24" w:rsidRPr="00236846" w:rsidRDefault="005A3D7D" w:rsidP="000A093B">
      <w:pPr>
        <w:numPr>
          <w:ilvl w:val="0"/>
          <w:numId w:val="14"/>
        </w:numPr>
        <w:tabs>
          <w:tab w:val="clear" w:pos="567"/>
        </w:tabs>
        <w:spacing w:line="240" w:lineRule="auto"/>
        <w:ind w:left="567"/>
        <w:rPr>
          <w:rFonts w:eastAsia="MS Mincho"/>
          <w:noProof/>
        </w:rPr>
      </w:pPr>
      <w:r w:rsidRPr="00196917">
        <w:rPr>
          <w:rFonts w:eastAsia="MS Mincho"/>
          <w:b/>
          <w:bCs/>
        </w:rPr>
        <w:t>Antibiotic medicines</w:t>
      </w:r>
      <w:r w:rsidR="002C7F75">
        <w:rPr>
          <w:rFonts w:eastAsia="MS Mincho"/>
          <w:b/>
          <w:bCs/>
        </w:rPr>
        <w:t xml:space="preserve"> </w:t>
      </w:r>
      <w:r>
        <w:rPr>
          <w:rFonts w:eastAsia="MS Mincho"/>
        </w:rPr>
        <w:t>(used for the treatment of bacterial infections). These include</w:t>
      </w:r>
      <w:r w:rsidR="009B1867" w:rsidRPr="00236846">
        <w:rPr>
          <w:rFonts w:eastAsia="MS Mincho"/>
        </w:rPr>
        <w:t xml:space="preserve">, clarithromycin, erythromycin, </w:t>
      </w:r>
      <w:r w:rsidR="002C7F75" w:rsidRPr="00236846">
        <w:rPr>
          <w:rFonts w:eastAsia="MS Mincho"/>
        </w:rPr>
        <w:t>rifabutin</w:t>
      </w:r>
      <w:r w:rsidR="002C7F75">
        <w:rPr>
          <w:rFonts w:eastAsia="MS Mincho"/>
        </w:rPr>
        <w:t>,</w:t>
      </w:r>
      <w:r w:rsidR="002C7F75" w:rsidRPr="00236846">
        <w:rPr>
          <w:rFonts w:eastAsia="MS Mincho"/>
        </w:rPr>
        <w:t xml:space="preserve"> </w:t>
      </w:r>
      <w:r w:rsidR="009B1867" w:rsidRPr="00236846">
        <w:rPr>
          <w:rFonts w:eastAsia="MS Mincho"/>
        </w:rPr>
        <w:t>rifampicin</w:t>
      </w:r>
      <w:r w:rsidR="009B1867">
        <w:rPr>
          <w:rFonts w:eastAsia="MS Mincho"/>
        </w:rPr>
        <w:t xml:space="preserve"> and</w:t>
      </w:r>
      <w:r w:rsidR="009B1867" w:rsidRPr="00236846">
        <w:rPr>
          <w:rFonts w:eastAsia="MS Mincho"/>
        </w:rPr>
        <w:t xml:space="preserve"> </w:t>
      </w:r>
      <w:r w:rsidR="002C7F75">
        <w:rPr>
          <w:rFonts w:eastAsia="MS Mincho"/>
        </w:rPr>
        <w:t>t</w:t>
      </w:r>
      <w:r w:rsidR="002C7F75" w:rsidRPr="00236846">
        <w:rPr>
          <w:rFonts w:eastAsia="MS Mincho"/>
        </w:rPr>
        <w:t>elithromycin</w:t>
      </w:r>
      <w:r>
        <w:rPr>
          <w:rFonts w:eastAsia="MS Mincho"/>
          <w:noProof/>
        </w:rPr>
        <w:t>.</w:t>
      </w:r>
    </w:p>
    <w:p w14:paraId="10758C4F" w14:textId="3A1B2274" w:rsidR="007A4A24" w:rsidRPr="00236846" w:rsidRDefault="005A3D7D" w:rsidP="000A093B">
      <w:pPr>
        <w:numPr>
          <w:ilvl w:val="0"/>
          <w:numId w:val="14"/>
        </w:numPr>
        <w:tabs>
          <w:tab w:val="clear" w:pos="567"/>
        </w:tabs>
        <w:spacing w:line="240" w:lineRule="auto"/>
        <w:ind w:left="567"/>
        <w:rPr>
          <w:rFonts w:eastAsia="MS Mincho"/>
          <w:noProof/>
        </w:rPr>
      </w:pPr>
      <w:r w:rsidRPr="00196917">
        <w:rPr>
          <w:rFonts w:eastAsia="MS Mincho"/>
          <w:b/>
          <w:bCs/>
        </w:rPr>
        <w:t>Epilepsy</w:t>
      </w:r>
      <w:r w:rsidRPr="000A093B">
        <w:rPr>
          <w:b/>
        </w:rPr>
        <w:t xml:space="preserve"> </w:t>
      </w:r>
      <w:r w:rsidR="009B1867" w:rsidRPr="000A093B">
        <w:rPr>
          <w:b/>
        </w:rPr>
        <w:t>medicines</w:t>
      </w:r>
      <w:r>
        <w:rPr>
          <w:rFonts w:eastAsia="MS Mincho"/>
        </w:rPr>
        <w:t xml:space="preserve"> (used for the treatment of epileptic seizures or fits). These include </w:t>
      </w:r>
      <w:r w:rsidR="002C7F75" w:rsidRPr="00236846">
        <w:rPr>
          <w:rFonts w:eastAsia="MS Mincho"/>
        </w:rPr>
        <w:t>carbamazepine</w:t>
      </w:r>
      <w:r w:rsidR="002C7F75">
        <w:rPr>
          <w:rFonts w:eastAsia="MS Mincho"/>
        </w:rPr>
        <w:t xml:space="preserve">, </w:t>
      </w:r>
      <w:r w:rsidR="009B1867">
        <w:rPr>
          <w:rFonts w:eastAsia="MS Mincho"/>
        </w:rPr>
        <w:t>p</w:t>
      </w:r>
      <w:r w:rsidR="009B1867" w:rsidRPr="00236846">
        <w:rPr>
          <w:rFonts w:eastAsia="MS Mincho"/>
        </w:rPr>
        <w:t xml:space="preserve">henobarbital, </w:t>
      </w:r>
      <w:r w:rsidR="009B1867">
        <w:rPr>
          <w:rFonts w:eastAsia="MS Mincho"/>
        </w:rPr>
        <w:t>and</w:t>
      </w:r>
      <w:r w:rsidR="009B1867" w:rsidRPr="00236846">
        <w:rPr>
          <w:rFonts w:eastAsia="MS Mincho"/>
        </w:rPr>
        <w:t xml:space="preserve"> phenytoin</w:t>
      </w:r>
      <w:r>
        <w:rPr>
          <w:rFonts w:eastAsia="MS Mincho"/>
          <w:noProof/>
        </w:rPr>
        <w:t>.</w:t>
      </w:r>
    </w:p>
    <w:p w14:paraId="08946222" w14:textId="5BE17795" w:rsidR="007A4A24" w:rsidRPr="00236846" w:rsidRDefault="005A3D7D" w:rsidP="000A093B">
      <w:pPr>
        <w:numPr>
          <w:ilvl w:val="0"/>
          <w:numId w:val="14"/>
        </w:numPr>
        <w:tabs>
          <w:tab w:val="clear" w:pos="567"/>
        </w:tabs>
        <w:spacing w:line="240" w:lineRule="auto"/>
        <w:ind w:left="567"/>
        <w:rPr>
          <w:rFonts w:eastAsia="MS Mincho"/>
        </w:rPr>
      </w:pPr>
      <w:r w:rsidRPr="000A093B">
        <w:rPr>
          <w:b/>
        </w:rPr>
        <w:t>Herbal medicines</w:t>
      </w:r>
      <w:r w:rsidR="00B75DDB">
        <w:rPr>
          <w:rFonts w:eastAsia="MS Mincho"/>
        </w:rPr>
        <w:t xml:space="preserve">. These include </w:t>
      </w:r>
      <w:r w:rsidRPr="00236846">
        <w:rPr>
          <w:rFonts w:eastAsia="MS Mincho"/>
        </w:rPr>
        <w:t>St. John’s wort (</w:t>
      </w:r>
      <w:r w:rsidRPr="00236846">
        <w:rPr>
          <w:rFonts w:eastAsia="MS Mincho"/>
          <w:i/>
        </w:rPr>
        <w:t>Hypericum perforatum</w:t>
      </w:r>
      <w:r w:rsidRPr="00236846">
        <w:rPr>
          <w:rFonts w:eastAsia="MS Mincho"/>
        </w:rPr>
        <w:t>)</w:t>
      </w:r>
      <w:r w:rsidR="00B75DDB">
        <w:rPr>
          <w:rFonts w:eastAsia="MS Mincho"/>
        </w:rPr>
        <w:t>.</w:t>
      </w:r>
    </w:p>
    <w:p w14:paraId="3F856501" w14:textId="563ADAA9" w:rsidR="007A4A24" w:rsidRPr="00236846" w:rsidRDefault="005A3D7D" w:rsidP="000A093B">
      <w:pPr>
        <w:numPr>
          <w:ilvl w:val="0"/>
          <w:numId w:val="15"/>
        </w:numPr>
        <w:tabs>
          <w:tab w:val="clear" w:pos="567"/>
        </w:tabs>
        <w:spacing w:line="240" w:lineRule="auto"/>
        <w:ind w:left="567"/>
        <w:rPr>
          <w:rFonts w:eastAsia="MS Mincho"/>
        </w:rPr>
      </w:pPr>
      <w:r w:rsidRPr="000A093B">
        <w:rPr>
          <w:b/>
        </w:rPr>
        <w:t>Immunosuppressants</w:t>
      </w:r>
      <w:r w:rsidR="00B75DDB">
        <w:rPr>
          <w:rFonts w:eastAsia="MS Mincho"/>
        </w:rPr>
        <w:t xml:space="preserve"> (used after an organ transplantation). These include </w:t>
      </w:r>
      <w:r>
        <w:rPr>
          <w:rFonts w:eastAsia="MS Mincho"/>
        </w:rPr>
        <w:t>c</w:t>
      </w:r>
      <w:r w:rsidRPr="00236846">
        <w:rPr>
          <w:rFonts w:eastAsia="MS Mincho"/>
        </w:rPr>
        <w:t xml:space="preserve">iclosporin, </w:t>
      </w:r>
      <w:r w:rsidR="002C7F75">
        <w:rPr>
          <w:rFonts w:eastAsia="MS Mincho"/>
        </w:rPr>
        <w:t>everolimus,</w:t>
      </w:r>
      <w:r w:rsidR="002C7F75" w:rsidRPr="00236846">
        <w:rPr>
          <w:rFonts w:eastAsia="MS Mincho"/>
        </w:rPr>
        <w:t xml:space="preserve"> sirolimus</w:t>
      </w:r>
      <w:r w:rsidR="002C7F75">
        <w:rPr>
          <w:rFonts w:eastAsia="MS Mincho"/>
        </w:rPr>
        <w:t xml:space="preserve">, and </w:t>
      </w:r>
      <w:r w:rsidRPr="00236846">
        <w:rPr>
          <w:rFonts w:eastAsia="MS Mincho"/>
        </w:rPr>
        <w:t>tacrolimus</w:t>
      </w:r>
      <w:r w:rsidR="00B75DDB">
        <w:rPr>
          <w:rFonts w:eastAsia="MS Mincho"/>
        </w:rPr>
        <w:t xml:space="preserve">. </w:t>
      </w:r>
    </w:p>
    <w:p w14:paraId="7B80A91B" w14:textId="78F46777" w:rsidR="007A4A24" w:rsidRPr="00236846" w:rsidRDefault="005A3D7D" w:rsidP="000A093B">
      <w:pPr>
        <w:numPr>
          <w:ilvl w:val="0"/>
          <w:numId w:val="15"/>
        </w:numPr>
        <w:tabs>
          <w:tab w:val="clear" w:pos="567"/>
        </w:tabs>
        <w:spacing w:line="240" w:lineRule="auto"/>
        <w:ind w:left="567"/>
        <w:rPr>
          <w:rFonts w:eastAsia="MS Mincho"/>
          <w:noProof/>
        </w:rPr>
      </w:pPr>
      <w:r w:rsidRPr="000A093B">
        <w:rPr>
          <w:b/>
        </w:rPr>
        <w:t xml:space="preserve">Cardiac </w:t>
      </w:r>
      <w:r w:rsidRPr="000A093B">
        <w:rPr>
          <w:b/>
        </w:rPr>
        <w:t>glycosides</w:t>
      </w:r>
      <w:r w:rsidR="00B75DDB">
        <w:rPr>
          <w:rFonts w:eastAsia="MS Mincho"/>
        </w:rPr>
        <w:t xml:space="preserve"> (used for the treatment of some heart conditions). These include </w:t>
      </w:r>
      <w:r>
        <w:rPr>
          <w:rFonts w:eastAsia="MS Mincho"/>
        </w:rPr>
        <w:t>d</w:t>
      </w:r>
      <w:r w:rsidRPr="00236846">
        <w:rPr>
          <w:rFonts w:eastAsia="MS Mincho"/>
        </w:rPr>
        <w:t>igoxin</w:t>
      </w:r>
      <w:r w:rsidR="00B75DDB">
        <w:rPr>
          <w:rFonts w:eastAsia="MS Mincho"/>
          <w:noProof/>
        </w:rPr>
        <w:t>.</w:t>
      </w:r>
    </w:p>
    <w:p w14:paraId="11E47788" w14:textId="1BED6DED" w:rsidR="00D14ABA" w:rsidRDefault="005A3D7D" w:rsidP="000A093B">
      <w:pPr>
        <w:numPr>
          <w:ilvl w:val="0"/>
          <w:numId w:val="15"/>
        </w:numPr>
        <w:tabs>
          <w:tab w:val="clear" w:pos="567"/>
        </w:tabs>
        <w:spacing w:line="240" w:lineRule="auto"/>
        <w:ind w:left="567"/>
        <w:rPr>
          <w:rFonts w:eastAsia="MS Mincho"/>
        </w:rPr>
      </w:pPr>
      <w:r w:rsidRPr="000A093B">
        <w:rPr>
          <w:b/>
        </w:rPr>
        <w:t>Anticoagulant medicines</w:t>
      </w:r>
      <w:r w:rsidR="00B75DDB">
        <w:rPr>
          <w:rFonts w:eastAsia="MS Mincho"/>
        </w:rPr>
        <w:t xml:space="preserve"> (used to prevent blood clots). These include </w:t>
      </w:r>
      <w:r>
        <w:rPr>
          <w:rFonts w:eastAsia="MS Mincho"/>
        </w:rPr>
        <w:t>w</w:t>
      </w:r>
      <w:r w:rsidRPr="00236846">
        <w:rPr>
          <w:rFonts w:eastAsia="MS Mincho"/>
        </w:rPr>
        <w:t>arfarin</w:t>
      </w:r>
      <w:r w:rsidR="00B75DDB">
        <w:rPr>
          <w:rFonts w:eastAsia="MS Mincho"/>
        </w:rPr>
        <w:t>.</w:t>
      </w:r>
    </w:p>
    <w:p w14:paraId="04CA66AA" w14:textId="30664A0A" w:rsidR="007A4A24" w:rsidRDefault="005A3D7D" w:rsidP="000A093B">
      <w:pPr>
        <w:numPr>
          <w:ilvl w:val="0"/>
          <w:numId w:val="15"/>
        </w:numPr>
        <w:tabs>
          <w:tab w:val="clear" w:pos="567"/>
        </w:tabs>
        <w:spacing w:line="240" w:lineRule="auto"/>
        <w:ind w:left="567"/>
        <w:rPr>
          <w:rFonts w:eastAsia="MS Mincho"/>
        </w:rPr>
      </w:pPr>
      <w:r w:rsidRPr="000A093B">
        <w:rPr>
          <w:b/>
        </w:rPr>
        <w:t>Medicines for diabetes</w:t>
      </w:r>
      <w:r w:rsidR="00565309">
        <w:rPr>
          <w:rFonts w:eastAsia="MS Mincho"/>
        </w:rPr>
        <w:t xml:space="preserve">. These include </w:t>
      </w:r>
      <w:r w:rsidRPr="00236846">
        <w:rPr>
          <w:rFonts w:eastAsia="MS Mincho"/>
        </w:rPr>
        <w:t>glimepiride and glipizide</w:t>
      </w:r>
      <w:r w:rsidR="00565309">
        <w:rPr>
          <w:rFonts w:eastAsia="MS Mincho"/>
        </w:rPr>
        <w:t>.</w:t>
      </w:r>
    </w:p>
    <w:p w14:paraId="63D13B75" w14:textId="77777777" w:rsidR="00CF5EDD" w:rsidRPr="00CF5EDD" w:rsidRDefault="005A3D7D" w:rsidP="00854AA0">
      <w:pPr>
        <w:numPr>
          <w:ilvl w:val="0"/>
          <w:numId w:val="15"/>
        </w:numPr>
        <w:tabs>
          <w:tab w:val="clear" w:pos="567"/>
        </w:tabs>
        <w:spacing w:line="240" w:lineRule="auto"/>
        <w:ind w:left="567"/>
        <w:rPr>
          <w:rFonts w:eastAsia="MS Mincho"/>
        </w:rPr>
      </w:pPr>
      <w:r w:rsidRPr="00196917">
        <w:rPr>
          <w:b/>
          <w:bCs/>
        </w:rPr>
        <w:t>Medicines for lowering bloo</w:t>
      </w:r>
      <w:r w:rsidRPr="00196917">
        <w:rPr>
          <w:b/>
          <w:bCs/>
        </w:rPr>
        <w:t>d pressure</w:t>
      </w:r>
      <w:r>
        <w:t>. These include verapamil.</w:t>
      </w:r>
    </w:p>
    <w:p w14:paraId="6CE2DE14" w14:textId="77777777" w:rsidR="004B5786" w:rsidRDefault="004B5786" w:rsidP="004B5786">
      <w:pPr>
        <w:numPr>
          <w:ilvl w:val="12"/>
          <w:numId w:val="0"/>
        </w:numPr>
        <w:tabs>
          <w:tab w:val="clear" w:pos="567"/>
        </w:tabs>
        <w:spacing w:line="240" w:lineRule="auto"/>
        <w:ind w:right="-2"/>
        <w:rPr>
          <w:lang w:val="en-US"/>
        </w:rPr>
      </w:pPr>
    </w:p>
    <w:p w14:paraId="566E98A7" w14:textId="77777777" w:rsidR="004B5786" w:rsidRDefault="005A3D7D" w:rsidP="00A0798C">
      <w:pPr>
        <w:keepNext/>
        <w:numPr>
          <w:ilvl w:val="12"/>
          <w:numId w:val="0"/>
        </w:numPr>
        <w:tabs>
          <w:tab w:val="clear" w:pos="567"/>
        </w:tabs>
        <w:spacing w:line="240" w:lineRule="auto"/>
        <w:rPr>
          <w:b/>
          <w:bCs/>
        </w:rPr>
      </w:pPr>
      <w:r w:rsidRPr="00A808AC">
        <w:rPr>
          <w:b/>
          <w:bCs/>
        </w:rPr>
        <w:t>Kalydeco with food and drink</w:t>
      </w:r>
    </w:p>
    <w:p w14:paraId="6BE33461" w14:textId="77777777" w:rsidR="00987822" w:rsidRPr="00A808AC" w:rsidRDefault="00987822" w:rsidP="0069106A">
      <w:pPr>
        <w:keepNext/>
        <w:numPr>
          <w:ilvl w:val="12"/>
          <w:numId w:val="0"/>
        </w:numPr>
        <w:tabs>
          <w:tab w:val="clear" w:pos="567"/>
        </w:tabs>
        <w:spacing w:line="240" w:lineRule="auto"/>
        <w:rPr>
          <w:b/>
          <w:bCs/>
        </w:rPr>
      </w:pPr>
    </w:p>
    <w:p w14:paraId="065D54CB" w14:textId="6AEF0379" w:rsidR="004B5786" w:rsidRDefault="005A3D7D" w:rsidP="000A093B">
      <w:pPr>
        <w:pStyle w:val="labeltext"/>
        <w:keepNext/>
        <w:rPr>
          <w:rFonts w:eastAsia="MS Mincho"/>
          <w:sz w:val="22"/>
          <w:szCs w:val="22"/>
          <w:lang w:eastAsia="ja-JP"/>
        </w:rPr>
      </w:pPr>
      <w:r w:rsidRPr="00A808AC">
        <w:rPr>
          <w:rFonts w:eastAsia="MS Mincho"/>
          <w:sz w:val="22"/>
          <w:szCs w:val="22"/>
          <w:lang w:eastAsia="ja-JP"/>
        </w:rPr>
        <w:t xml:space="preserve">Avoid giving your child food </w:t>
      </w:r>
      <w:r w:rsidR="00DA11A1">
        <w:rPr>
          <w:rFonts w:eastAsia="MS Mincho"/>
          <w:sz w:val="22"/>
          <w:szCs w:val="22"/>
          <w:lang w:eastAsia="ja-JP"/>
        </w:rPr>
        <w:t xml:space="preserve">or drink </w:t>
      </w:r>
      <w:r w:rsidRPr="00A808AC">
        <w:rPr>
          <w:rFonts w:eastAsia="MS Mincho"/>
          <w:sz w:val="22"/>
          <w:szCs w:val="22"/>
          <w:lang w:eastAsia="ja-JP"/>
        </w:rPr>
        <w:t xml:space="preserve">containing grapefruit during treatment with Kalydeco as they may increase </w:t>
      </w:r>
      <w:r w:rsidR="0076765F">
        <w:rPr>
          <w:rFonts w:eastAsia="MS Mincho"/>
          <w:sz w:val="22"/>
          <w:szCs w:val="22"/>
          <w:lang w:val="en-GB" w:eastAsia="ja-JP"/>
        </w:rPr>
        <w:t xml:space="preserve">the side effects of Kalydeco </w:t>
      </w:r>
      <w:r w:rsidR="0076765F" w:rsidRPr="008D632A">
        <w:rPr>
          <w:rFonts w:eastAsia="MS Mincho"/>
          <w:sz w:val="22"/>
          <w:szCs w:val="22"/>
          <w:lang w:val="en-GB" w:eastAsia="ja-JP"/>
        </w:rPr>
        <w:t xml:space="preserve">by increasing the amount of </w:t>
      </w:r>
      <w:r w:rsidR="00704E2F">
        <w:rPr>
          <w:rFonts w:eastAsia="MS Mincho"/>
          <w:sz w:val="22"/>
          <w:szCs w:val="22"/>
          <w:lang w:val="en-GB" w:eastAsia="ja-JP"/>
        </w:rPr>
        <w:t>ivacaftor</w:t>
      </w:r>
      <w:r w:rsidR="0076765F" w:rsidRPr="008D632A">
        <w:rPr>
          <w:rFonts w:eastAsia="MS Mincho"/>
          <w:sz w:val="22"/>
          <w:szCs w:val="22"/>
          <w:lang w:val="en-GB" w:eastAsia="ja-JP"/>
        </w:rPr>
        <w:t xml:space="preserve"> in </w:t>
      </w:r>
      <w:r w:rsidRPr="00A808AC">
        <w:rPr>
          <w:rFonts w:eastAsia="MS Mincho"/>
          <w:sz w:val="22"/>
          <w:szCs w:val="22"/>
          <w:lang w:eastAsia="ja-JP"/>
        </w:rPr>
        <w:t>your child’s body.</w:t>
      </w:r>
    </w:p>
    <w:p w14:paraId="458AA46C" w14:textId="77777777" w:rsidR="004B5786" w:rsidRPr="00A808AC" w:rsidRDefault="004B5786" w:rsidP="004B5786">
      <w:pPr>
        <w:numPr>
          <w:ilvl w:val="12"/>
          <w:numId w:val="0"/>
        </w:numPr>
        <w:tabs>
          <w:tab w:val="clear" w:pos="567"/>
          <w:tab w:val="left" w:pos="1290"/>
        </w:tabs>
        <w:spacing w:line="240" w:lineRule="auto"/>
        <w:ind w:right="-2"/>
        <w:rPr>
          <w:lang w:val="en-US"/>
        </w:rPr>
      </w:pPr>
    </w:p>
    <w:p w14:paraId="72D2914F" w14:textId="77777777" w:rsidR="004B5786" w:rsidRDefault="005A3D7D" w:rsidP="00A0798C">
      <w:pPr>
        <w:keepNext/>
        <w:numPr>
          <w:ilvl w:val="12"/>
          <w:numId w:val="0"/>
        </w:numPr>
        <w:tabs>
          <w:tab w:val="clear" w:pos="567"/>
        </w:tabs>
        <w:spacing w:line="240" w:lineRule="auto"/>
        <w:outlineLvl w:val="0"/>
        <w:rPr>
          <w:b/>
          <w:bCs/>
        </w:rPr>
      </w:pPr>
      <w:r w:rsidRPr="00A808AC">
        <w:rPr>
          <w:b/>
          <w:bCs/>
        </w:rPr>
        <w:t>Driving and using machines</w:t>
      </w:r>
    </w:p>
    <w:p w14:paraId="131D67E2" w14:textId="77777777" w:rsidR="00987822" w:rsidRPr="00A808AC" w:rsidRDefault="00987822" w:rsidP="0069106A">
      <w:pPr>
        <w:keepNext/>
        <w:numPr>
          <w:ilvl w:val="12"/>
          <w:numId w:val="0"/>
        </w:numPr>
        <w:tabs>
          <w:tab w:val="clear" w:pos="567"/>
        </w:tabs>
        <w:spacing w:line="240" w:lineRule="auto"/>
        <w:outlineLvl w:val="0"/>
      </w:pPr>
    </w:p>
    <w:p w14:paraId="6A26F708" w14:textId="77777777" w:rsidR="004B5786" w:rsidRPr="00A808AC" w:rsidRDefault="005A3D7D" w:rsidP="000A093B">
      <w:pPr>
        <w:pStyle w:val="NormalIndent"/>
        <w:keepNext/>
        <w:spacing w:after="0"/>
        <w:ind w:left="0"/>
      </w:pPr>
      <w:r w:rsidRPr="00A808AC">
        <w:t xml:space="preserve">Kalydeco can make your child dizzy. </w:t>
      </w:r>
      <w:r w:rsidR="0076765F">
        <w:t>If your child feels dizzy, i</w:t>
      </w:r>
      <w:r w:rsidRPr="00A808AC">
        <w:t xml:space="preserve">t is advised that your child does not ride his/her bike or do anything else that needs his/her full </w:t>
      </w:r>
      <w:r w:rsidRPr="00A808AC">
        <w:t>attention.</w:t>
      </w:r>
    </w:p>
    <w:p w14:paraId="73DFD501" w14:textId="77777777" w:rsidR="004B5786" w:rsidRPr="00A808AC" w:rsidRDefault="004B5786" w:rsidP="004B5786">
      <w:pPr>
        <w:pStyle w:val="NormalIndent"/>
        <w:spacing w:after="0"/>
        <w:ind w:left="0"/>
        <w:rPr>
          <w:b/>
          <w:lang w:eastAsia="ja-JP"/>
        </w:rPr>
      </w:pPr>
    </w:p>
    <w:p w14:paraId="6CFB852A" w14:textId="77777777" w:rsidR="000B73E1" w:rsidRDefault="005A3D7D" w:rsidP="000A093B">
      <w:pPr>
        <w:pStyle w:val="NormalIndent"/>
        <w:keepNext/>
        <w:spacing w:after="0"/>
        <w:ind w:left="0"/>
        <w:rPr>
          <w:b/>
          <w:lang w:eastAsia="ja-JP"/>
        </w:rPr>
      </w:pPr>
      <w:r w:rsidRPr="000B73E1">
        <w:rPr>
          <w:b/>
          <w:lang w:eastAsia="ja-JP"/>
        </w:rPr>
        <w:t xml:space="preserve">Important information about the contents of </w:t>
      </w:r>
      <w:r>
        <w:rPr>
          <w:b/>
          <w:lang w:eastAsia="ja-JP"/>
        </w:rPr>
        <w:t>Kalydeco</w:t>
      </w:r>
    </w:p>
    <w:p w14:paraId="08309B91" w14:textId="77777777" w:rsidR="00987822" w:rsidRDefault="00987822" w:rsidP="000A093B">
      <w:pPr>
        <w:pStyle w:val="NormalIndent"/>
        <w:keepNext/>
        <w:spacing w:after="0"/>
        <w:ind w:left="0"/>
        <w:rPr>
          <w:b/>
          <w:lang w:eastAsia="ja-JP"/>
        </w:rPr>
      </w:pPr>
    </w:p>
    <w:p w14:paraId="4BCCAE2A" w14:textId="77777777" w:rsidR="004B5786" w:rsidRPr="00A808AC" w:rsidRDefault="005A3D7D" w:rsidP="000A093B">
      <w:pPr>
        <w:pStyle w:val="NormalIndent"/>
        <w:keepNext/>
        <w:spacing w:after="0"/>
        <w:ind w:left="0"/>
      </w:pPr>
      <w:r w:rsidRPr="00A808AC">
        <w:rPr>
          <w:b/>
          <w:lang w:eastAsia="ja-JP"/>
        </w:rPr>
        <w:t>Kalydeco contains lactose</w:t>
      </w:r>
      <w:r w:rsidR="000B73E1">
        <w:rPr>
          <w:b/>
          <w:lang w:eastAsia="ja-JP"/>
        </w:rPr>
        <w:t xml:space="preserve">. </w:t>
      </w:r>
      <w:r w:rsidRPr="00A808AC">
        <w:t>If you have been told by your child’s doctor that your child has an intolerance to some sugars, contact your child’s doctor before your child takes this medicine.</w:t>
      </w:r>
    </w:p>
    <w:p w14:paraId="06426CB5" w14:textId="77777777" w:rsidR="00C4123E" w:rsidRPr="00C4123E" w:rsidRDefault="00C4123E" w:rsidP="004B5786">
      <w:pPr>
        <w:pStyle w:val="NormalIndent"/>
        <w:spacing w:after="0"/>
        <w:ind w:left="0"/>
        <w:rPr>
          <w:lang w:eastAsia="ja-JP"/>
        </w:rPr>
      </w:pPr>
    </w:p>
    <w:p w14:paraId="3D51215D" w14:textId="77777777" w:rsidR="004B5786" w:rsidRPr="00A808AC" w:rsidRDefault="005A3D7D" w:rsidP="004B5786">
      <w:pPr>
        <w:pStyle w:val="NormalIndent"/>
        <w:spacing w:after="0"/>
        <w:ind w:left="0"/>
      </w:pPr>
      <w:r w:rsidRPr="000B73E1">
        <w:rPr>
          <w:b/>
          <w:lang w:eastAsia="ja-JP"/>
        </w:rPr>
        <w:t>Kalydeco</w:t>
      </w:r>
      <w:r w:rsidRPr="000B73E1">
        <w:rPr>
          <w:b/>
        </w:rPr>
        <w:t xml:space="preserve"> </w:t>
      </w:r>
      <w:r w:rsidRPr="00766AA7">
        <w:rPr>
          <w:b/>
        </w:rPr>
        <w:t>contains</w:t>
      </w:r>
      <w:r w:rsidRPr="00C91EFE">
        <w:rPr>
          <w:b/>
        </w:rPr>
        <w:t xml:space="preserve"> less than 1</w:t>
      </w:r>
      <w:r w:rsidR="00E44DBC" w:rsidRPr="00C91EFE">
        <w:rPr>
          <w:b/>
        </w:rPr>
        <w:t> </w:t>
      </w:r>
      <w:r w:rsidRPr="00C91EFE">
        <w:rPr>
          <w:b/>
        </w:rPr>
        <w:t xml:space="preserve">mmol sodium </w:t>
      </w:r>
      <w:r w:rsidRPr="000B73E1">
        <w:t>(23</w:t>
      </w:r>
      <w:r w:rsidR="00E44DBC">
        <w:t> </w:t>
      </w:r>
      <w:r w:rsidRPr="000B73E1">
        <w:t xml:space="preserve">mg) per dose, </w:t>
      </w:r>
      <w:r w:rsidR="0076765F">
        <w:t>that is to say</w:t>
      </w:r>
      <w:r w:rsidRPr="000B73E1">
        <w:t xml:space="preserve"> essentially </w:t>
      </w:r>
      <w:r w:rsidR="0076765F">
        <w:t>‘</w:t>
      </w:r>
      <w:r w:rsidRPr="000B73E1">
        <w:t>sodium</w:t>
      </w:r>
      <w:r w:rsidR="00E44DBC">
        <w:noBreakHyphen/>
      </w:r>
      <w:r w:rsidRPr="000B73E1">
        <w:t>free</w:t>
      </w:r>
      <w:r w:rsidR="0076765F">
        <w:t>’</w:t>
      </w:r>
      <w:r w:rsidRPr="000B73E1">
        <w:t>.</w:t>
      </w:r>
    </w:p>
    <w:p w14:paraId="6C79BCCE" w14:textId="77777777" w:rsidR="004B5786" w:rsidRDefault="004B5786" w:rsidP="004B5786">
      <w:pPr>
        <w:pStyle w:val="NormalIndent"/>
        <w:spacing w:after="0"/>
        <w:ind w:left="0"/>
      </w:pPr>
    </w:p>
    <w:p w14:paraId="154D2ABE" w14:textId="77777777" w:rsidR="000B73E1" w:rsidRPr="00A808AC" w:rsidRDefault="000B73E1" w:rsidP="004B5786">
      <w:pPr>
        <w:pStyle w:val="NormalIndent"/>
        <w:spacing w:after="0"/>
        <w:ind w:left="0"/>
      </w:pPr>
    </w:p>
    <w:p w14:paraId="4C6D70E5" w14:textId="77777777" w:rsidR="004B5786" w:rsidRPr="00A808AC" w:rsidRDefault="005A3D7D" w:rsidP="00A0798C">
      <w:pPr>
        <w:keepNext/>
        <w:numPr>
          <w:ilvl w:val="0"/>
          <w:numId w:val="19"/>
        </w:numPr>
        <w:spacing w:line="240" w:lineRule="auto"/>
        <w:ind w:left="573" w:hanging="573"/>
        <w:rPr>
          <w:b/>
          <w:bCs/>
        </w:rPr>
      </w:pPr>
      <w:r w:rsidRPr="00A808AC">
        <w:rPr>
          <w:b/>
          <w:bCs/>
        </w:rPr>
        <w:t>How to take Kalydeco</w:t>
      </w:r>
    </w:p>
    <w:p w14:paraId="1D90F209" w14:textId="77777777" w:rsidR="004B5786" w:rsidRPr="0097683F" w:rsidRDefault="004B5786" w:rsidP="000A093B">
      <w:pPr>
        <w:keepNext/>
        <w:spacing w:line="240" w:lineRule="auto"/>
        <w:ind w:right="-2"/>
      </w:pPr>
    </w:p>
    <w:p w14:paraId="5CA20BE0" w14:textId="77777777" w:rsidR="004B5786" w:rsidRPr="003F1CB4" w:rsidRDefault="005A3D7D" w:rsidP="000A093B">
      <w:pPr>
        <w:keepNext/>
        <w:numPr>
          <w:ilvl w:val="12"/>
          <w:numId w:val="0"/>
        </w:numPr>
        <w:spacing w:line="240" w:lineRule="auto"/>
        <w:ind w:right="-2"/>
      </w:pPr>
      <w:r w:rsidRPr="003F1CB4">
        <w:t xml:space="preserve">Always give your child this medicine exactly as your child’s doctor has told you to. Check with your child’s doctor if you are </w:t>
      </w:r>
      <w:r w:rsidRPr="003F1CB4">
        <w:t>not sure.</w:t>
      </w:r>
    </w:p>
    <w:p w14:paraId="4FAE6A97" w14:textId="77777777" w:rsidR="004B5786" w:rsidRPr="003F1CB4" w:rsidRDefault="004B5786" w:rsidP="004B5786">
      <w:pPr>
        <w:pStyle w:val="s15"/>
        <w:spacing w:before="0" w:beforeAutospacing="0" w:after="0" w:afterAutospacing="0"/>
        <w:rPr>
          <w:rStyle w:val="s10"/>
        </w:rPr>
      </w:pPr>
    </w:p>
    <w:p w14:paraId="713BF101" w14:textId="77777777" w:rsidR="004B5786" w:rsidRPr="003F1CB4" w:rsidRDefault="005A3D7D" w:rsidP="004B5786">
      <w:pPr>
        <w:pStyle w:val="s15"/>
        <w:spacing w:before="0" w:beforeAutospacing="0" w:after="0" w:afterAutospacing="0"/>
        <w:rPr>
          <w:rStyle w:val="s10"/>
          <w:sz w:val="22"/>
        </w:rPr>
      </w:pPr>
      <w:r w:rsidRPr="003F1CB4">
        <w:rPr>
          <w:rStyle w:val="s10"/>
          <w:sz w:val="22"/>
        </w:rPr>
        <w:t>Your child’s doctor will determine the correct dose for your child.</w:t>
      </w:r>
      <w:r w:rsidR="006A5C6B" w:rsidRPr="003F1CB4">
        <w:rPr>
          <w:sz w:val="22"/>
          <w:szCs w:val="22"/>
          <w:lang w:val="en-GB"/>
        </w:rPr>
        <w:t xml:space="preserve"> </w:t>
      </w:r>
      <w:r w:rsidR="006A5C6B" w:rsidRPr="003F1CB4">
        <w:rPr>
          <w:sz w:val="22"/>
          <w:lang w:val="en-GB"/>
        </w:rPr>
        <w:t>Your child must keep using all</w:t>
      </w:r>
      <w:r w:rsidR="00536B68" w:rsidRPr="003F1CB4">
        <w:rPr>
          <w:sz w:val="22"/>
          <w:lang w:val="en-GB"/>
        </w:rPr>
        <w:t xml:space="preserve"> other</w:t>
      </w:r>
      <w:r w:rsidR="006A5C6B" w:rsidRPr="003F1CB4">
        <w:rPr>
          <w:sz w:val="22"/>
          <w:lang w:val="en-GB"/>
        </w:rPr>
        <w:t xml:space="preserve"> medicines, unless your child’s doctor tells him/her to stop using any.</w:t>
      </w:r>
    </w:p>
    <w:p w14:paraId="23999E83" w14:textId="77777777" w:rsidR="004B5786" w:rsidRPr="003F1CB4" w:rsidRDefault="004B5786" w:rsidP="004B5786">
      <w:pPr>
        <w:pStyle w:val="s15"/>
        <w:spacing w:before="0" w:beforeAutospacing="0" w:after="0" w:afterAutospacing="0"/>
        <w:rPr>
          <w:rStyle w:val="s10"/>
          <w:sz w:val="22"/>
        </w:rPr>
      </w:pPr>
    </w:p>
    <w:p w14:paraId="5762D7D6" w14:textId="77777777" w:rsidR="004B5786" w:rsidRDefault="005A3D7D" w:rsidP="004B5786">
      <w:pPr>
        <w:numPr>
          <w:ilvl w:val="12"/>
          <w:numId w:val="0"/>
        </w:numPr>
        <w:spacing w:line="240" w:lineRule="auto"/>
      </w:pPr>
      <w:r>
        <w:t>Kalydeco</w:t>
      </w:r>
      <w:r w:rsidRPr="003F1CB4">
        <w:t xml:space="preserve"> dosing recommendations are provided in Table</w:t>
      </w:r>
      <w:r w:rsidR="004F6F1C">
        <w:t> </w:t>
      </w:r>
      <w:r w:rsidRPr="003F1CB4">
        <w:t>1.</w:t>
      </w:r>
    </w:p>
    <w:p w14:paraId="05FF1B31" w14:textId="77777777" w:rsidR="002F6348" w:rsidRPr="003F1CB4" w:rsidRDefault="002F6348" w:rsidP="004B5786">
      <w:pPr>
        <w:numPr>
          <w:ilvl w:val="12"/>
          <w:numId w:val="0"/>
        </w:numPr>
        <w:spacing w:line="240" w:lineRule="auto"/>
      </w:pPr>
    </w:p>
    <w:p w14:paraId="26C2D03D" w14:textId="6E6530C4" w:rsidR="004B5786" w:rsidRPr="003F1CB4" w:rsidRDefault="005A3D7D" w:rsidP="000A093B">
      <w:pPr>
        <w:keepNext/>
        <w:numPr>
          <w:ilvl w:val="12"/>
          <w:numId w:val="0"/>
        </w:numPr>
        <w:spacing w:after="120" w:line="240" w:lineRule="auto"/>
      </w:pPr>
      <w:r w:rsidRPr="003F1CB4">
        <w:rPr>
          <w:b/>
        </w:rPr>
        <w:t>Table</w:t>
      </w:r>
      <w:r w:rsidR="004F6F1C">
        <w:rPr>
          <w:b/>
        </w:rPr>
        <w:t> </w:t>
      </w:r>
      <w:r w:rsidRPr="003F1CB4">
        <w:rPr>
          <w:b/>
        </w:rPr>
        <w:t>1</w:t>
      </w:r>
      <w:r w:rsidR="00E522A8">
        <w:rPr>
          <w:b/>
        </w:rPr>
        <w:t>:</w:t>
      </w:r>
      <w:r w:rsidRPr="003F1CB4">
        <w:rPr>
          <w:b/>
        </w:rPr>
        <w:t xml:space="preserve"> Dosing recommendations for </w:t>
      </w:r>
      <w:r w:rsidR="00FF7013">
        <w:rPr>
          <w:b/>
        </w:rPr>
        <w:t>children</w:t>
      </w:r>
      <w:r w:rsidRPr="003F1CB4">
        <w:rPr>
          <w:b/>
        </w:rPr>
        <w:t xml:space="preserve"> aged </w:t>
      </w:r>
      <w:r w:rsidR="00E57A2C">
        <w:rPr>
          <w:b/>
        </w:rPr>
        <w:t>4</w:t>
      </w:r>
      <w:r>
        <w:rPr>
          <w:b/>
        </w:rPr>
        <w:t> months</w:t>
      </w:r>
      <w:r w:rsidRPr="003F1CB4">
        <w:rPr>
          <w:b/>
        </w:rPr>
        <w:t xml:space="preserve"> and older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6"/>
        <w:gridCol w:w="2027"/>
        <w:gridCol w:w="3435"/>
        <w:gridCol w:w="1639"/>
      </w:tblGrid>
      <w:tr w:rsidR="00476058" w14:paraId="476A5838" w14:textId="77777777" w:rsidTr="0012118D">
        <w:trPr>
          <w:trHeight w:val="229"/>
        </w:trPr>
        <w:tc>
          <w:tcPr>
            <w:tcW w:w="1866" w:type="dxa"/>
          </w:tcPr>
          <w:p w14:paraId="79774985" w14:textId="01B75283" w:rsidR="0073031A" w:rsidRPr="003F1CB4" w:rsidRDefault="005A3D7D" w:rsidP="000A093B">
            <w:pPr>
              <w:keepNext/>
              <w:spacing w:line="240" w:lineRule="auto"/>
              <w:rPr>
                <w:b/>
              </w:rPr>
            </w:pPr>
            <w:r>
              <w:rPr>
                <w:b/>
              </w:rPr>
              <w:t>Age</w:t>
            </w:r>
          </w:p>
        </w:tc>
        <w:tc>
          <w:tcPr>
            <w:tcW w:w="2027" w:type="dxa"/>
          </w:tcPr>
          <w:p w14:paraId="1ABB78CC" w14:textId="596B03A2" w:rsidR="0073031A" w:rsidRPr="003F1CB4" w:rsidRDefault="005A3D7D" w:rsidP="000A093B">
            <w:pPr>
              <w:keepNext/>
              <w:spacing w:line="240" w:lineRule="auto"/>
              <w:rPr>
                <w:b/>
              </w:rPr>
            </w:pPr>
            <w:r w:rsidRPr="003F1CB4">
              <w:rPr>
                <w:b/>
              </w:rPr>
              <w:t>Weight</w:t>
            </w:r>
          </w:p>
        </w:tc>
        <w:tc>
          <w:tcPr>
            <w:tcW w:w="3435" w:type="dxa"/>
          </w:tcPr>
          <w:p w14:paraId="2515EC46" w14:textId="77777777" w:rsidR="0073031A" w:rsidRPr="003F1CB4" w:rsidRDefault="005A3D7D" w:rsidP="000A093B">
            <w:pPr>
              <w:keepNext/>
              <w:spacing w:line="240" w:lineRule="auto"/>
              <w:rPr>
                <w:b/>
              </w:rPr>
            </w:pPr>
            <w:r w:rsidRPr="003F1CB4">
              <w:rPr>
                <w:b/>
              </w:rPr>
              <w:t>Dose</w:t>
            </w:r>
          </w:p>
        </w:tc>
        <w:tc>
          <w:tcPr>
            <w:tcW w:w="1639" w:type="dxa"/>
          </w:tcPr>
          <w:p w14:paraId="5515FBD1" w14:textId="77777777" w:rsidR="0073031A" w:rsidRPr="003F1CB4" w:rsidRDefault="005A3D7D" w:rsidP="000A093B">
            <w:pPr>
              <w:keepNext/>
              <w:spacing w:line="240" w:lineRule="auto"/>
              <w:rPr>
                <w:b/>
              </w:rPr>
            </w:pPr>
            <w:r w:rsidRPr="003F1CB4">
              <w:rPr>
                <w:b/>
              </w:rPr>
              <w:t>Total daily dose</w:t>
            </w:r>
          </w:p>
        </w:tc>
      </w:tr>
      <w:tr w:rsidR="00476058" w14:paraId="02BBAB42" w14:textId="77777777" w:rsidTr="0073031A">
        <w:trPr>
          <w:trHeight w:val="217"/>
        </w:trPr>
        <w:tc>
          <w:tcPr>
            <w:tcW w:w="1866" w:type="dxa"/>
          </w:tcPr>
          <w:p w14:paraId="5AF0F865" w14:textId="2C00B7F5" w:rsidR="0073031A" w:rsidRPr="00BA755F" w:rsidRDefault="005A3D7D" w:rsidP="0073031A">
            <w:pPr>
              <w:keepNext/>
              <w:spacing w:line="240" w:lineRule="auto"/>
            </w:pPr>
            <w:r w:rsidRPr="0063509A">
              <w:t xml:space="preserve">4 months to less </w:t>
            </w:r>
            <w:r w:rsidRPr="0063509A">
              <w:t>than 6 months</w:t>
            </w:r>
          </w:p>
        </w:tc>
        <w:tc>
          <w:tcPr>
            <w:tcW w:w="2027" w:type="dxa"/>
            <w:shd w:val="clear" w:color="auto" w:fill="auto"/>
          </w:tcPr>
          <w:p w14:paraId="697617D3" w14:textId="329DEB7A" w:rsidR="0073031A" w:rsidRPr="00BA755F" w:rsidRDefault="005A3D7D" w:rsidP="0073031A">
            <w:pPr>
              <w:keepNext/>
              <w:spacing w:line="240" w:lineRule="auto"/>
            </w:pPr>
            <w:r w:rsidRPr="0063509A">
              <w:t>5 kg or more</w:t>
            </w:r>
          </w:p>
        </w:tc>
        <w:tc>
          <w:tcPr>
            <w:tcW w:w="3435" w:type="dxa"/>
            <w:shd w:val="clear" w:color="auto" w:fill="auto"/>
          </w:tcPr>
          <w:p w14:paraId="727CF163" w14:textId="6F5F6702" w:rsidR="0073031A" w:rsidRDefault="005A3D7D" w:rsidP="0073031A">
            <w:pPr>
              <w:keepNext/>
              <w:spacing w:line="240" w:lineRule="auto"/>
            </w:pPr>
            <w:r w:rsidRPr="0063509A">
              <w:t>One sachet of 25 mg granules taken orally every 12 hours with fat</w:t>
            </w:r>
            <w:r w:rsidRPr="0063509A">
              <w:noBreakHyphen/>
              <w:t>containing food</w:t>
            </w:r>
          </w:p>
        </w:tc>
        <w:tc>
          <w:tcPr>
            <w:tcW w:w="1639" w:type="dxa"/>
            <w:shd w:val="clear" w:color="auto" w:fill="auto"/>
          </w:tcPr>
          <w:p w14:paraId="3E4546D8" w14:textId="39FFA0B4" w:rsidR="0073031A" w:rsidRPr="00BA755F" w:rsidRDefault="005A3D7D" w:rsidP="0073031A">
            <w:pPr>
              <w:keepNext/>
              <w:spacing w:line="240" w:lineRule="auto"/>
            </w:pPr>
            <w:r w:rsidRPr="0063509A">
              <w:t>50 mg</w:t>
            </w:r>
          </w:p>
        </w:tc>
      </w:tr>
      <w:tr w:rsidR="00476058" w14:paraId="71D0AA2A" w14:textId="77777777" w:rsidTr="0099786F">
        <w:trPr>
          <w:trHeight w:val="217"/>
        </w:trPr>
        <w:tc>
          <w:tcPr>
            <w:tcW w:w="1866" w:type="dxa"/>
            <w:vMerge w:val="restart"/>
          </w:tcPr>
          <w:p w14:paraId="401265D3" w14:textId="3274B9CE" w:rsidR="0073031A" w:rsidRPr="00BA755F" w:rsidRDefault="005A3D7D" w:rsidP="0073031A">
            <w:pPr>
              <w:keepNext/>
              <w:spacing w:line="240" w:lineRule="auto"/>
            </w:pPr>
            <w:r w:rsidRPr="0063509A">
              <w:t>6 months and older</w:t>
            </w:r>
          </w:p>
        </w:tc>
        <w:tc>
          <w:tcPr>
            <w:tcW w:w="2027" w:type="dxa"/>
            <w:shd w:val="clear" w:color="auto" w:fill="auto"/>
          </w:tcPr>
          <w:p w14:paraId="55C72745" w14:textId="704C7431" w:rsidR="0073031A" w:rsidRPr="00BA755F" w:rsidRDefault="005A3D7D" w:rsidP="0073031A">
            <w:pPr>
              <w:keepNext/>
              <w:spacing w:line="240" w:lineRule="auto"/>
            </w:pPr>
            <w:r w:rsidRPr="00BA755F">
              <w:t xml:space="preserve">5 kg to </w:t>
            </w:r>
            <w:r>
              <w:t xml:space="preserve">less than </w:t>
            </w:r>
            <w:r w:rsidRPr="00BA755F">
              <w:t>7 kg</w:t>
            </w:r>
          </w:p>
        </w:tc>
        <w:tc>
          <w:tcPr>
            <w:tcW w:w="3435" w:type="dxa"/>
            <w:shd w:val="clear" w:color="auto" w:fill="auto"/>
          </w:tcPr>
          <w:p w14:paraId="543A747B" w14:textId="77777777" w:rsidR="0073031A" w:rsidRPr="00BA755F" w:rsidRDefault="005A3D7D" w:rsidP="0073031A">
            <w:pPr>
              <w:keepNext/>
              <w:spacing w:line="240" w:lineRule="auto"/>
            </w:pPr>
            <w:r>
              <w:t xml:space="preserve">One Kalydeco sachet of </w:t>
            </w:r>
            <w:r w:rsidRPr="00BA755F">
              <w:t>25 mg granules taken orally every 12 hours with fat</w:t>
            </w:r>
            <w:r w:rsidRPr="00BA755F">
              <w:noBreakHyphen/>
              <w:t>containing food</w:t>
            </w:r>
          </w:p>
        </w:tc>
        <w:tc>
          <w:tcPr>
            <w:tcW w:w="1639" w:type="dxa"/>
            <w:shd w:val="clear" w:color="auto" w:fill="auto"/>
          </w:tcPr>
          <w:p w14:paraId="61937A88" w14:textId="77777777" w:rsidR="0073031A" w:rsidRPr="00BA755F" w:rsidRDefault="005A3D7D" w:rsidP="0073031A">
            <w:pPr>
              <w:keepNext/>
              <w:spacing w:line="240" w:lineRule="auto"/>
            </w:pPr>
            <w:r w:rsidRPr="00BA755F">
              <w:t>50 mg</w:t>
            </w:r>
          </w:p>
        </w:tc>
      </w:tr>
      <w:tr w:rsidR="00476058" w14:paraId="22539470" w14:textId="77777777" w:rsidTr="0099786F">
        <w:trPr>
          <w:trHeight w:val="215"/>
        </w:trPr>
        <w:tc>
          <w:tcPr>
            <w:tcW w:w="1866" w:type="dxa"/>
            <w:vMerge/>
          </w:tcPr>
          <w:p w14:paraId="523C16E5" w14:textId="77777777" w:rsidR="0073031A" w:rsidRDefault="0073031A" w:rsidP="0073031A">
            <w:pPr>
              <w:spacing w:line="240" w:lineRule="auto"/>
            </w:pPr>
          </w:p>
        </w:tc>
        <w:tc>
          <w:tcPr>
            <w:tcW w:w="2027" w:type="dxa"/>
          </w:tcPr>
          <w:p w14:paraId="6D1D09A3" w14:textId="1CD92A65" w:rsidR="0073031A" w:rsidRPr="003F1CB4" w:rsidRDefault="005A3D7D" w:rsidP="0073031A">
            <w:pPr>
              <w:spacing w:line="240" w:lineRule="auto"/>
            </w:pPr>
            <w:r>
              <w:t>7 kg to l</w:t>
            </w:r>
            <w:r w:rsidRPr="003F1CB4">
              <w:t>ess than 14 kg</w:t>
            </w:r>
          </w:p>
        </w:tc>
        <w:tc>
          <w:tcPr>
            <w:tcW w:w="3435" w:type="dxa"/>
          </w:tcPr>
          <w:p w14:paraId="0E07A023" w14:textId="77777777" w:rsidR="0073031A" w:rsidRPr="003F1CB4" w:rsidRDefault="005A3D7D" w:rsidP="0073031A">
            <w:pPr>
              <w:spacing w:line="240" w:lineRule="auto"/>
            </w:pPr>
            <w:r w:rsidRPr="003F1CB4">
              <w:t xml:space="preserve">One </w:t>
            </w:r>
            <w:r>
              <w:t xml:space="preserve">Kalydeco </w:t>
            </w:r>
            <w:r w:rsidRPr="003F1CB4">
              <w:t xml:space="preserve">sachet of 50 mg granules taken orally every 12 hours with fat-containing food </w:t>
            </w:r>
          </w:p>
        </w:tc>
        <w:tc>
          <w:tcPr>
            <w:tcW w:w="1639" w:type="dxa"/>
          </w:tcPr>
          <w:p w14:paraId="5597242C" w14:textId="77777777" w:rsidR="0073031A" w:rsidRPr="003F1CB4" w:rsidRDefault="005A3D7D" w:rsidP="0073031A">
            <w:pPr>
              <w:spacing w:line="240" w:lineRule="auto"/>
            </w:pPr>
            <w:r w:rsidRPr="003F1CB4">
              <w:t>100 mg</w:t>
            </w:r>
          </w:p>
        </w:tc>
      </w:tr>
      <w:tr w:rsidR="00476058" w14:paraId="39C081EA" w14:textId="77777777" w:rsidTr="0099786F">
        <w:trPr>
          <w:trHeight w:val="229"/>
        </w:trPr>
        <w:tc>
          <w:tcPr>
            <w:tcW w:w="1866" w:type="dxa"/>
            <w:vMerge/>
          </w:tcPr>
          <w:p w14:paraId="51433D7E" w14:textId="77777777" w:rsidR="0073031A" w:rsidRDefault="0073031A" w:rsidP="0073031A">
            <w:pPr>
              <w:spacing w:line="240" w:lineRule="auto"/>
            </w:pPr>
          </w:p>
        </w:tc>
        <w:tc>
          <w:tcPr>
            <w:tcW w:w="2027" w:type="dxa"/>
          </w:tcPr>
          <w:p w14:paraId="7B72481A" w14:textId="66471D7D" w:rsidR="0073031A" w:rsidRPr="003F1CB4" w:rsidRDefault="005A3D7D" w:rsidP="0073031A">
            <w:pPr>
              <w:spacing w:line="240" w:lineRule="auto"/>
            </w:pPr>
            <w:r>
              <w:t>14 </w:t>
            </w:r>
            <w:r w:rsidRPr="003F1CB4">
              <w:t>kg to less than 25 kg</w:t>
            </w:r>
          </w:p>
        </w:tc>
        <w:tc>
          <w:tcPr>
            <w:tcW w:w="3435" w:type="dxa"/>
          </w:tcPr>
          <w:p w14:paraId="6A450F38" w14:textId="77777777" w:rsidR="0073031A" w:rsidRPr="003F1CB4" w:rsidRDefault="005A3D7D" w:rsidP="0073031A">
            <w:pPr>
              <w:spacing w:line="240" w:lineRule="auto"/>
            </w:pPr>
            <w:r w:rsidRPr="003F1CB4">
              <w:t xml:space="preserve">One </w:t>
            </w:r>
            <w:r>
              <w:t xml:space="preserve">Kalydeco </w:t>
            </w:r>
            <w:r w:rsidRPr="003F1CB4">
              <w:t xml:space="preserve">sachet of 75 mg granules taken orally every 12 hours with fat-containing food </w:t>
            </w:r>
          </w:p>
        </w:tc>
        <w:tc>
          <w:tcPr>
            <w:tcW w:w="1639" w:type="dxa"/>
          </w:tcPr>
          <w:p w14:paraId="7665C842" w14:textId="77777777" w:rsidR="0073031A" w:rsidRPr="003F1CB4" w:rsidRDefault="005A3D7D" w:rsidP="0073031A">
            <w:pPr>
              <w:spacing w:line="240" w:lineRule="auto"/>
            </w:pPr>
            <w:r w:rsidRPr="003F1CB4">
              <w:t>150 mg</w:t>
            </w:r>
          </w:p>
        </w:tc>
      </w:tr>
      <w:tr w:rsidR="00476058" w14:paraId="2F13D081" w14:textId="77777777" w:rsidTr="0099786F">
        <w:trPr>
          <w:trHeight w:val="339"/>
        </w:trPr>
        <w:tc>
          <w:tcPr>
            <w:tcW w:w="1866" w:type="dxa"/>
            <w:vMerge/>
          </w:tcPr>
          <w:p w14:paraId="234F0988" w14:textId="77777777" w:rsidR="0073031A" w:rsidRPr="003F1CB4" w:rsidRDefault="0073031A" w:rsidP="0073031A">
            <w:pPr>
              <w:spacing w:line="240" w:lineRule="auto"/>
            </w:pPr>
          </w:p>
        </w:tc>
        <w:tc>
          <w:tcPr>
            <w:tcW w:w="2027" w:type="dxa"/>
          </w:tcPr>
          <w:p w14:paraId="2944C441" w14:textId="1B9AF8FF" w:rsidR="0073031A" w:rsidRPr="003F1CB4" w:rsidRDefault="005A3D7D" w:rsidP="0073031A">
            <w:pPr>
              <w:spacing w:line="240" w:lineRule="auto"/>
            </w:pPr>
            <w:r w:rsidRPr="003F1CB4">
              <w:t>25 kg or more</w:t>
            </w:r>
          </w:p>
        </w:tc>
        <w:tc>
          <w:tcPr>
            <w:tcW w:w="5074" w:type="dxa"/>
            <w:gridSpan w:val="2"/>
          </w:tcPr>
          <w:p w14:paraId="4E29A7B6" w14:textId="77777777" w:rsidR="0073031A" w:rsidRPr="003F1CB4" w:rsidRDefault="005A3D7D" w:rsidP="0073031A">
            <w:pPr>
              <w:spacing w:line="240" w:lineRule="auto"/>
            </w:pPr>
            <w:r w:rsidRPr="003F1CB4">
              <w:t>Please refer to Kalydeco tablets Package Leaflet</w:t>
            </w:r>
          </w:p>
        </w:tc>
      </w:tr>
    </w:tbl>
    <w:p w14:paraId="2632A11C" w14:textId="77777777" w:rsidR="004B5786" w:rsidRPr="003F1CB4" w:rsidRDefault="004B5786" w:rsidP="004B5786">
      <w:pPr>
        <w:numPr>
          <w:ilvl w:val="12"/>
          <w:numId w:val="0"/>
        </w:numPr>
        <w:tabs>
          <w:tab w:val="clear" w:pos="567"/>
        </w:tabs>
        <w:spacing w:line="240" w:lineRule="auto"/>
      </w:pPr>
    </w:p>
    <w:p w14:paraId="7F5B6425" w14:textId="18809475" w:rsidR="0073488E" w:rsidRPr="003F1CB4" w:rsidRDefault="005A3D7D" w:rsidP="0073488E">
      <w:pPr>
        <w:numPr>
          <w:ilvl w:val="12"/>
          <w:numId w:val="0"/>
        </w:numPr>
        <w:spacing w:line="240" w:lineRule="auto"/>
        <w:ind w:right="-2"/>
      </w:pPr>
      <w:r w:rsidRPr="007B0741">
        <w:rPr>
          <w:b/>
        </w:rPr>
        <w:t xml:space="preserve">If your child has </w:t>
      </w:r>
      <w:r w:rsidR="00632211" w:rsidRPr="007B0741">
        <w:rPr>
          <w:b/>
        </w:rPr>
        <w:t xml:space="preserve">liver </w:t>
      </w:r>
      <w:r w:rsidR="00D63903" w:rsidRPr="007B0741">
        <w:rPr>
          <w:b/>
        </w:rPr>
        <w:t>problems</w:t>
      </w:r>
      <w:r w:rsidR="00632211">
        <w:t xml:space="preserve">, </w:t>
      </w:r>
      <w:r w:rsidR="00D63903" w:rsidRPr="003F1CB4">
        <w:t>your child’s</w:t>
      </w:r>
      <w:r w:rsidRPr="003F1CB4">
        <w:t xml:space="preserve"> doctor may need to reduce the dose</w:t>
      </w:r>
      <w:r w:rsidR="00D63903" w:rsidRPr="003F1CB4">
        <w:t xml:space="preserve"> of Kalydeco </w:t>
      </w:r>
      <w:r w:rsidRPr="003F1CB4">
        <w:t xml:space="preserve">as your child’s liver </w:t>
      </w:r>
      <w:r w:rsidR="00632211">
        <w:t>will</w:t>
      </w:r>
      <w:r w:rsidRPr="003F1CB4">
        <w:t xml:space="preserve"> not clear </w:t>
      </w:r>
      <w:r w:rsidR="00704E2F">
        <w:t>the medicine</w:t>
      </w:r>
      <w:r w:rsidR="00704E2F" w:rsidRPr="003F1CB4">
        <w:t xml:space="preserve"> </w:t>
      </w:r>
      <w:r w:rsidRPr="003F1CB4">
        <w:t xml:space="preserve">as fast as in </w:t>
      </w:r>
      <w:r w:rsidR="00D75F48" w:rsidRPr="003F1CB4">
        <w:t>children</w:t>
      </w:r>
      <w:r w:rsidRPr="003F1CB4">
        <w:t xml:space="preserve"> who </w:t>
      </w:r>
      <w:r w:rsidR="00D63903" w:rsidRPr="003F1CB4">
        <w:t>have normal</w:t>
      </w:r>
      <w:r w:rsidRPr="003F1CB4">
        <w:t xml:space="preserve"> liver function.</w:t>
      </w:r>
    </w:p>
    <w:p w14:paraId="701DC963" w14:textId="2C4AEB25" w:rsidR="00D63903" w:rsidRPr="003F1CB4" w:rsidRDefault="005A3D7D" w:rsidP="000A093B">
      <w:pPr>
        <w:numPr>
          <w:ilvl w:val="0"/>
          <w:numId w:val="14"/>
        </w:numPr>
        <w:tabs>
          <w:tab w:val="clear" w:pos="567"/>
        </w:tabs>
        <w:spacing w:line="240" w:lineRule="auto"/>
        <w:ind w:left="567"/>
        <w:rPr>
          <w:rFonts w:eastAsia="MS Mincho"/>
        </w:rPr>
      </w:pPr>
      <w:r w:rsidRPr="007B0741">
        <w:rPr>
          <w:b/>
        </w:rPr>
        <w:t>Moderate liver problems</w:t>
      </w:r>
      <w:r w:rsidR="0073031A">
        <w:rPr>
          <w:b/>
        </w:rPr>
        <w:t xml:space="preserve"> in children 6 months of age or older</w:t>
      </w:r>
      <w:r w:rsidRPr="007B0741">
        <w:rPr>
          <w:b/>
        </w:rPr>
        <w:t>:</w:t>
      </w:r>
      <w:r w:rsidRPr="003F1CB4">
        <w:rPr>
          <w:rFonts w:eastAsia="MS Mincho"/>
        </w:rPr>
        <w:t xml:space="preserve"> the dose may be reduced to </w:t>
      </w:r>
      <w:r w:rsidR="00AF7265">
        <w:rPr>
          <w:rFonts w:eastAsia="MS Mincho"/>
        </w:rPr>
        <w:t xml:space="preserve">one half of the indicated dose in the table above, that is </w:t>
      </w:r>
      <w:r w:rsidRPr="003F1CB4">
        <w:rPr>
          <w:rFonts w:eastAsia="MS Mincho"/>
        </w:rPr>
        <w:t>one</w:t>
      </w:r>
      <w:r w:rsidR="003655A8" w:rsidRPr="003F1CB4">
        <w:rPr>
          <w:rFonts w:eastAsia="MS Mincho"/>
        </w:rPr>
        <w:t xml:space="preserve"> </w:t>
      </w:r>
      <w:r w:rsidR="004D5A85" w:rsidRPr="003F1CB4">
        <w:rPr>
          <w:rFonts w:eastAsia="MS Mincho"/>
        </w:rPr>
        <w:t>sachet once daily</w:t>
      </w:r>
      <w:r w:rsidRPr="003F1CB4">
        <w:rPr>
          <w:rFonts w:eastAsia="MS Mincho"/>
        </w:rPr>
        <w:t>.</w:t>
      </w:r>
    </w:p>
    <w:p w14:paraId="41C3D52C" w14:textId="4230B3AC" w:rsidR="00D63903" w:rsidRPr="00D34757" w:rsidRDefault="005A3D7D" w:rsidP="000A093B">
      <w:pPr>
        <w:numPr>
          <w:ilvl w:val="0"/>
          <w:numId w:val="14"/>
        </w:numPr>
        <w:tabs>
          <w:tab w:val="clear" w:pos="567"/>
        </w:tabs>
        <w:spacing w:line="240" w:lineRule="auto"/>
        <w:ind w:left="567"/>
        <w:rPr>
          <w:rFonts w:eastAsia="MS Mincho"/>
        </w:rPr>
      </w:pPr>
      <w:r w:rsidRPr="007B0741">
        <w:rPr>
          <w:b/>
        </w:rPr>
        <w:t>Severe liver problems</w:t>
      </w:r>
      <w:r w:rsidR="0073031A">
        <w:rPr>
          <w:b/>
        </w:rPr>
        <w:t xml:space="preserve"> in children 6 months of age or older</w:t>
      </w:r>
      <w:r w:rsidRPr="007B0741">
        <w:rPr>
          <w:b/>
        </w:rPr>
        <w:t>:</w:t>
      </w:r>
      <w:r w:rsidRPr="003F1CB4">
        <w:rPr>
          <w:rFonts w:eastAsia="MS Mincho"/>
        </w:rPr>
        <w:t xml:space="preserve"> </w:t>
      </w:r>
      <w:r w:rsidR="006A5C6B" w:rsidRPr="003F1CB4">
        <w:rPr>
          <w:rFonts w:eastAsia="MS Mincho"/>
        </w:rPr>
        <w:t xml:space="preserve">the use is not recommended but </w:t>
      </w:r>
      <w:r w:rsidR="00913901" w:rsidRPr="003F1CB4">
        <w:rPr>
          <w:rFonts w:eastAsia="MS Mincho"/>
        </w:rPr>
        <w:t xml:space="preserve">your child’s doctor will decide if it is appropriate for your child to use </w:t>
      </w:r>
      <w:r w:rsidR="006A5C6B" w:rsidRPr="003F1CB4">
        <w:rPr>
          <w:rFonts w:eastAsia="MS Mincho"/>
        </w:rPr>
        <w:t xml:space="preserve">this </w:t>
      </w:r>
      <w:r w:rsidR="00A46724">
        <w:rPr>
          <w:rFonts w:eastAsia="MS Mincho"/>
        </w:rPr>
        <w:t xml:space="preserve">medicine </w:t>
      </w:r>
      <w:r w:rsidR="001153A4" w:rsidRPr="003F1CB4">
        <w:rPr>
          <w:rFonts w:eastAsia="MS Mincho"/>
        </w:rPr>
        <w:t xml:space="preserve">in which case the </w:t>
      </w:r>
      <w:r w:rsidRPr="003F1CB4">
        <w:rPr>
          <w:rFonts w:eastAsia="MS Mincho"/>
        </w:rPr>
        <w:t xml:space="preserve">dose </w:t>
      </w:r>
      <w:r w:rsidR="00AF7265">
        <w:rPr>
          <w:rFonts w:eastAsia="MS Mincho"/>
        </w:rPr>
        <w:t xml:space="preserve">(as indicated in the table above) </w:t>
      </w:r>
      <w:r w:rsidR="001153A4" w:rsidRPr="003F1CB4">
        <w:rPr>
          <w:rFonts w:eastAsia="MS Mincho"/>
        </w:rPr>
        <w:t xml:space="preserve">must </w:t>
      </w:r>
      <w:r w:rsidRPr="003F1CB4">
        <w:rPr>
          <w:rFonts w:eastAsia="MS Mincho"/>
        </w:rPr>
        <w:t>be reduced to one</w:t>
      </w:r>
      <w:r w:rsidR="003655A8" w:rsidRPr="003F1CB4">
        <w:rPr>
          <w:rFonts w:eastAsia="MS Mincho"/>
        </w:rPr>
        <w:t xml:space="preserve"> </w:t>
      </w:r>
      <w:r w:rsidR="004D5A85" w:rsidRPr="003F1CB4">
        <w:rPr>
          <w:rFonts w:eastAsia="MS Mincho"/>
        </w:rPr>
        <w:t>sachet every other day.</w:t>
      </w:r>
    </w:p>
    <w:p w14:paraId="33142D20" w14:textId="77777777" w:rsidR="0073031A" w:rsidRPr="0063509A" w:rsidRDefault="005A3D7D" w:rsidP="0073031A">
      <w:pPr>
        <w:numPr>
          <w:ilvl w:val="0"/>
          <w:numId w:val="14"/>
        </w:numPr>
        <w:tabs>
          <w:tab w:val="clear" w:pos="567"/>
        </w:tabs>
        <w:spacing w:line="240" w:lineRule="auto"/>
        <w:ind w:left="567"/>
        <w:rPr>
          <w:rFonts w:eastAsia="MS Mincho"/>
        </w:rPr>
      </w:pPr>
      <w:bookmarkStart w:id="14" w:name="_Hlk36546718"/>
      <w:r w:rsidRPr="0063509A">
        <w:rPr>
          <w:b/>
        </w:rPr>
        <w:t>Liver problems in children between 4 months and 6 months of age:</w:t>
      </w:r>
      <w:r w:rsidRPr="0063509A">
        <w:rPr>
          <w:rFonts w:eastAsia="MS Mincho"/>
        </w:rPr>
        <w:t xml:space="preserve"> the use is not recommended but your child’s doctor will decide if it is appropriate for your child to use</w:t>
      </w:r>
      <w:bookmarkStart w:id="15" w:name="_Hlk36546744"/>
      <w:r w:rsidRPr="0063509A">
        <w:rPr>
          <w:rFonts w:eastAsia="MS Mincho"/>
        </w:rPr>
        <w:t xml:space="preserve"> and </w:t>
      </w:r>
      <w:bookmarkEnd w:id="15"/>
      <w:r w:rsidRPr="0063509A">
        <w:rPr>
          <w:rFonts w:eastAsia="MS Mincho"/>
        </w:rPr>
        <w:t>what dose your child should have.</w:t>
      </w:r>
    </w:p>
    <w:bookmarkEnd w:id="14"/>
    <w:p w14:paraId="10D5DCB8" w14:textId="77777777" w:rsidR="00DA11A1" w:rsidRPr="003F1CB4" w:rsidRDefault="00DA11A1" w:rsidP="0073488E">
      <w:pPr>
        <w:numPr>
          <w:ilvl w:val="12"/>
          <w:numId w:val="0"/>
        </w:numPr>
        <w:spacing w:line="240" w:lineRule="auto"/>
        <w:ind w:right="-2"/>
      </w:pPr>
    </w:p>
    <w:p w14:paraId="77812940" w14:textId="77777777" w:rsidR="004B5786" w:rsidRDefault="005A3D7D" w:rsidP="004B5786">
      <w:pPr>
        <w:numPr>
          <w:ilvl w:val="12"/>
          <w:numId w:val="0"/>
        </w:numPr>
        <w:spacing w:line="240" w:lineRule="auto"/>
        <w:ind w:right="-2"/>
      </w:pPr>
      <w:r w:rsidRPr="003F1CB4">
        <w:t>Kalydeco is for oral use.</w:t>
      </w:r>
    </w:p>
    <w:p w14:paraId="3118751C" w14:textId="77777777" w:rsidR="005C386D" w:rsidRDefault="005C386D" w:rsidP="004B5786">
      <w:pPr>
        <w:numPr>
          <w:ilvl w:val="12"/>
          <w:numId w:val="0"/>
        </w:numPr>
        <w:spacing w:line="240" w:lineRule="auto"/>
        <w:ind w:right="-2"/>
      </w:pPr>
    </w:p>
    <w:p w14:paraId="12518C90" w14:textId="77777777" w:rsidR="004B5786" w:rsidRPr="003F1CB4" w:rsidRDefault="005A3D7D" w:rsidP="00343F14">
      <w:pPr>
        <w:tabs>
          <w:tab w:val="clear" w:pos="567"/>
          <w:tab w:val="left" w:pos="0"/>
        </w:tabs>
        <w:spacing w:line="240" w:lineRule="auto"/>
        <w:ind w:right="-2"/>
        <w:rPr>
          <w:b/>
          <w:i/>
          <w:sz w:val="20"/>
        </w:rPr>
      </w:pPr>
      <w:r w:rsidRPr="003F1CB4">
        <w:t>Each</w:t>
      </w:r>
      <w:r w:rsidR="004E5E91" w:rsidRPr="003F1CB4">
        <w:t xml:space="preserve"> sachet is for single use only.</w:t>
      </w:r>
    </w:p>
    <w:p w14:paraId="5D8A3E89" w14:textId="77777777" w:rsidR="004B5786" w:rsidRPr="00A808AC" w:rsidRDefault="004B5786" w:rsidP="004B5786">
      <w:pPr>
        <w:numPr>
          <w:ilvl w:val="12"/>
          <w:numId w:val="0"/>
        </w:numPr>
        <w:spacing w:line="240" w:lineRule="auto"/>
        <w:ind w:right="-2"/>
        <w:rPr>
          <w:sz w:val="20"/>
        </w:rPr>
      </w:pPr>
    </w:p>
    <w:p w14:paraId="1B8DFFE3" w14:textId="77777777" w:rsidR="004B5786" w:rsidRPr="00A808AC" w:rsidRDefault="005A3D7D" w:rsidP="004B5786">
      <w:pPr>
        <w:tabs>
          <w:tab w:val="left" w:pos="0"/>
        </w:tabs>
        <w:spacing w:line="240" w:lineRule="auto"/>
        <w:rPr>
          <w:rFonts w:eastAsia="MS Mincho"/>
          <w:lang w:eastAsia="ja-JP"/>
        </w:rPr>
      </w:pPr>
      <w:r w:rsidRPr="00A808AC">
        <w:rPr>
          <w:rFonts w:eastAsia="MS Mincho"/>
          <w:lang w:eastAsia="ja-JP"/>
        </w:rPr>
        <w:t>Giving Kalydeco to your child</w:t>
      </w:r>
      <w:r w:rsidR="00A46724">
        <w:rPr>
          <w:rFonts w:eastAsia="MS Mincho"/>
          <w:lang w:eastAsia="ja-JP"/>
        </w:rPr>
        <w:t>:</w:t>
      </w:r>
    </w:p>
    <w:p w14:paraId="319E7371" w14:textId="77777777" w:rsidR="004B5786" w:rsidRPr="00A808AC" w:rsidRDefault="005A3D7D" w:rsidP="000A093B">
      <w:pPr>
        <w:numPr>
          <w:ilvl w:val="0"/>
          <w:numId w:val="49"/>
        </w:numPr>
        <w:tabs>
          <w:tab w:val="clear" w:pos="567"/>
        </w:tabs>
        <w:spacing w:line="240" w:lineRule="auto"/>
        <w:ind w:left="567"/>
        <w:rPr>
          <w:rFonts w:eastAsia="MS Mincho"/>
        </w:rPr>
      </w:pPr>
      <w:r w:rsidRPr="00A808AC">
        <w:rPr>
          <w:rFonts w:eastAsia="MS Mincho"/>
        </w:rPr>
        <w:t xml:space="preserve">Hold </w:t>
      </w:r>
      <w:r w:rsidRPr="00A808AC">
        <w:rPr>
          <w:rFonts w:eastAsia="MS Mincho"/>
        </w:rPr>
        <w:t>sachet of granules with cut line on top.</w:t>
      </w:r>
    </w:p>
    <w:p w14:paraId="26BF96EF" w14:textId="77777777" w:rsidR="004B5786" w:rsidRPr="00A808AC" w:rsidRDefault="005A3D7D" w:rsidP="000A093B">
      <w:pPr>
        <w:numPr>
          <w:ilvl w:val="0"/>
          <w:numId w:val="49"/>
        </w:numPr>
        <w:tabs>
          <w:tab w:val="clear" w:pos="567"/>
        </w:tabs>
        <w:spacing w:line="240" w:lineRule="auto"/>
        <w:ind w:left="567"/>
        <w:rPr>
          <w:rFonts w:eastAsia="MS Mincho"/>
        </w:rPr>
      </w:pPr>
      <w:r w:rsidRPr="00A808AC">
        <w:rPr>
          <w:rFonts w:eastAsia="MS Mincho"/>
        </w:rPr>
        <w:t>Shake sachet gently to settle contents.</w:t>
      </w:r>
    </w:p>
    <w:p w14:paraId="1F0E2358" w14:textId="77777777" w:rsidR="004B5786" w:rsidRPr="00A808AC" w:rsidRDefault="005A3D7D" w:rsidP="000A093B">
      <w:pPr>
        <w:numPr>
          <w:ilvl w:val="0"/>
          <w:numId w:val="49"/>
        </w:numPr>
        <w:tabs>
          <w:tab w:val="clear" w:pos="567"/>
        </w:tabs>
        <w:spacing w:line="240" w:lineRule="auto"/>
        <w:ind w:left="567"/>
        <w:rPr>
          <w:rFonts w:eastAsia="MS Mincho"/>
        </w:rPr>
      </w:pPr>
      <w:r w:rsidRPr="00A808AC">
        <w:rPr>
          <w:rFonts w:eastAsia="MS Mincho"/>
        </w:rPr>
        <w:t>Tear or cut sachet open along cut line.</w:t>
      </w:r>
    </w:p>
    <w:p w14:paraId="7C6EBC9C" w14:textId="77777777" w:rsidR="004B5786" w:rsidRPr="00D34757" w:rsidRDefault="005A3D7D" w:rsidP="000A093B">
      <w:pPr>
        <w:numPr>
          <w:ilvl w:val="0"/>
          <w:numId w:val="49"/>
        </w:numPr>
        <w:tabs>
          <w:tab w:val="clear" w:pos="567"/>
        </w:tabs>
        <w:spacing w:line="240" w:lineRule="auto"/>
        <w:ind w:left="567"/>
        <w:rPr>
          <w:rFonts w:eastAsia="MS Mincho"/>
        </w:rPr>
      </w:pPr>
      <w:r w:rsidRPr="00A808AC">
        <w:rPr>
          <w:rFonts w:eastAsia="MS Mincho"/>
        </w:rPr>
        <w:t xml:space="preserve">Mix the entire content of a sachet with 5 mL </w:t>
      </w:r>
      <w:r w:rsidRPr="00D34757">
        <w:rPr>
          <w:rFonts w:eastAsia="MS Mincho"/>
        </w:rPr>
        <w:t>of age-appropriate soft food or liquid. Food or liquid should be at room temperature or be</w:t>
      </w:r>
      <w:r w:rsidRPr="00D34757">
        <w:rPr>
          <w:rFonts w:eastAsia="MS Mincho"/>
        </w:rPr>
        <w:t xml:space="preserve">low. Some examples of age-appropriate soft foods or liquids include puréed fruits or vegetables, yogurt, applesauce, water, milk, </w:t>
      </w:r>
      <w:r w:rsidR="00CC292E" w:rsidRPr="00CC292E">
        <w:t>breast milk, infant formula,</w:t>
      </w:r>
      <w:r w:rsidR="00CC292E">
        <w:t xml:space="preserve"> </w:t>
      </w:r>
      <w:r w:rsidRPr="00D34757">
        <w:rPr>
          <w:rFonts w:eastAsia="MS Mincho"/>
        </w:rPr>
        <w:t>or juice.</w:t>
      </w:r>
    </w:p>
    <w:p w14:paraId="3F469E1D" w14:textId="77777777" w:rsidR="004B5786" w:rsidRPr="00D34757" w:rsidRDefault="005A3D7D" w:rsidP="000A093B">
      <w:pPr>
        <w:numPr>
          <w:ilvl w:val="0"/>
          <w:numId w:val="49"/>
        </w:numPr>
        <w:tabs>
          <w:tab w:val="clear" w:pos="567"/>
        </w:tabs>
        <w:spacing w:line="240" w:lineRule="auto"/>
        <w:ind w:left="567"/>
        <w:rPr>
          <w:rFonts w:eastAsia="MS Mincho"/>
        </w:rPr>
      </w:pPr>
      <w:r w:rsidRPr="00D34757">
        <w:rPr>
          <w:rFonts w:eastAsia="MS Mincho"/>
        </w:rPr>
        <w:t>Once mixed, give the product to your child immediately. If this is not possible, give i</w:t>
      </w:r>
      <w:r w:rsidRPr="00D34757">
        <w:rPr>
          <w:rFonts w:eastAsia="MS Mincho"/>
        </w:rPr>
        <w:t>t within the following hour after mixing. Ensure that the mixture is completely and immediately consumed.</w:t>
      </w:r>
    </w:p>
    <w:p w14:paraId="132C98AD" w14:textId="77777777" w:rsidR="004B5786" w:rsidRPr="00A808AC" w:rsidRDefault="005A3D7D" w:rsidP="000A093B">
      <w:pPr>
        <w:numPr>
          <w:ilvl w:val="0"/>
          <w:numId w:val="49"/>
        </w:numPr>
        <w:tabs>
          <w:tab w:val="clear" w:pos="567"/>
        </w:tabs>
        <w:spacing w:line="240" w:lineRule="auto"/>
        <w:ind w:left="567"/>
        <w:rPr>
          <w:rFonts w:eastAsia="MS Mincho"/>
        </w:rPr>
      </w:pPr>
      <w:r w:rsidRPr="00A808AC">
        <w:rPr>
          <w:rFonts w:eastAsia="MS Mincho"/>
        </w:rPr>
        <w:t>A fat-containing meal or snack should be given to your child just before or just after dosing (some examples are provided below).</w:t>
      </w:r>
    </w:p>
    <w:p w14:paraId="30E9EC08" w14:textId="77777777" w:rsidR="004B5786" w:rsidRPr="00A808AC" w:rsidRDefault="004B5786" w:rsidP="00343F14">
      <w:pPr>
        <w:tabs>
          <w:tab w:val="clear" w:pos="567"/>
          <w:tab w:val="left" w:pos="0"/>
        </w:tabs>
        <w:spacing w:line="240" w:lineRule="auto"/>
        <w:ind w:right="-2"/>
        <w:rPr>
          <w:b/>
          <w:i/>
          <w:sz w:val="20"/>
        </w:rPr>
      </w:pPr>
    </w:p>
    <w:p w14:paraId="1910B7D0" w14:textId="77777777" w:rsidR="004B5786" w:rsidRPr="00A808AC" w:rsidRDefault="005A3D7D" w:rsidP="004B5786">
      <w:pPr>
        <w:pStyle w:val="ListParagraph"/>
        <w:keepNext/>
        <w:tabs>
          <w:tab w:val="left" w:pos="270"/>
        </w:tabs>
        <w:ind w:left="0"/>
      </w:pPr>
      <w:r>
        <w:t>M</w:t>
      </w:r>
      <w:r w:rsidRPr="00A808AC">
        <w:t xml:space="preserve">eals or snacks that contain fat </w:t>
      </w:r>
      <w:r>
        <w:t>include</w:t>
      </w:r>
      <w:r w:rsidRPr="00A808AC">
        <w:t xml:space="preserve"> those prepared with butter or oils or those containing eggs. Other fat-containing foods are:</w:t>
      </w:r>
    </w:p>
    <w:p w14:paraId="3168764A" w14:textId="77777777" w:rsidR="004B5786" w:rsidRPr="00D34757" w:rsidRDefault="005A3D7D" w:rsidP="000A093B">
      <w:pPr>
        <w:numPr>
          <w:ilvl w:val="0"/>
          <w:numId w:val="49"/>
        </w:numPr>
        <w:tabs>
          <w:tab w:val="clear" w:pos="567"/>
        </w:tabs>
        <w:spacing w:line="240" w:lineRule="auto"/>
        <w:ind w:left="567"/>
        <w:rPr>
          <w:rFonts w:eastAsia="MS Mincho"/>
        </w:rPr>
      </w:pPr>
      <w:r w:rsidRPr="00D34757">
        <w:rPr>
          <w:rFonts w:eastAsia="MS Mincho"/>
        </w:rPr>
        <w:t xml:space="preserve">Cheese, whole milk, whole-milk dairy products, yogurt, </w:t>
      </w:r>
      <w:r w:rsidR="00133D47" w:rsidRPr="00CC292E">
        <w:t>breast milk, infant formula</w:t>
      </w:r>
      <w:r w:rsidR="00133D47">
        <w:t>,</w:t>
      </w:r>
      <w:r w:rsidR="00133D47" w:rsidRPr="00D34757">
        <w:rPr>
          <w:rFonts w:eastAsia="MS Mincho"/>
        </w:rPr>
        <w:t xml:space="preserve"> </w:t>
      </w:r>
      <w:r w:rsidRPr="00D34757">
        <w:rPr>
          <w:rFonts w:eastAsia="MS Mincho"/>
        </w:rPr>
        <w:t>chocolate</w:t>
      </w:r>
    </w:p>
    <w:p w14:paraId="0F8EB28D" w14:textId="77777777" w:rsidR="004B5786" w:rsidRPr="00D34757" w:rsidRDefault="005A3D7D" w:rsidP="000A093B">
      <w:pPr>
        <w:numPr>
          <w:ilvl w:val="0"/>
          <w:numId w:val="49"/>
        </w:numPr>
        <w:tabs>
          <w:tab w:val="clear" w:pos="567"/>
        </w:tabs>
        <w:spacing w:line="240" w:lineRule="auto"/>
        <w:ind w:left="567"/>
        <w:rPr>
          <w:rFonts w:eastAsia="MS Mincho"/>
        </w:rPr>
      </w:pPr>
      <w:r w:rsidRPr="00D34757">
        <w:rPr>
          <w:rFonts w:eastAsia="MS Mincho"/>
        </w:rPr>
        <w:t>Meats, oily fish</w:t>
      </w:r>
    </w:p>
    <w:p w14:paraId="70649181" w14:textId="77777777" w:rsidR="004B5786" w:rsidRPr="00D34757" w:rsidRDefault="005A3D7D" w:rsidP="000A093B">
      <w:pPr>
        <w:numPr>
          <w:ilvl w:val="0"/>
          <w:numId w:val="49"/>
        </w:numPr>
        <w:tabs>
          <w:tab w:val="clear" w:pos="567"/>
        </w:tabs>
        <w:spacing w:line="240" w:lineRule="auto"/>
        <w:ind w:left="567"/>
        <w:rPr>
          <w:rFonts w:eastAsia="MS Mincho"/>
        </w:rPr>
      </w:pPr>
      <w:r w:rsidRPr="00D34757">
        <w:rPr>
          <w:rFonts w:eastAsia="MS Mincho"/>
        </w:rPr>
        <w:t>Avocados, hu</w:t>
      </w:r>
      <w:r w:rsidRPr="00D34757">
        <w:rPr>
          <w:rFonts w:eastAsia="MS Mincho"/>
        </w:rPr>
        <w:t>mmus, soy-based products (tofu)</w:t>
      </w:r>
    </w:p>
    <w:p w14:paraId="5D2EEA3D" w14:textId="77777777" w:rsidR="004B5786" w:rsidRPr="00D34757" w:rsidRDefault="005A3D7D" w:rsidP="000A093B">
      <w:pPr>
        <w:numPr>
          <w:ilvl w:val="0"/>
          <w:numId w:val="49"/>
        </w:numPr>
        <w:tabs>
          <w:tab w:val="clear" w:pos="567"/>
        </w:tabs>
        <w:spacing w:line="240" w:lineRule="auto"/>
        <w:ind w:left="567"/>
        <w:rPr>
          <w:rFonts w:eastAsia="MS Mincho"/>
        </w:rPr>
      </w:pPr>
      <w:r w:rsidRPr="00D34757">
        <w:rPr>
          <w:rFonts w:eastAsia="MS Mincho"/>
        </w:rPr>
        <w:t>Nuts, fat-containing nutritional bars or drinks</w:t>
      </w:r>
    </w:p>
    <w:p w14:paraId="6BDD010C" w14:textId="77777777" w:rsidR="004B5786" w:rsidRPr="00A808AC" w:rsidRDefault="004B5786" w:rsidP="004B5786">
      <w:pPr>
        <w:numPr>
          <w:ilvl w:val="12"/>
          <w:numId w:val="0"/>
        </w:numPr>
        <w:tabs>
          <w:tab w:val="clear" w:pos="567"/>
        </w:tabs>
        <w:spacing w:line="240" w:lineRule="auto"/>
        <w:ind w:right="-2"/>
        <w:outlineLvl w:val="0"/>
        <w:rPr>
          <w:b/>
          <w:bCs/>
        </w:rPr>
      </w:pPr>
    </w:p>
    <w:p w14:paraId="187E0FDD" w14:textId="77777777" w:rsidR="004B5786" w:rsidRDefault="005A3D7D" w:rsidP="00A0798C">
      <w:pPr>
        <w:keepNext/>
        <w:numPr>
          <w:ilvl w:val="12"/>
          <w:numId w:val="0"/>
        </w:numPr>
        <w:tabs>
          <w:tab w:val="clear" w:pos="567"/>
        </w:tabs>
        <w:spacing w:line="240" w:lineRule="auto"/>
        <w:outlineLvl w:val="0"/>
        <w:rPr>
          <w:b/>
          <w:bCs/>
        </w:rPr>
      </w:pPr>
      <w:r w:rsidRPr="00A808AC">
        <w:rPr>
          <w:b/>
          <w:bCs/>
        </w:rPr>
        <w:t>If your child takes more Kalydeco than he/she should</w:t>
      </w:r>
    </w:p>
    <w:p w14:paraId="37335758" w14:textId="77777777" w:rsidR="00987822" w:rsidRPr="00A808AC" w:rsidRDefault="00987822" w:rsidP="0069106A">
      <w:pPr>
        <w:keepNext/>
        <w:numPr>
          <w:ilvl w:val="12"/>
          <w:numId w:val="0"/>
        </w:numPr>
        <w:tabs>
          <w:tab w:val="clear" w:pos="567"/>
        </w:tabs>
        <w:spacing w:line="240" w:lineRule="auto"/>
        <w:outlineLvl w:val="0"/>
      </w:pPr>
    </w:p>
    <w:p w14:paraId="47AA9E70" w14:textId="77777777" w:rsidR="004B5786" w:rsidRPr="00A808AC" w:rsidRDefault="005A3D7D" w:rsidP="000A093B">
      <w:pPr>
        <w:keepNext/>
        <w:numPr>
          <w:ilvl w:val="12"/>
          <w:numId w:val="0"/>
        </w:numPr>
        <w:spacing w:line="240" w:lineRule="auto"/>
        <w:ind w:right="-2"/>
        <w:outlineLvl w:val="0"/>
      </w:pPr>
      <w:r w:rsidRPr="00A808AC">
        <w:t xml:space="preserve">Your child may experience side effects, including those mentioned in section 4 below. If so, contact your child’s </w:t>
      </w:r>
      <w:r w:rsidRPr="00A808AC">
        <w:t>doctor or pharmacist to ask for advice. If possible, have your child’s medicine and this leaflet with you.</w:t>
      </w:r>
    </w:p>
    <w:p w14:paraId="778D15DC" w14:textId="77777777" w:rsidR="004B5786" w:rsidRPr="00A808AC" w:rsidRDefault="004B5786" w:rsidP="004B5786">
      <w:pPr>
        <w:numPr>
          <w:ilvl w:val="12"/>
          <w:numId w:val="0"/>
        </w:numPr>
        <w:tabs>
          <w:tab w:val="clear" w:pos="567"/>
        </w:tabs>
        <w:spacing w:line="240" w:lineRule="auto"/>
        <w:ind w:right="-2"/>
        <w:outlineLvl w:val="0"/>
        <w:rPr>
          <w:i/>
          <w:iCs/>
        </w:rPr>
      </w:pPr>
    </w:p>
    <w:p w14:paraId="7A8C9DB1" w14:textId="77777777" w:rsidR="004B5786" w:rsidRDefault="005A3D7D" w:rsidP="0097683F">
      <w:pPr>
        <w:keepNext/>
        <w:keepLines/>
        <w:numPr>
          <w:ilvl w:val="12"/>
          <w:numId w:val="0"/>
        </w:numPr>
        <w:tabs>
          <w:tab w:val="clear" w:pos="567"/>
        </w:tabs>
        <w:spacing w:line="240" w:lineRule="auto"/>
        <w:ind w:right="-2"/>
        <w:outlineLvl w:val="0"/>
        <w:rPr>
          <w:b/>
          <w:bCs/>
        </w:rPr>
      </w:pPr>
      <w:r w:rsidRPr="00A808AC">
        <w:rPr>
          <w:b/>
          <w:bCs/>
        </w:rPr>
        <w:t>If you forget to give your child Kalydeco</w:t>
      </w:r>
    </w:p>
    <w:p w14:paraId="7F8A8A68" w14:textId="77777777" w:rsidR="00987822" w:rsidRPr="00A808AC" w:rsidRDefault="00987822" w:rsidP="0097683F">
      <w:pPr>
        <w:keepNext/>
        <w:keepLines/>
        <w:numPr>
          <w:ilvl w:val="12"/>
          <w:numId w:val="0"/>
        </w:numPr>
        <w:tabs>
          <w:tab w:val="clear" w:pos="567"/>
        </w:tabs>
        <w:spacing w:line="240" w:lineRule="auto"/>
        <w:ind w:right="-2"/>
        <w:outlineLvl w:val="0"/>
      </w:pPr>
    </w:p>
    <w:p w14:paraId="00ECA269" w14:textId="77777777" w:rsidR="004B5786" w:rsidRPr="00A808AC" w:rsidRDefault="005A3D7D" w:rsidP="0097683F">
      <w:pPr>
        <w:keepNext/>
        <w:keepLines/>
        <w:spacing w:line="240" w:lineRule="auto"/>
      </w:pPr>
      <w:r w:rsidRPr="00A808AC">
        <w:t>Give the missed dose if less than 6 hours have passed since the time your child missed the dose. Otherwis</w:t>
      </w:r>
      <w:r w:rsidRPr="00A808AC">
        <w:t>e, wait until your child’s next scheduled dose as you normally would. Do not give your child a double dose to make up for a forgotten dose.</w:t>
      </w:r>
    </w:p>
    <w:p w14:paraId="111F358B" w14:textId="77777777" w:rsidR="004B5786" w:rsidRPr="00A808AC" w:rsidRDefault="004B5786" w:rsidP="004B5786">
      <w:pPr>
        <w:numPr>
          <w:ilvl w:val="12"/>
          <w:numId w:val="0"/>
        </w:numPr>
        <w:tabs>
          <w:tab w:val="clear" w:pos="567"/>
        </w:tabs>
        <w:spacing w:line="240" w:lineRule="auto"/>
        <w:ind w:right="-2"/>
      </w:pPr>
    </w:p>
    <w:p w14:paraId="7555CD17" w14:textId="77777777" w:rsidR="004B5786" w:rsidRDefault="005A3D7D" w:rsidP="000A093B">
      <w:pPr>
        <w:keepNext/>
        <w:numPr>
          <w:ilvl w:val="12"/>
          <w:numId w:val="0"/>
        </w:numPr>
        <w:tabs>
          <w:tab w:val="clear" w:pos="567"/>
        </w:tabs>
        <w:spacing w:line="240" w:lineRule="auto"/>
        <w:ind w:right="-2"/>
        <w:outlineLvl w:val="0"/>
        <w:rPr>
          <w:b/>
          <w:bCs/>
        </w:rPr>
      </w:pPr>
      <w:r w:rsidRPr="00A808AC">
        <w:rPr>
          <w:b/>
          <w:bCs/>
        </w:rPr>
        <w:t xml:space="preserve">If you </w:t>
      </w:r>
      <w:r w:rsidR="004E5E91" w:rsidRPr="00A808AC">
        <w:rPr>
          <w:b/>
          <w:bCs/>
        </w:rPr>
        <w:t>stop giving your child Kalydeco</w:t>
      </w:r>
    </w:p>
    <w:p w14:paraId="77A9EE84" w14:textId="77777777" w:rsidR="00987822" w:rsidRPr="00A808AC" w:rsidRDefault="00987822" w:rsidP="000A093B">
      <w:pPr>
        <w:keepNext/>
        <w:numPr>
          <w:ilvl w:val="12"/>
          <w:numId w:val="0"/>
        </w:numPr>
        <w:tabs>
          <w:tab w:val="clear" w:pos="567"/>
        </w:tabs>
        <w:spacing w:line="240" w:lineRule="auto"/>
        <w:ind w:right="-2"/>
        <w:outlineLvl w:val="0"/>
        <w:rPr>
          <w:b/>
          <w:bCs/>
        </w:rPr>
      </w:pPr>
    </w:p>
    <w:p w14:paraId="4D3029A0" w14:textId="77777777" w:rsidR="004B5786" w:rsidRPr="00A808AC" w:rsidRDefault="005A3D7D" w:rsidP="000A093B">
      <w:pPr>
        <w:keepNext/>
        <w:numPr>
          <w:ilvl w:val="12"/>
          <w:numId w:val="0"/>
        </w:numPr>
        <w:tabs>
          <w:tab w:val="clear" w:pos="567"/>
        </w:tabs>
        <w:spacing w:line="240" w:lineRule="auto"/>
        <w:ind w:right="-2"/>
        <w:outlineLvl w:val="0"/>
      </w:pPr>
      <w:r w:rsidRPr="00A808AC">
        <w:t xml:space="preserve">Give Kalydeco to your child for as long as your child’s doctor recommends. </w:t>
      </w:r>
      <w:r w:rsidR="00913901" w:rsidRPr="00A808AC">
        <w:t xml:space="preserve">Do not </w:t>
      </w:r>
      <w:r w:rsidRPr="00A808AC">
        <w:t>stop unless your child’s doctor advises you to. If you have any further questions on the use of this medicine, ask your child’s doctor or pharmacist.</w:t>
      </w:r>
    </w:p>
    <w:p w14:paraId="4BB9B9B7" w14:textId="77777777" w:rsidR="004B5786" w:rsidRPr="00A808AC" w:rsidRDefault="004B5786" w:rsidP="004B5786">
      <w:pPr>
        <w:numPr>
          <w:ilvl w:val="12"/>
          <w:numId w:val="0"/>
        </w:numPr>
        <w:tabs>
          <w:tab w:val="clear" w:pos="567"/>
        </w:tabs>
        <w:spacing w:line="240" w:lineRule="auto"/>
        <w:ind w:right="-2"/>
        <w:outlineLvl w:val="0"/>
      </w:pPr>
    </w:p>
    <w:p w14:paraId="2F166C1C" w14:textId="77777777" w:rsidR="004B5786" w:rsidRPr="00A808AC" w:rsidRDefault="004B5786" w:rsidP="004B5786">
      <w:pPr>
        <w:numPr>
          <w:ilvl w:val="12"/>
          <w:numId w:val="0"/>
        </w:numPr>
        <w:tabs>
          <w:tab w:val="clear" w:pos="567"/>
        </w:tabs>
        <w:spacing w:line="240" w:lineRule="auto"/>
        <w:ind w:right="-2"/>
        <w:outlineLvl w:val="0"/>
      </w:pPr>
    </w:p>
    <w:p w14:paraId="0A3E44B8" w14:textId="77777777" w:rsidR="004B5786" w:rsidRPr="00A808AC" w:rsidRDefault="005A3D7D" w:rsidP="000A093B">
      <w:pPr>
        <w:keepNext/>
        <w:numPr>
          <w:ilvl w:val="0"/>
          <w:numId w:val="19"/>
        </w:numPr>
        <w:spacing w:line="240" w:lineRule="auto"/>
        <w:ind w:right="-2"/>
      </w:pPr>
      <w:r w:rsidRPr="00A808AC">
        <w:rPr>
          <w:b/>
          <w:bCs/>
        </w:rPr>
        <w:t>Possible side effects</w:t>
      </w:r>
    </w:p>
    <w:p w14:paraId="11DEF275" w14:textId="77777777" w:rsidR="004B5786" w:rsidRPr="00A808AC" w:rsidRDefault="004B5786" w:rsidP="000A093B">
      <w:pPr>
        <w:keepNext/>
        <w:numPr>
          <w:ilvl w:val="12"/>
          <w:numId w:val="0"/>
        </w:numPr>
        <w:tabs>
          <w:tab w:val="clear" w:pos="567"/>
        </w:tabs>
        <w:spacing w:line="240" w:lineRule="auto"/>
      </w:pPr>
    </w:p>
    <w:p w14:paraId="31081B0B" w14:textId="77777777" w:rsidR="004B5786" w:rsidRPr="00A808AC" w:rsidRDefault="005A3D7D" w:rsidP="000A093B">
      <w:pPr>
        <w:keepNext/>
        <w:numPr>
          <w:ilvl w:val="12"/>
          <w:numId w:val="0"/>
        </w:numPr>
        <w:tabs>
          <w:tab w:val="clear" w:pos="567"/>
        </w:tabs>
        <w:spacing w:line="240" w:lineRule="auto"/>
        <w:ind w:right="-29"/>
      </w:pPr>
      <w:r w:rsidRPr="00A808AC">
        <w:t xml:space="preserve">Like all medicines, this medicine can cause side effects, although not </w:t>
      </w:r>
      <w:r w:rsidRPr="00A808AC">
        <w:t>everybody gets them.</w:t>
      </w:r>
    </w:p>
    <w:p w14:paraId="1F0232BD" w14:textId="77777777" w:rsidR="004B5786" w:rsidRPr="00A808AC" w:rsidRDefault="004B5786" w:rsidP="004B5786">
      <w:pPr>
        <w:numPr>
          <w:ilvl w:val="12"/>
          <w:numId w:val="0"/>
        </w:numPr>
        <w:tabs>
          <w:tab w:val="clear" w:pos="567"/>
        </w:tabs>
        <w:spacing w:line="240" w:lineRule="auto"/>
        <w:ind w:right="-29"/>
      </w:pPr>
    </w:p>
    <w:p w14:paraId="326149EA" w14:textId="5F331D33" w:rsidR="00456926" w:rsidRPr="00456926" w:rsidRDefault="005A3D7D" w:rsidP="004B5786">
      <w:pPr>
        <w:numPr>
          <w:ilvl w:val="12"/>
          <w:numId w:val="0"/>
        </w:numPr>
        <w:tabs>
          <w:tab w:val="clear" w:pos="567"/>
        </w:tabs>
        <w:spacing w:line="240" w:lineRule="auto"/>
        <w:ind w:right="-29"/>
        <w:rPr>
          <w:b/>
          <w:bCs/>
        </w:rPr>
      </w:pPr>
      <w:r w:rsidRPr="000A093B">
        <w:rPr>
          <w:b/>
        </w:rPr>
        <w:t>Serious side effects</w:t>
      </w:r>
    </w:p>
    <w:p w14:paraId="595D53E6" w14:textId="77777777" w:rsidR="00456926" w:rsidRDefault="00456926" w:rsidP="004B5786">
      <w:pPr>
        <w:numPr>
          <w:ilvl w:val="12"/>
          <w:numId w:val="0"/>
        </w:numPr>
        <w:tabs>
          <w:tab w:val="clear" w:pos="567"/>
        </w:tabs>
        <w:spacing w:line="240" w:lineRule="auto"/>
        <w:ind w:right="-29"/>
      </w:pPr>
    </w:p>
    <w:p w14:paraId="6C6879BD" w14:textId="46F416E0" w:rsidR="00456926" w:rsidRDefault="005A3D7D" w:rsidP="004B5786">
      <w:pPr>
        <w:numPr>
          <w:ilvl w:val="12"/>
          <w:numId w:val="0"/>
        </w:numPr>
        <w:tabs>
          <w:tab w:val="clear" w:pos="567"/>
        </w:tabs>
        <w:spacing w:line="240" w:lineRule="auto"/>
        <w:ind w:right="-29"/>
      </w:pPr>
      <w:r>
        <w:t>S</w:t>
      </w:r>
      <w:r w:rsidR="009B1867" w:rsidRPr="00A808AC">
        <w:t xml:space="preserve">tomach (abdominal) ache and increased liver enzymes in the blood. </w:t>
      </w:r>
    </w:p>
    <w:p w14:paraId="7F134A08" w14:textId="77777777" w:rsidR="00456926" w:rsidRDefault="00456926" w:rsidP="004B5786">
      <w:pPr>
        <w:numPr>
          <w:ilvl w:val="12"/>
          <w:numId w:val="0"/>
        </w:numPr>
        <w:tabs>
          <w:tab w:val="clear" w:pos="567"/>
        </w:tabs>
        <w:spacing w:line="240" w:lineRule="auto"/>
        <w:ind w:right="-29"/>
      </w:pPr>
    </w:p>
    <w:p w14:paraId="220C1735" w14:textId="77777777" w:rsidR="00456926" w:rsidRPr="00A4646D" w:rsidRDefault="005A3D7D" w:rsidP="00456926">
      <w:pPr>
        <w:keepNext/>
        <w:numPr>
          <w:ilvl w:val="12"/>
          <w:numId w:val="0"/>
        </w:numPr>
        <w:tabs>
          <w:tab w:val="clear" w:pos="567"/>
        </w:tabs>
        <w:spacing w:line="240" w:lineRule="auto"/>
        <w:ind w:right="-29"/>
        <w:rPr>
          <w:b/>
          <w:bCs/>
        </w:rPr>
      </w:pPr>
      <w:r w:rsidRPr="00A4646D">
        <w:rPr>
          <w:b/>
          <w:bCs/>
        </w:rPr>
        <w:t>Possible signs of liver problems</w:t>
      </w:r>
    </w:p>
    <w:p w14:paraId="44E3214C" w14:textId="77777777" w:rsidR="00456926" w:rsidRDefault="005A3D7D" w:rsidP="00456926">
      <w:pPr>
        <w:keepNext/>
        <w:suppressLineNumbers/>
        <w:tabs>
          <w:tab w:val="clear" w:pos="567"/>
        </w:tabs>
        <w:spacing w:line="240" w:lineRule="auto"/>
      </w:pPr>
      <w:r>
        <w:t xml:space="preserve">Increased liver enzymes in the blood are common in patients with CF. These may be signs of liver problems: </w:t>
      </w:r>
    </w:p>
    <w:p w14:paraId="588140AB" w14:textId="77777777" w:rsidR="00456926" w:rsidRDefault="005A3D7D" w:rsidP="00456926">
      <w:pPr>
        <w:numPr>
          <w:ilvl w:val="0"/>
          <w:numId w:val="31"/>
        </w:numPr>
        <w:suppressLineNumbers/>
        <w:tabs>
          <w:tab w:val="clear" w:pos="360"/>
          <w:tab w:val="clear" w:pos="567"/>
        </w:tabs>
        <w:spacing w:line="240" w:lineRule="auto"/>
        <w:ind w:left="567"/>
      </w:pPr>
      <w:r>
        <w:t>Pain or discomfort in the upper right area of the stomach (abdominal) area</w:t>
      </w:r>
    </w:p>
    <w:p w14:paraId="719AB4B6" w14:textId="77777777" w:rsidR="00456926" w:rsidRDefault="005A3D7D" w:rsidP="00456926">
      <w:pPr>
        <w:numPr>
          <w:ilvl w:val="0"/>
          <w:numId w:val="31"/>
        </w:numPr>
        <w:suppressLineNumbers/>
        <w:tabs>
          <w:tab w:val="clear" w:pos="360"/>
          <w:tab w:val="clear" w:pos="567"/>
        </w:tabs>
        <w:spacing w:line="240" w:lineRule="auto"/>
        <w:ind w:left="567"/>
      </w:pPr>
      <w:r>
        <w:t>Yellowing of the skin or white part of the eyes</w:t>
      </w:r>
    </w:p>
    <w:p w14:paraId="5713AD17" w14:textId="77777777" w:rsidR="00456926" w:rsidRDefault="005A3D7D" w:rsidP="00456926">
      <w:pPr>
        <w:numPr>
          <w:ilvl w:val="0"/>
          <w:numId w:val="31"/>
        </w:numPr>
        <w:suppressLineNumbers/>
        <w:tabs>
          <w:tab w:val="clear" w:pos="360"/>
          <w:tab w:val="clear" w:pos="567"/>
        </w:tabs>
        <w:spacing w:line="240" w:lineRule="auto"/>
        <w:ind w:left="567"/>
      </w:pPr>
      <w:r>
        <w:t>Loss of appetite</w:t>
      </w:r>
    </w:p>
    <w:p w14:paraId="28E438AD" w14:textId="77777777" w:rsidR="00456926" w:rsidRDefault="005A3D7D" w:rsidP="00456926">
      <w:pPr>
        <w:numPr>
          <w:ilvl w:val="0"/>
          <w:numId w:val="31"/>
        </w:numPr>
        <w:suppressLineNumbers/>
        <w:tabs>
          <w:tab w:val="clear" w:pos="360"/>
          <w:tab w:val="clear" w:pos="567"/>
        </w:tabs>
        <w:spacing w:line="240" w:lineRule="auto"/>
        <w:ind w:left="567"/>
      </w:pPr>
      <w:r>
        <w:t>Nausea or vomiting</w:t>
      </w:r>
    </w:p>
    <w:p w14:paraId="565F1F36" w14:textId="77777777" w:rsidR="00456926" w:rsidRDefault="005A3D7D" w:rsidP="00456926">
      <w:pPr>
        <w:numPr>
          <w:ilvl w:val="0"/>
          <w:numId w:val="31"/>
        </w:numPr>
        <w:suppressLineNumbers/>
        <w:tabs>
          <w:tab w:val="clear" w:pos="360"/>
          <w:tab w:val="clear" w:pos="567"/>
        </w:tabs>
        <w:spacing w:line="240" w:lineRule="auto"/>
        <w:ind w:left="567"/>
      </w:pPr>
      <w:r>
        <w:t>Dark urine</w:t>
      </w:r>
    </w:p>
    <w:p w14:paraId="1A3D36B5" w14:textId="77777777" w:rsidR="00456926" w:rsidRDefault="00456926" w:rsidP="004B5786">
      <w:pPr>
        <w:numPr>
          <w:ilvl w:val="12"/>
          <w:numId w:val="0"/>
        </w:numPr>
        <w:tabs>
          <w:tab w:val="clear" w:pos="567"/>
        </w:tabs>
        <w:spacing w:line="240" w:lineRule="auto"/>
        <w:ind w:right="-29"/>
      </w:pPr>
    </w:p>
    <w:p w14:paraId="39687A4C" w14:textId="77777777" w:rsidR="004B5786" w:rsidRDefault="005A3D7D" w:rsidP="004B5786">
      <w:pPr>
        <w:numPr>
          <w:ilvl w:val="12"/>
          <w:numId w:val="0"/>
        </w:numPr>
        <w:tabs>
          <w:tab w:val="clear" w:pos="567"/>
        </w:tabs>
        <w:spacing w:line="240" w:lineRule="auto"/>
        <w:ind w:right="-29"/>
      </w:pPr>
      <w:r>
        <w:t xml:space="preserve">Tell </w:t>
      </w:r>
      <w:r w:rsidR="009B1867" w:rsidRPr="00A808AC">
        <w:t xml:space="preserve">your child’s doctor </w:t>
      </w:r>
      <w:r w:rsidR="00913901" w:rsidRPr="00A808AC">
        <w:t xml:space="preserve">straight </w:t>
      </w:r>
      <w:r w:rsidR="006B4C30" w:rsidRPr="00A808AC">
        <w:t xml:space="preserve">away </w:t>
      </w:r>
      <w:r w:rsidR="009B1867" w:rsidRPr="00A808AC">
        <w:t>if he/she gets any of these.</w:t>
      </w:r>
    </w:p>
    <w:p w14:paraId="78288674" w14:textId="77777777" w:rsidR="00456926" w:rsidRDefault="00456926" w:rsidP="004B5786">
      <w:pPr>
        <w:numPr>
          <w:ilvl w:val="12"/>
          <w:numId w:val="0"/>
        </w:numPr>
        <w:tabs>
          <w:tab w:val="clear" w:pos="567"/>
        </w:tabs>
        <w:spacing w:line="240" w:lineRule="auto"/>
        <w:ind w:right="-29"/>
      </w:pPr>
    </w:p>
    <w:p w14:paraId="45BB0FF8" w14:textId="77777777" w:rsidR="004B5786" w:rsidRPr="00A808AC" w:rsidRDefault="005A3D7D" w:rsidP="000A093B">
      <w:pPr>
        <w:keepNext/>
        <w:spacing w:line="240" w:lineRule="auto"/>
      </w:pPr>
      <w:r w:rsidRPr="00A808AC">
        <w:rPr>
          <w:b/>
          <w:bCs/>
        </w:rPr>
        <w:t>Very common</w:t>
      </w:r>
      <w:r w:rsidRPr="00A808AC">
        <w:t xml:space="preserve"> side effects (may affect more than 1 in 10 people)</w:t>
      </w:r>
    </w:p>
    <w:p w14:paraId="34607270" w14:textId="77777777" w:rsidR="004B5786" w:rsidRPr="00A808AC" w:rsidRDefault="005A3D7D" w:rsidP="000A093B">
      <w:pPr>
        <w:keepNext/>
        <w:numPr>
          <w:ilvl w:val="0"/>
          <w:numId w:val="38"/>
        </w:numPr>
        <w:suppressLineNumbers/>
        <w:tabs>
          <w:tab w:val="clear" w:pos="360"/>
          <w:tab w:val="clear" w:pos="567"/>
        </w:tabs>
        <w:spacing w:line="240" w:lineRule="auto"/>
        <w:ind w:left="567"/>
      </w:pPr>
      <w:r w:rsidRPr="00A808AC">
        <w:t>Upper respiratory tract infection (the common cold), including sore throat and nasal congesti</w:t>
      </w:r>
      <w:r w:rsidRPr="00A808AC">
        <w:t>on</w:t>
      </w:r>
    </w:p>
    <w:p w14:paraId="73130841" w14:textId="77777777" w:rsidR="004B5786" w:rsidRPr="00A808AC" w:rsidRDefault="005A3D7D" w:rsidP="000A093B">
      <w:pPr>
        <w:numPr>
          <w:ilvl w:val="0"/>
          <w:numId w:val="38"/>
        </w:numPr>
        <w:tabs>
          <w:tab w:val="clear" w:pos="360"/>
          <w:tab w:val="clear" w:pos="567"/>
        </w:tabs>
        <w:spacing w:line="240" w:lineRule="auto"/>
        <w:ind w:left="567"/>
      </w:pPr>
      <w:r w:rsidRPr="00A808AC">
        <w:t>Headache</w:t>
      </w:r>
    </w:p>
    <w:p w14:paraId="3C309016" w14:textId="77777777" w:rsidR="004B5786" w:rsidRPr="00A808AC" w:rsidRDefault="005A3D7D" w:rsidP="000A093B">
      <w:pPr>
        <w:numPr>
          <w:ilvl w:val="0"/>
          <w:numId w:val="38"/>
        </w:numPr>
        <w:tabs>
          <w:tab w:val="clear" w:pos="360"/>
          <w:tab w:val="clear" w:pos="567"/>
        </w:tabs>
        <w:spacing w:line="240" w:lineRule="auto"/>
        <w:ind w:left="567"/>
      </w:pPr>
      <w:r w:rsidRPr="00A808AC">
        <w:t>Dizziness</w:t>
      </w:r>
    </w:p>
    <w:p w14:paraId="2E147A2E" w14:textId="77777777" w:rsidR="004B5786" w:rsidRPr="00A808AC" w:rsidRDefault="005A3D7D" w:rsidP="000A093B">
      <w:pPr>
        <w:numPr>
          <w:ilvl w:val="0"/>
          <w:numId w:val="38"/>
        </w:numPr>
        <w:tabs>
          <w:tab w:val="clear" w:pos="360"/>
          <w:tab w:val="clear" w:pos="567"/>
        </w:tabs>
        <w:spacing w:line="240" w:lineRule="auto"/>
        <w:ind w:left="567"/>
      </w:pPr>
      <w:r w:rsidRPr="00A808AC">
        <w:t>Diarrhoea</w:t>
      </w:r>
    </w:p>
    <w:p w14:paraId="629FF68C" w14:textId="77777777" w:rsidR="004B5786" w:rsidRPr="00A808AC" w:rsidRDefault="005A3D7D" w:rsidP="000A093B">
      <w:pPr>
        <w:numPr>
          <w:ilvl w:val="0"/>
          <w:numId w:val="38"/>
        </w:numPr>
        <w:tabs>
          <w:tab w:val="clear" w:pos="360"/>
          <w:tab w:val="clear" w:pos="567"/>
        </w:tabs>
        <w:spacing w:line="240" w:lineRule="auto"/>
        <w:ind w:left="567"/>
      </w:pPr>
      <w:r w:rsidRPr="00A808AC">
        <w:t>Rash</w:t>
      </w:r>
    </w:p>
    <w:p w14:paraId="2DC24FC6" w14:textId="77777777" w:rsidR="004B5786" w:rsidRPr="003F1CB4" w:rsidRDefault="005A3D7D" w:rsidP="000A093B">
      <w:pPr>
        <w:numPr>
          <w:ilvl w:val="0"/>
          <w:numId w:val="38"/>
        </w:numPr>
        <w:suppressLineNumbers/>
        <w:tabs>
          <w:tab w:val="clear" w:pos="360"/>
          <w:tab w:val="clear" w:pos="567"/>
        </w:tabs>
        <w:spacing w:line="240" w:lineRule="auto"/>
        <w:ind w:left="567"/>
      </w:pPr>
      <w:r w:rsidRPr="003F1CB4">
        <w:t>Changes in the type of bacteria in mucus</w:t>
      </w:r>
    </w:p>
    <w:p w14:paraId="127B1C86" w14:textId="77777777" w:rsidR="004B5786" w:rsidRPr="003F1CB4" w:rsidRDefault="004B5786" w:rsidP="004B5786">
      <w:pPr>
        <w:spacing w:line="240" w:lineRule="auto"/>
        <w:rPr>
          <w:b/>
          <w:bCs/>
        </w:rPr>
      </w:pPr>
    </w:p>
    <w:p w14:paraId="1801FFFF" w14:textId="77777777" w:rsidR="004B5786" w:rsidRPr="003F1CB4" w:rsidRDefault="005A3D7D" w:rsidP="000A093B">
      <w:pPr>
        <w:keepNext/>
        <w:spacing w:line="240" w:lineRule="auto"/>
      </w:pPr>
      <w:r w:rsidRPr="003F1CB4">
        <w:rPr>
          <w:b/>
          <w:bCs/>
        </w:rPr>
        <w:t>Common</w:t>
      </w:r>
      <w:r w:rsidRPr="003F1CB4">
        <w:t xml:space="preserve"> side effects (may affect up to 1 in 10 people)</w:t>
      </w:r>
    </w:p>
    <w:p w14:paraId="1FC69FC6" w14:textId="77777777" w:rsidR="004B5786" w:rsidRPr="003F1CB4" w:rsidRDefault="005A3D7D" w:rsidP="000A093B">
      <w:pPr>
        <w:numPr>
          <w:ilvl w:val="0"/>
          <w:numId w:val="39"/>
        </w:numPr>
        <w:tabs>
          <w:tab w:val="clear" w:pos="360"/>
          <w:tab w:val="clear" w:pos="567"/>
        </w:tabs>
        <w:spacing w:line="240" w:lineRule="auto"/>
        <w:ind w:left="567"/>
      </w:pPr>
      <w:r w:rsidRPr="003F1CB4">
        <w:t>Runny nose</w:t>
      </w:r>
    </w:p>
    <w:p w14:paraId="21EC2302" w14:textId="77777777" w:rsidR="004B5786" w:rsidRPr="003F1CB4" w:rsidRDefault="005A3D7D" w:rsidP="000A093B">
      <w:pPr>
        <w:numPr>
          <w:ilvl w:val="0"/>
          <w:numId w:val="39"/>
        </w:numPr>
        <w:tabs>
          <w:tab w:val="clear" w:pos="360"/>
          <w:tab w:val="clear" w:pos="567"/>
        </w:tabs>
        <w:spacing w:line="240" w:lineRule="auto"/>
        <w:ind w:left="567"/>
      </w:pPr>
      <w:r w:rsidRPr="003F1CB4">
        <w:t>Ear pain, ear discomfort</w:t>
      </w:r>
    </w:p>
    <w:p w14:paraId="7B07C06A" w14:textId="77777777" w:rsidR="004B5786" w:rsidRPr="003F1CB4" w:rsidRDefault="005A3D7D" w:rsidP="000A093B">
      <w:pPr>
        <w:numPr>
          <w:ilvl w:val="0"/>
          <w:numId w:val="39"/>
        </w:numPr>
        <w:tabs>
          <w:tab w:val="clear" w:pos="360"/>
          <w:tab w:val="clear" w:pos="567"/>
        </w:tabs>
        <w:spacing w:line="240" w:lineRule="auto"/>
        <w:ind w:left="567"/>
      </w:pPr>
      <w:r w:rsidRPr="003F1CB4">
        <w:t>Ringing in the ears</w:t>
      </w:r>
    </w:p>
    <w:p w14:paraId="736DA7A7" w14:textId="77777777" w:rsidR="0026286D" w:rsidRDefault="005A3D7D" w:rsidP="000A093B">
      <w:pPr>
        <w:numPr>
          <w:ilvl w:val="0"/>
          <w:numId w:val="39"/>
        </w:numPr>
        <w:tabs>
          <w:tab w:val="clear" w:pos="360"/>
          <w:tab w:val="clear" w:pos="567"/>
        </w:tabs>
        <w:spacing w:line="240" w:lineRule="auto"/>
        <w:ind w:left="567"/>
      </w:pPr>
      <w:r w:rsidRPr="003F1CB4">
        <w:t>Redness inside the ear</w:t>
      </w:r>
    </w:p>
    <w:p w14:paraId="50C5A954" w14:textId="77777777" w:rsidR="002B53FA" w:rsidRPr="004C2199" w:rsidRDefault="005A3D7D" w:rsidP="000A093B">
      <w:pPr>
        <w:numPr>
          <w:ilvl w:val="0"/>
          <w:numId w:val="39"/>
        </w:numPr>
        <w:tabs>
          <w:tab w:val="clear" w:pos="360"/>
          <w:tab w:val="clear" w:pos="567"/>
        </w:tabs>
        <w:spacing w:line="240" w:lineRule="auto"/>
        <w:ind w:left="567"/>
      </w:pPr>
      <w:r w:rsidRPr="00D34757">
        <w:t xml:space="preserve">Inner ear disorder (feeling dizzy or </w:t>
      </w:r>
      <w:r w:rsidRPr="00D34757">
        <w:t>spinning)</w:t>
      </w:r>
    </w:p>
    <w:p w14:paraId="49FDD880" w14:textId="77777777" w:rsidR="0026286D" w:rsidRPr="003F1CB4" w:rsidRDefault="005A3D7D" w:rsidP="000A093B">
      <w:pPr>
        <w:numPr>
          <w:ilvl w:val="0"/>
          <w:numId w:val="39"/>
        </w:numPr>
        <w:tabs>
          <w:tab w:val="clear" w:pos="360"/>
          <w:tab w:val="clear" w:pos="567"/>
        </w:tabs>
        <w:spacing w:line="240" w:lineRule="auto"/>
        <w:ind w:left="567"/>
      </w:pPr>
      <w:r w:rsidRPr="003F1CB4">
        <w:t>Sinus congestion</w:t>
      </w:r>
    </w:p>
    <w:p w14:paraId="2A67904D" w14:textId="77777777" w:rsidR="004B5786" w:rsidRPr="003F1CB4" w:rsidRDefault="005A3D7D" w:rsidP="000A093B">
      <w:pPr>
        <w:numPr>
          <w:ilvl w:val="0"/>
          <w:numId w:val="39"/>
        </w:numPr>
        <w:tabs>
          <w:tab w:val="clear" w:pos="360"/>
          <w:tab w:val="clear" w:pos="567"/>
        </w:tabs>
        <w:spacing w:line="240" w:lineRule="auto"/>
        <w:ind w:left="567"/>
      </w:pPr>
      <w:r w:rsidRPr="003F1CB4">
        <w:t>Redness in the</w:t>
      </w:r>
      <w:r w:rsidR="00913901" w:rsidRPr="003F1CB4">
        <w:t xml:space="preserve"> throat</w:t>
      </w:r>
    </w:p>
    <w:p w14:paraId="62179FBB" w14:textId="77777777" w:rsidR="004B5786" w:rsidRPr="00A808AC" w:rsidRDefault="005A3D7D" w:rsidP="000A093B">
      <w:pPr>
        <w:numPr>
          <w:ilvl w:val="0"/>
          <w:numId w:val="39"/>
        </w:numPr>
        <w:tabs>
          <w:tab w:val="clear" w:pos="360"/>
          <w:tab w:val="clear" w:pos="567"/>
        </w:tabs>
        <w:spacing w:line="240" w:lineRule="auto"/>
        <w:ind w:left="567"/>
        <w:rPr>
          <w:b/>
        </w:rPr>
      </w:pPr>
      <w:r w:rsidRPr="00A808AC">
        <w:t>Breast mass</w:t>
      </w:r>
    </w:p>
    <w:p w14:paraId="3F57A6E5" w14:textId="77777777" w:rsidR="004B5786" w:rsidRPr="00A808AC" w:rsidRDefault="004B5786" w:rsidP="000A093B">
      <w:pPr>
        <w:tabs>
          <w:tab w:val="clear" w:pos="567"/>
        </w:tabs>
        <w:spacing w:line="240" w:lineRule="auto"/>
        <w:ind w:left="567"/>
        <w:rPr>
          <w:b/>
        </w:rPr>
      </w:pPr>
    </w:p>
    <w:p w14:paraId="20AA707E" w14:textId="77777777" w:rsidR="004B5786" w:rsidRPr="00A808AC" w:rsidRDefault="005A3D7D" w:rsidP="004B5786">
      <w:pPr>
        <w:tabs>
          <w:tab w:val="clear" w:pos="567"/>
        </w:tabs>
        <w:spacing w:line="240" w:lineRule="auto"/>
      </w:pPr>
      <w:r w:rsidRPr="00A808AC">
        <w:rPr>
          <w:b/>
        </w:rPr>
        <w:t>Uncommon</w:t>
      </w:r>
      <w:r w:rsidRPr="00A808AC">
        <w:t xml:space="preserve"> side effects (may affect up to 1 in 100 people)</w:t>
      </w:r>
    </w:p>
    <w:p w14:paraId="45AA4852" w14:textId="77777777" w:rsidR="004B5786" w:rsidRPr="00A808AC" w:rsidRDefault="005A3D7D" w:rsidP="000A093B">
      <w:pPr>
        <w:numPr>
          <w:ilvl w:val="0"/>
          <w:numId w:val="40"/>
        </w:numPr>
        <w:tabs>
          <w:tab w:val="clear" w:pos="360"/>
          <w:tab w:val="clear" w:pos="567"/>
        </w:tabs>
        <w:spacing w:line="240" w:lineRule="auto"/>
        <w:ind w:left="567"/>
      </w:pPr>
      <w:r w:rsidRPr="00A808AC">
        <w:t>Ear congestion</w:t>
      </w:r>
    </w:p>
    <w:p w14:paraId="30A5549F" w14:textId="77777777" w:rsidR="004B5786" w:rsidRPr="00A808AC" w:rsidRDefault="005A3D7D" w:rsidP="000A093B">
      <w:pPr>
        <w:numPr>
          <w:ilvl w:val="0"/>
          <w:numId w:val="40"/>
        </w:numPr>
        <w:tabs>
          <w:tab w:val="clear" w:pos="360"/>
          <w:tab w:val="clear" w:pos="567"/>
        </w:tabs>
        <w:spacing w:line="240" w:lineRule="auto"/>
        <w:ind w:left="567"/>
      </w:pPr>
      <w:r w:rsidRPr="00A808AC">
        <w:t>Breast inflammation</w:t>
      </w:r>
    </w:p>
    <w:p w14:paraId="51AC21A4" w14:textId="77777777" w:rsidR="004B5786" w:rsidRPr="00A808AC" w:rsidRDefault="005A3D7D" w:rsidP="000A093B">
      <w:pPr>
        <w:numPr>
          <w:ilvl w:val="0"/>
          <w:numId w:val="40"/>
        </w:numPr>
        <w:tabs>
          <w:tab w:val="clear" w:pos="360"/>
          <w:tab w:val="clear" w:pos="567"/>
        </w:tabs>
        <w:spacing w:line="240" w:lineRule="auto"/>
        <w:ind w:left="567"/>
      </w:pPr>
      <w:r w:rsidRPr="00A808AC">
        <w:t>Enlargement of the breast</w:t>
      </w:r>
      <w:r w:rsidR="00186956">
        <w:t xml:space="preserve"> in males</w:t>
      </w:r>
    </w:p>
    <w:p w14:paraId="53936E2A" w14:textId="77777777" w:rsidR="004B5786" w:rsidRPr="00A808AC" w:rsidRDefault="005A3D7D" w:rsidP="000A093B">
      <w:pPr>
        <w:numPr>
          <w:ilvl w:val="0"/>
          <w:numId w:val="40"/>
        </w:numPr>
        <w:tabs>
          <w:tab w:val="clear" w:pos="360"/>
          <w:tab w:val="clear" w:pos="567"/>
        </w:tabs>
        <w:spacing w:line="240" w:lineRule="auto"/>
        <w:ind w:left="567"/>
      </w:pPr>
      <w:r w:rsidRPr="00A808AC">
        <w:t>Nipple changes or pain</w:t>
      </w:r>
    </w:p>
    <w:p w14:paraId="59F61613" w14:textId="77777777" w:rsidR="004B5786" w:rsidRPr="00A808AC" w:rsidRDefault="004B5786" w:rsidP="004B5786">
      <w:pPr>
        <w:numPr>
          <w:ilvl w:val="12"/>
          <w:numId w:val="0"/>
        </w:numPr>
        <w:spacing w:line="240" w:lineRule="auto"/>
        <w:ind w:right="-2"/>
      </w:pPr>
    </w:p>
    <w:p w14:paraId="50B9C86B" w14:textId="77777777" w:rsidR="004B5786" w:rsidRPr="00A808AC" w:rsidRDefault="005A3D7D" w:rsidP="004B5786">
      <w:pPr>
        <w:keepNext/>
        <w:numPr>
          <w:ilvl w:val="12"/>
          <w:numId w:val="0"/>
        </w:numPr>
        <w:spacing w:line="240" w:lineRule="auto"/>
        <w:rPr>
          <w:b/>
        </w:rPr>
      </w:pPr>
      <w:r w:rsidRPr="00A808AC">
        <w:rPr>
          <w:b/>
        </w:rPr>
        <w:t>Addi</w:t>
      </w:r>
      <w:r w:rsidR="004E5E91" w:rsidRPr="00A808AC">
        <w:rPr>
          <w:b/>
        </w:rPr>
        <w:t>tional side effects in children</w:t>
      </w:r>
      <w:r w:rsidR="00632211">
        <w:rPr>
          <w:b/>
        </w:rPr>
        <w:t xml:space="preserve"> and adolescents</w:t>
      </w:r>
    </w:p>
    <w:p w14:paraId="024A91D5" w14:textId="77777777" w:rsidR="004B5786" w:rsidRPr="00A808AC" w:rsidRDefault="005A3D7D" w:rsidP="004B5786">
      <w:pPr>
        <w:numPr>
          <w:ilvl w:val="12"/>
          <w:numId w:val="0"/>
        </w:numPr>
        <w:spacing w:line="240" w:lineRule="auto"/>
        <w:ind w:right="-2"/>
      </w:pPr>
      <w:r w:rsidRPr="00A808AC">
        <w:t xml:space="preserve">Side effects seen in children </w:t>
      </w:r>
      <w:r w:rsidR="00766AA7">
        <w:t xml:space="preserve">and adolescents </w:t>
      </w:r>
      <w:r w:rsidRPr="00A808AC">
        <w:t>are similar to those observed in adults. However, increased liver enzymes in the blood are more frequently seen in young children.</w:t>
      </w:r>
      <w:r w:rsidR="00BB47A3" w:rsidRPr="00A808AC">
        <w:rPr>
          <w:bCs/>
        </w:rPr>
        <w:t xml:space="preserve"> </w:t>
      </w:r>
    </w:p>
    <w:p w14:paraId="01C94D82" w14:textId="77777777" w:rsidR="004B5786" w:rsidRPr="00A808AC" w:rsidRDefault="004B5786" w:rsidP="004B5786">
      <w:pPr>
        <w:numPr>
          <w:ilvl w:val="12"/>
          <w:numId w:val="0"/>
        </w:numPr>
        <w:spacing w:line="240" w:lineRule="auto"/>
        <w:ind w:right="-2"/>
      </w:pPr>
    </w:p>
    <w:p w14:paraId="22AF1F64" w14:textId="77777777" w:rsidR="004B5786" w:rsidRDefault="005A3D7D" w:rsidP="00A0798C">
      <w:pPr>
        <w:keepNext/>
        <w:numPr>
          <w:ilvl w:val="12"/>
          <w:numId w:val="0"/>
        </w:numPr>
        <w:spacing w:line="240" w:lineRule="auto"/>
        <w:rPr>
          <w:b/>
        </w:rPr>
      </w:pPr>
      <w:r w:rsidRPr="00A808AC">
        <w:rPr>
          <w:b/>
        </w:rPr>
        <w:t>Reporting of side effects</w:t>
      </w:r>
    </w:p>
    <w:p w14:paraId="3353FB6B" w14:textId="77777777" w:rsidR="00987822" w:rsidRPr="00A808AC" w:rsidRDefault="00987822" w:rsidP="0069106A">
      <w:pPr>
        <w:keepNext/>
        <w:numPr>
          <w:ilvl w:val="12"/>
          <w:numId w:val="0"/>
        </w:numPr>
        <w:spacing w:line="240" w:lineRule="auto"/>
        <w:rPr>
          <w:b/>
        </w:rPr>
      </w:pPr>
    </w:p>
    <w:p w14:paraId="37E0FDA1" w14:textId="77777777" w:rsidR="004B5786" w:rsidRPr="00A808AC" w:rsidRDefault="005A3D7D" w:rsidP="000A093B">
      <w:pPr>
        <w:keepNext/>
        <w:numPr>
          <w:ilvl w:val="12"/>
          <w:numId w:val="0"/>
        </w:numPr>
        <w:spacing w:line="240" w:lineRule="auto"/>
        <w:ind w:right="-2"/>
      </w:pPr>
      <w:r w:rsidRPr="00A808AC">
        <w:t xml:space="preserve">If your child gets any side effects, talk to your child’s doctor or pharmacist. This includes any possible side effects not listed in this leaflet. You can also report side effects directly via </w:t>
      </w:r>
      <w:r w:rsidRPr="00695508">
        <w:rPr>
          <w:highlight w:val="lightGray"/>
        </w:rPr>
        <w:t xml:space="preserve">the national reporting system listed in </w:t>
      </w:r>
      <w:hyperlink r:id="rId18" w:history="1">
        <w:r w:rsidRPr="00FD10F5">
          <w:rPr>
            <w:rStyle w:val="Hyperlink"/>
            <w:color w:val="auto"/>
            <w:highlight w:val="lightGray"/>
          </w:rPr>
          <w:t>Appendix V</w:t>
        </w:r>
      </w:hyperlink>
      <w:r w:rsidRPr="00A808AC">
        <w:t>. By reporting side effects you can help provide more information on the safety of this medicine.</w:t>
      </w:r>
    </w:p>
    <w:p w14:paraId="4D6EE773" w14:textId="77777777" w:rsidR="003003CE" w:rsidRPr="00A808AC" w:rsidRDefault="003003CE" w:rsidP="004B5786">
      <w:pPr>
        <w:numPr>
          <w:ilvl w:val="12"/>
          <w:numId w:val="0"/>
        </w:numPr>
        <w:spacing w:line="240" w:lineRule="auto"/>
        <w:ind w:right="-2"/>
      </w:pPr>
    </w:p>
    <w:p w14:paraId="32B1F813" w14:textId="77777777" w:rsidR="004B5786" w:rsidRPr="00A808AC" w:rsidRDefault="004B5786" w:rsidP="004B5786">
      <w:pPr>
        <w:numPr>
          <w:ilvl w:val="12"/>
          <w:numId w:val="0"/>
        </w:numPr>
        <w:spacing w:line="240" w:lineRule="auto"/>
        <w:ind w:right="-2"/>
      </w:pPr>
    </w:p>
    <w:p w14:paraId="7086CDD0" w14:textId="77777777" w:rsidR="004B5786" w:rsidRPr="00A808AC" w:rsidRDefault="005A3D7D" w:rsidP="00A0798C">
      <w:pPr>
        <w:keepNext/>
        <w:numPr>
          <w:ilvl w:val="0"/>
          <w:numId w:val="19"/>
        </w:numPr>
        <w:spacing w:line="240" w:lineRule="auto"/>
        <w:ind w:left="576" w:hanging="576"/>
        <w:rPr>
          <w:b/>
          <w:bCs/>
        </w:rPr>
      </w:pPr>
      <w:r w:rsidRPr="00A808AC">
        <w:rPr>
          <w:b/>
          <w:bCs/>
        </w:rPr>
        <w:t>How to store Kalydeco</w:t>
      </w:r>
    </w:p>
    <w:p w14:paraId="7E928764" w14:textId="77777777" w:rsidR="004B5786" w:rsidRPr="00A808AC" w:rsidRDefault="004B5786" w:rsidP="000A093B">
      <w:pPr>
        <w:keepNext/>
        <w:tabs>
          <w:tab w:val="clear" w:pos="567"/>
        </w:tabs>
        <w:spacing w:line="240" w:lineRule="auto"/>
        <w:ind w:right="-2"/>
        <w:rPr>
          <w:b/>
          <w:bCs/>
        </w:rPr>
      </w:pPr>
    </w:p>
    <w:p w14:paraId="5660F7A5" w14:textId="77777777" w:rsidR="004B5786" w:rsidRPr="00A808AC" w:rsidRDefault="005A3D7D" w:rsidP="000A093B">
      <w:pPr>
        <w:keepNext/>
        <w:numPr>
          <w:ilvl w:val="12"/>
          <w:numId w:val="0"/>
        </w:numPr>
        <w:spacing w:line="240" w:lineRule="auto"/>
        <w:ind w:right="-2"/>
      </w:pPr>
      <w:r w:rsidRPr="00A808AC">
        <w:t>Keep this medicine out of the sight</w:t>
      </w:r>
      <w:r w:rsidRPr="00A808AC">
        <w:t xml:space="preserve"> and reach of children.</w:t>
      </w:r>
    </w:p>
    <w:p w14:paraId="61095992" w14:textId="77777777" w:rsidR="004B5786" w:rsidRPr="00A808AC" w:rsidRDefault="004B5786" w:rsidP="0097683F">
      <w:pPr>
        <w:numPr>
          <w:ilvl w:val="12"/>
          <w:numId w:val="0"/>
        </w:numPr>
        <w:tabs>
          <w:tab w:val="clear" w:pos="567"/>
        </w:tabs>
        <w:spacing w:line="240" w:lineRule="auto"/>
        <w:ind w:right="-2"/>
      </w:pPr>
    </w:p>
    <w:p w14:paraId="3EBE0DB5" w14:textId="77777777" w:rsidR="004B5786" w:rsidRPr="00A808AC" w:rsidRDefault="005A3D7D" w:rsidP="004B5786">
      <w:pPr>
        <w:numPr>
          <w:ilvl w:val="12"/>
          <w:numId w:val="0"/>
        </w:numPr>
        <w:tabs>
          <w:tab w:val="clear" w:pos="567"/>
        </w:tabs>
        <w:spacing w:line="240" w:lineRule="auto"/>
        <w:ind w:right="-2"/>
      </w:pPr>
      <w:r w:rsidRPr="00A808AC">
        <w:t xml:space="preserve">Do not use this medicine after the expiry date </w:t>
      </w:r>
      <w:r w:rsidR="00913901" w:rsidRPr="00A808AC">
        <w:t xml:space="preserve">which </w:t>
      </w:r>
      <w:r w:rsidRPr="00A808AC">
        <w:t>is stated on the package after EXP. The expiry date refers to the last day of that month.</w:t>
      </w:r>
    </w:p>
    <w:p w14:paraId="1C20A02A" w14:textId="77777777" w:rsidR="004B5786" w:rsidRPr="00A808AC" w:rsidRDefault="004B5786" w:rsidP="004B5786">
      <w:pPr>
        <w:numPr>
          <w:ilvl w:val="12"/>
          <w:numId w:val="0"/>
        </w:numPr>
        <w:tabs>
          <w:tab w:val="clear" w:pos="567"/>
        </w:tabs>
        <w:spacing w:line="240" w:lineRule="auto"/>
        <w:ind w:right="-2"/>
      </w:pPr>
    </w:p>
    <w:p w14:paraId="2AAD22B5" w14:textId="77777777" w:rsidR="00EA7D11" w:rsidRPr="00A808AC" w:rsidRDefault="005A3D7D" w:rsidP="00EA7D11">
      <w:pPr>
        <w:spacing w:line="240" w:lineRule="auto"/>
      </w:pPr>
      <w:r>
        <w:t>This medicine does not require any special storage conditions</w:t>
      </w:r>
      <w:r w:rsidR="00A46724">
        <w:t>.</w:t>
      </w:r>
    </w:p>
    <w:p w14:paraId="4F193D1D" w14:textId="77777777" w:rsidR="004B5786" w:rsidRPr="00A808AC" w:rsidRDefault="004B5786" w:rsidP="004B5786">
      <w:pPr>
        <w:numPr>
          <w:ilvl w:val="12"/>
          <w:numId w:val="0"/>
        </w:numPr>
        <w:spacing w:line="240" w:lineRule="auto"/>
        <w:ind w:right="-2"/>
      </w:pPr>
    </w:p>
    <w:p w14:paraId="164A66B1" w14:textId="77777777" w:rsidR="004B5786" w:rsidRPr="00A808AC" w:rsidRDefault="005A3D7D" w:rsidP="004B5786">
      <w:pPr>
        <w:numPr>
          <w:ilvl w:val="12"/>
          <w:numId w:val="0"/>
        </w:numPr>
        <w:spacing w:line="240" w:lineRule="auto"/>
        <w:ind w:right="-2"/>
      </w:pPr>
      <w:r w:rsidRPr="00A808AC">
        <w:t xml:space="preserve">Once mixed, the </w:t>
      </w:r>
      <w:r w:rsidR="00C21948" w:rsidRPr="00A808AC">
        <w:t xml:space="preserve">mixture </w:t>
      </w:r>
      <w:r w:rsidRPr="00A808AC">
        <w:t>has been shown to be stable for one hour.</w:t>
      </w:r>
    </w:p>
    <w:p w14:paraId="3F525005" w14:textId="77777777" w:rsidR="004B5786" w:rsidRPr="00A808AC" w:rsidRDefault="004B5786" w:rsidP="004B5786">
      <w:pPr>
        <w:numPr>
          <w:ilvl w:val="12"/>
          <w:numId w:val="0"/>
        </w:numPr>
        <w:tabs>
          <w:tab w:val="clear" w:pos="567"/>
        </w:tabs>
        <w:spacing w:line="240" w:lineRule="auto"/>
        <w:ind w:right="-2"/>
      </w:pPr>
    </w:p>
    <w:p w14:paraId="53D4A0BD" w14:textId="77777777" w:rsidR="004B5786" w:rsidRPr="00A808AC" w:rsidRDefault="005A3D7D" w:rsidP="004B5786">
      <w:pPr>
        <w:numPr>
          <w:ilvl w:val="12"/>
          <w:numId w:val="0"/>
        </w:numPr>
        <w:tabs>
          <w:tab w:val="clear" w:pos="567"/>
        </w:tabs>
        <w:spacing w:line="240" w:lineRule="auto"/>
        <w:ind w:right="-2"/>
        <w:rPr>
          <w:i/>
          <w:iCs/>
        </w:rPr>
      </w:pPr>
      <w:r w:rsidRPr="00A808AC">
        <w:t>Do not throw away any medicines via wastewater or household waste. Ask your pharmacist how to throw away medicines you no longer use. These measures will help to protect the environment.</w:t>
      </w:r>
    </w:p>
    <w:p w14:paraId="1F275318" w14:textId="77777777" w:rsidR="004B5786" w:rsidRPr="00A808AC" w:rsidRDefault="004B5786" w:rsidP="004B5786">
      <w:pPr>
        <w:numPr>
          <w:ilvl w:val="12"/>
          <w:numId w:val="0"/>
        </w:numPr>
        <w:tabs>
          <w:tab w:val="clear" w:pos="567"/>
          <w:tab w:val="left" w:pos="1515"/>
        </w:tabs>
        <w:spacing w:line="240" w:lineRule="auto"/>
        <w:ind w:right="-2"/>
      </w:pPr>
    </w:p>
    <w:p w14:paraId="42AB90CB" w14:textId="77777777" w:rsidR="004B5786" w:rsidRPr="00A808AC" w:rsidRDefault="004B5786" w:rsidP="004B5786">
      <w:pPr>
        <w:numPr>
          <w:ilvl w:val="12"/>
          <w:numId w:val="0"/>
        </w:numPr>
        <w:tabs>
          <w:tab w:val="clear" w:pos="567"/>
          <w:tab w:val="left" w:pos="1515"/>
        </w:tabs>
        <w:spacing w:line="240" w:lineRule="auto"/>
        <w:ind w:right="-2"/>
      </w:pPr>
    </w:p>
    <w:p w14:paraId="4ADE83C0" w14:textId="77777777" w:rsidR="004B5786" w:rsidRPr="00A808AC" w:rsidRDefault="005A3D7D" w:rsidP="000A093B">
      <w:pPr>
        <w:keepNext/>
        <w:numPr>
          <w:ilvl w:val="0"/>
          <w:numId w:val="19"/>
        </w:numPr>
        <w:spacing w:line="240" w:lineRule="auto"/>
        <w:ind w:right="-2"/>
        <w:rPr>
          <w:b/>
          <w:bCs/>
        </w:rPr>
      </w:pPr>
      <w:r w:rsidRPr="00A808AC">
        <w:rPr>
          <w:b/>
          <w:bCs/>
        </w:rPr>
        <w:t>Contents of the pack and other information</w:t>
      </w:r>
    </w:p>
    <w:p w14:paraId="55714BF1" w14:textId="77777777" w:rsidR="004B5786" w:rsidRPr="00A808AC" w:rsidRDefault="004B5786" w:rsidP="000A093B">
      <w:pPr>
        <w:keepNext/>
        <w:numPr>
          <w:ilvl w:val="12"/>
          <w:numId w:val="0"/>
        </w:numPr>
        <w:tabs>
          <w:tab w:val="clear" w:pos="567"/>
        </w:tabs>
        <w:spacing w:line="240" w:lineRule="auto"/>
      </w:pPr>
    </w:p>
    <w:p w14:paraId="767B4BAB" w14:textId="77777777" w:rsidR="004B5786" w:rsidRPr="00A808AC" w:rsidRDefault="005A3D7D" w:rsidP="000A093B">
      <w:pPr>
        <w:keepNext/>
        <w:numPr>
          <w:ilvl w:val="12"/>
          <w:numId w:val="0"/>
        </w:numPr>
        <w:tabs>
          <w:tab w:val="clear" w:pos="567"/>
        </w:tabs>
        <w:spacing w:line="240" w:lineRule="auto"/>
        <w:ind w:right="-2"/>
        <w:rPr>
          <w:b/>
          <w:bCs/>
        </w:rPr>
      </w:pPr>
      <w:r w:rsidRPr="00A808AC">
        <w:rPr>
          <w:b/>
          <w:bCs/>
        </w:rPr>
        <w:t>What Kalydeco contains</w:t>
      </w:r>
    </w:p>
    <w:p w14:paraId="7312C745" w14:textId="77777777" w:rsidR="0097683F" w:rsidRDefault="0097683F" w:rsidP="000A093B">
      <w:pPr>
        <w:keepNext/>
        <w:tabs>
          <w:tab w:val="clear" w:pos="567"/>
          <w:tab w:val="left" w:pos="360"/>
        </w:tabs>
        <w:spacing w:line="240" w:lineRule="auto"/>
        <w:ind w:left="360"/>
        <w:rPr>
          <w:u w:val="single"/>
        </w:rPr>
      </w:pPr>
    </w:p>
    <w:p w14:paraId="32738E7D" w14:textId="77777777" w:rsidR="0097683F" w:rsidRPr="004B5686" w:rsidRDefault="005A3D7D" w:rsidP="000A093B">
      <w:pPr>
        <w:keepNext/>
        <w:tabs>
          <w:tab w:val="clear" w:pos="567"/>
        </w:tabs>
        <w:spacing w:line="240" w:lineRule="auto"/>
        <w:ind w:left="567"/>
        <w:rPr>
          <w:u w:val="single"/>
        </w:rPr>
      </w:pPr>
      <w:r w:rsidRPr="004B5686">
        <w:rPr>
          <w:u w:val="single"/>
        </w:rPr>
        <w:t xml:space="preserve">Kalydeco </w:t>
      </w:r>
      <w:r>
        <w:rPr>
          <w:u w:val="single"/>
        </w:rPr>
        <w:t>25</w:t>
      </w:r>
      <w:r w:rsidRPr="004B5686">
        <w:rPr>
          <w:u w:val="single"/>
        </w:rPr>
        <w:t> mg granules in sachet:</w:t>
      </w:r>
    </w:p>
    <w:p w14:paraId="162E24F5" w14:textId="77777777" w:rsidR="0097683F" w:rsidRDefault="005A3D7D" w:rsidP="000A093B">
      <w:pPr>
        <w:tabs>
          <w:tab w:val="clear" w:pos="567"/>
        </w:tabs>
        <w:spacing w:line="240" w:lineRule="auto"/>
        <w:ind w:left="567"/>
      </w:pPr>
      <w:r w:rsidRPr="00A808AC">
        <w:t xml:space="preserve">The active substance is ivacaftor. </w:t>
      </w:r>
      <w:r>
        <w:t>Each sachet contains 25</w:t>
      </w:r>
      <w:r w:rsidRPr="00A808AC">
        <w:t> mg of ivacaftor.</w:t>
      </w:r>
    </w:p>
    <w:p w14:paraId="034C92CA" w14:textId="77777777" w:rsidR="0097683F" w:rsidRDefault="0097683F" w:rsidP="000A093B">
      <w:pPr>
        <w:tabs>
          <w:tab w:val="clear" w:pos="567"/>
        </w:tabs>
        <w:spacing w:line="240" w:lineRule="auto"/>
        <w:ind w:left="567"/>
        <w:rPr>
          <w:u w:val="single"/>
        </w:rPr>
      </w:pPr>
    </w:p>
    <w:p w14:paraId="2BA8034F" w14:textId="77777777" w:rsidR="0097683F" w:rsidRPr="007B0741" w:rsidRDefault="005A3D7D" w:rsidP="000A093B">
      <w:pPr>
        <w:tabs>
          <w:tab w:val="clear" w:pos="567"/>
        </w:tabs>
        <w:spacing w:line="240" w:lineRule="auto"/>
        <w:ind w:left="567"/>
        <w:rPr>
          <w:u w:val="single"/>
        </w:rPr>
      </w:pPr>
      <w:r w:rsidRPr="007B0741">
        <w:rPr>
          <w:u w:val="single"/>
        </w:rPr>
        <w:t xml:space="preserve">Kalydeco </w:t>
      </w:r>
      <w:r w:rsidR="004B5786" w:rsidRPr="007B0741">
        <w:rPr>
          <w:u w:val="single"/>
        </w:rPr>
        <w:t>50</w:t>
      </w:r>
      <w:r w:rsidRPr="007B0741">
        <w:rPr>
          <w:u w:val="single"/>
        </w:rPr>
        <w:t> mg granules in sachet:</w:t>
      </w:r>
    </w:p>
    <w:p w14:paraId="6793C2D1" w14:textId="77777777" w:rsidR="004B5786" w:rsidRDefault="005A3D7D" w:rsidP="000A093B">
      <w:pPr>
        <w:tabs>
          <w:tab w:val="clear" w:pos="567"/>
        </w:tabs>
        <w:spacing w:line="240" w:lineRule="auto"/>
        <w:ind w:left="567"/>
      </w:pPr>
      <w:r w:rsidRPr="00A808AC">
        <w:t xml:space="preserve">The active substance is </w:t>
      </w:r>
      <w:r w:rsidR="00554C44" w:rsidRPr="00A808AC">
        <w:t>ivacaftor</w:t>
      </w:r>
      <w:r w:rsidRPr="00A808AC">
        <w:t>. Each sachet contains 50 mg of ivacaftor.</w:t>
      </w:r>
    </w:p>
    <w:p w14:paraId="2AA5C9F5" w14:textId="77777777" w:rsidR="0097683F" w:rsidRPr="00A808AC" w:rsidRDefault="0097683F" w:rsidP="000A093B">
      <w:pPr>
        <w:tabs>
          <w:tab w:val="clear" w:pos="567"/>
        </w:tabs>
        <w:spacing w:line="240" w:lineRule="auto"/>
        <w:ind w:left="567"/>
      </w:pPr>
    </w:p>
    <w:p w14:paraId="35418369" w14:textId="77777777" w:rsidR="0097683F" w:rsidRPr="007B0741" w:rsidRDefault="005A3D7D" w:rsidP="000A093B">
      <w:pPr>
        <w:tabs>
          <w:tab w:val="clear" w:pos="567"/>
        </w:tabs>
        <w:spacing w:line="240" w:lineRule="auto"/>
        <w:ind w:left="567"/>
        <w:rPr>
          <w:u w:val="single"/>
        </w:rPr>
      </w:pPr>
      <w:r w:rsidRPr="007B0741">
        <w:rPr>
          <w:u w:val="single"/>
        </w:rPr>
        <w:t>Kalydeco 75 mg granules in sachet:</w:t>
      </w:r>
    </w:p>
    <w:p w14:paraId="2D5B30F5" w14:textId="77777777" w:rsidR="00BF575A" w:rsidRDefault="005A3D7D" w:rsidP="000A093B">
      <w:pPr>
        <w:tabs>
          <w:tab w:val="clear" w:pos="567"/>
        </w:tabs>
        <w:spacing w:line="240" w:lineRule="auto"/>
        <w:ind w:left="567"/>
      </w:pPr>
      <w:r w:rsidRPr="00A808AC">
        <w:t>The active substance is ivacaftor. Each sachet contains 75 mg of ivacaftor.</w:t>
      </w:r>
    </w:p>
    <w:p w14:paraId="1E71EA5E" w14:textId="77777777" w:rsidR="0078181F" w:rsidRDefault="0078181F" w:rsidP="000A093B">
      <w:pPr>
        <w:tabs>
          <w:tab w:val="clear" w:pos="567"/>
          <w:tab w:val="left" w:pos="450"/>
        </w:tabs>
        <w:ind w:left="567"/>
      </w:pPr>
    </w:p>
    <w:p w14:paraId="1338D6F1" w14:textId="1D1E780D" w:rsidR="00BF575A" w:rsidRDefault="005A3D7D" w:rsidP="000A093B">
      <w:pPr>
        <w:tabs>
          <w:tab w:val="clear" w:pos="567"/>
          <w:tab w:val="left" w:pos="450"/>
        </w:tabs>
        <w:ind w:left="567"/>
      </w:pPr>
      <w:r w:rsidRPr="00A808AC">
        <w:t>The other ingredients are:</w:t>
      </w:r>
      <w:r w:rsidR="00527F63" w:rsidRPr="00A808AC">
        <w:t xml:space="preserve"> </w:t>
      </w:r>
      <w:r w:rsidR="000F4DE5">
        <w:t>silica, colloidal anhydrous</w:t>
      </w:r>
      <w:r w:rsidRPr="00A808AC">
        <w:t>, croscarmell</w:t>
      </w:r>
      <w:r w:rsidRPr="00A808AC">
        <w:t>ose sodium, hypromellose acetate succinate, lactose monohydrate, magnesium stearate, mannitol, sucralose and sodium laurilsulfate</w:t>
      </w:r>
      <w:r w:rsidR="00632211">
        <w:t xml:space="preserve"> </w:t>
      </w:r>
      <w:r w:rsidR="00632211" w:rsidRPr="00C84AFD">
        <w:rPr>
          <w:rFonts w:eastAsia="MS Mincho"/>
          <w:lang w:eastAsia="ja-JP"/>
        </w:rPr>
        <w:t>(E487)</w:t>
      </w:r>
      <w:r w:rsidRPr="00A808AC">
        <w:t>.</w:t>
      </w:r>
    </w:p>
    <w:p w14:paraId="069A9746" w14:textId="77777777" w:rsidR="0078181F" w:rsidRPr="00A808AC" w:rsidRDefault="0078181F" w:rsidP="008B6996">
      <w:pPr>
        <w:tabs>
          <w:tab w:val="clear" w:pos="567"/>
          <w:tab w:val="left" w:pos="360"/>
          <w:tab w:val="left" w:pos="450"/>
        </w:tabs>
        <w:ind w:left="360"/>
      </w:pPr>
    </w:p>
    <w:p w14:paraId="73AA02FC" w14:textId="77777777" w:rsidR="004B5786" w:rsidRDefault="005A3D7D" w:rsidP="002B269B">
      <w:pPr>
        <w:pStyle w:val="ListParagraph"/>
        <w:ind w:left="0"/>
      </w:pPr>
      <w:r>
        <w:t xml:space="preserve">See </w:t>
      </w:r>
      <w:r w:rsidR="00704E2F">
        <w:t xml:space="preserve">the end of </w:t>
      </w:r>
      <w:r>
        <w:t>section 2 - I</w:t>
      </w:r>
      <w:r w:rsidRPr="002B269B">
        <w:t>mportant information about the contents of Kalydeco</w:t>
      </w:r>
      <w:r>
        <w:t>.</w:t>
      </w:r>
    </w:p>
    <w:p w14:paraId="5C418457" w14:textId="77777777" w:rsidR="002B269B" w:rsidRPr="00A808AC" w:rsidRDefault="002B269B" w:rsidP="002B269B">
      <w:pPr>
        <w:pStyle w:val="ListParagraph"/>
        <w:ind w:left="0"/>
      </w:pPr>
    </w:p>
    <w:p w14:paraId="587EF51D" w14:textId="77777777" w:rsidR="004B5786" w:rsidRDefault="005A3D7D" w:rsidP="000A093B">
      <w:pPr>
        <w:keepNext/>
        <w:numPr>
          <w:ilvl w:val="12"/>
          <w:numId w:val="0"/>
        </w:numPr>
        <w:tabs>
          <w:tab w:val="clear" w:pos="567"/>
        </w:tabs>
        <w:spacing w:line="240" w:lineRule="auto"/>
        <w:ind w:right="-2"/>
        <w:rPr>
          <w:b/>
          <w:bCs/>
        </w:rPr>
      </w:pPr>
      <w:r w:rsidRPr="00A808AC">
        <w:rPr>
          <w:b/>
          <w:bCs/>
        </w:rPr>
        <w:t xml:space="preserve">What Kalydeco looks like and </w:t>
      </w:r>
      <w:r w:rsidRPr="00A808AC">
        <w:rPr>
          <w:b/>
          <w:bCs/>
        </w:rPr>
        <w:t>contents of the pack</w:t>
      </w:r>
    </w:p>
    <w:p w14:paraId="198E4EE0" w14:textId="77777777" w:rsidR="00987822" w:rsidRPr="00A808AC" w:rsidRDefault="00987822" w:rsidP="000A093B">
      <w:pPr>
        <w:keepNext/>
        <w:numPr>
          <w:ilvl w:val="12"/>
          <w:numId w:val="0"/>
        </w:numPr>
        <w:tabs>
          <w:tab w:val="clear" w:pos="567"/>
        </w:tabs>
        <w:spacing w:line="240" w:lineRule="auto"/>
        <w:ind w:right="-2"/>
        <w:rPr>
          <w:b/>
          <w:bCs/>
        </w:rPr>
      </w:pPr>
    </w:p>
    <w:p w14:paraId="0374AC17" w14:textId="77777777" w:rsidR="00097F7F" w:rsidRPr="00A808AC" w:rsidRDefault="005A3D7D" w:rsidP="000A093B">
      <w:pPr>
        <w:keepNext/>
        <w:spacing w:line="240" w:lineRule="auto"/>
      </w:pPr>
      <w:r w:rsidRPr="00A808AC">
        <w:t xml:space="preserve">Kalydeco </w:t>
      </w:r>
      <w:r>
        <w:t>25</w:t>
      </w:r>
      <w:r w:rsidRPr="00A808AC">
        <w:t> mg granules in sachet are white to off-white granules</w:t>
      </w:r>
      <w:r w:rsidR="005C5517">
        <w:t>.</w:t>
      </w:r>
    </w:p>
    <w:p w14:paraId="2DFA9120" w14:textId="77777777" w:rsidR="004B5786" w:rsidRPr="00A808AC" w:rsidRDefault="005A3D7D" w:rsidP="004B5786">
      <w:pPr>
        <w:spacing w:line="240" w:lineRule="auto"/>
      </w:pPr>
      <w:r w:rsidRPr="00A808AC">
        <w:t>Kalydeco 50 mg granules in sachet are white to off-white granules</w:t>
      </w:r>
      <w:r w:rsidR="005C5517">
        <w:t>.</w:t>
      </w:r>
    </w:p>
    <w:p w14:paraId="009E36E5" w14:textId="77777777" w:rsidR="004B5786" w:rsidRPr="00A808AC" w:rsidRDefault="005A3D7D" w:rsidP="004B5786">
      <w:pPr>
        <w:spacing w:line="240" w:lineRule="auto"/>
      </w:pPr>
      <w:r w:rsidRPr="00A808AC">
        <w:t>Kalydeco 75 mg granules in sachet are white to off-white granules</w:t>
      </w:r>
      <w:r w:rsidR="005C5517">
        <w:t>.</w:t>
      </w:r>
    </w:p>
    <w:p w14:paraId="50ACA07E" w14:textId="77777777" w:rsidR="004B5786" w:rsidRPr="00A808AC" w:rsidRDefault="004B5786" w:rsidP="004B5786">
      <w:pPr>
        <w:spacing w:line="240" w:lineRule="auto"/>
      </w:pPr>
    </w:p>
    <w:p w14:paraId="0995EF8C" w14:textId="77777777" w:rsidR="004B5786" w:rsidRPr="00A808AC" w:rsidRDefault="005A3D7D" w:rsidP="004B5786">
      <w:pPr>
        <w:spacing w:line="240" w:lineRule="auto"/>
        <w:rPr>
          <w:lang w:val="en-US"/>
        </w:rPr>
      </w:pPr>
      <w:r w:rsidRPr="00A808AC">
        <w:rPr>
          <w:lang w:val="en-US"/>
        </w:rPr>
        <w:t>The granules are supplied in sac</w:t>
      </w:r>
      <w:r w:rsidRPr="00A808AC">
        <w:rPr>
          <w:lang w:val="en-US"/>
        </w:rPr>
        <w:t>hets.</w:t>
      </w:r>
    </w:p>
    <w:p w14:paraId="581390C5" w14:textId="77777777" w:rsidR="004B5786" w:rsidRPr="00A808AC" w:rsidRDefault="005A3D7D" w:rsidP="000A093B">
      <w:pPr>
        <w:numPr>
          <w:ilvl w:val="0"/>
          <w:numId w:val="42"/>
        </w:numPr>
        <w:tabs>
          <w:tab w:val="clear" w:pos="360"/>
          <w:tab w:val="clear" w:pos="567"/>
        </w:tabs>
        <w:spacing w:line="240" w:lineRule="auto"/>
        <w:ind w:left="567"/>
      </w:pPr>
      <w:r w:rsidRPr="00A808AC">
        <w:t>Pack size of 56 sachets (contains 4 individual wallets with 14 sachets per wallet)</w:t>
      </w:r>
    </w:p>
    <w:p w14:paraId="01A5B747" w14:textId="77777777" w:rsidR="004B5786" w:rsidRPr="00A808AC" w:rsidRDefault="004B5786" w:rsidP="004B5786">
      <w:pPr>
        <w:keepNext/>
        <w:numPr>
          <w:ilvl w:val="12"/>
          <w:numId w:val="0"/>
        </w:numPr>
        <w:tabs>
          <w:tab w:val="clear" w:pos="567"/>
        </w:tabs>
        <w:spacing w:line="240" w:lineRule="auto"/>
        <w:ind w:right="-2"/>
        <w:rPr>
          <w:i/>
          <w:iCs/>
        </w:rPr>
      </w:pPr>
    </w:p>
    <w:p w14:paraId="4D74CCE0" w14:textId="77777777" w:rsidR="007762E4" w:rsidRDefault="005A3D7D" w:rsidP="00854AA0">
      <w:pPr>
        <w:keepNext/>
        <w:tabs>
          <w:tab w:val="clear" w:pos="567"/>
        </w:tabs>
        <w:autoSpaceDE w:val="0"/>
        <w:autoSpaceDN w:val="0"/>
        <w:adjustRightInd w:val="0"/>
        <w:spacing w:line="240" w:lineRule="auto"/>
        <w:rPr>
          <w:b/>
        </w:rPr>
      </w:pPr>
      <w:r w:rsidRPr="008B6996">
        <w:rPr>
          <w:b/>
        </w:rPr>
        <w:t>Marketing Authorisation Holder</w:t>
      </w:r>
    </w:p>
    <w:p w14:paraId="14E47C0E" w14:textId="77777777" w:rsidR="00987822" w:rsidRPr="008B6996" w:rsidRDefault="00987822" w:rsidP="00854AA0">
      <w:pPr>
        <w:keepNext/>
        <w:tabs>
          <w:tab w:val="clear" w:pos="567"/>
        </w:tabs>
        <w:autoSpaceDE w:val="0"/>
        <w:autoSpaceDN w:val="0"/>
        <w:adjustRightInd w:val="0"/>
        <w:spacing w:line="240" w:lineRule="auto"/>
        <w:rPr>
          <w:b/>
        </w:rPr>
      </w:pPr>
    </w:p>
    <w:p w14:paraId="1C77D963" w14:textId="77777777" w:rsidR="007762E4" w:rsidRPr="00420287" w:rsidRDefault="005A3D7D" w:rsidP="000A093B">
      <w:pPr>
        <w:keepNext/>
        <w:rPr>
          <w:iCs/>
        </w:rPr>
      </w:pPr>
      <w:r w:rsidRPr="00420287">
        <w:rPr>
          <w:iCs/>
        </w:rPr>
        <w:t>Vertex Pharmaceuticals (Ireland) Limited</w:t>
      </w:r>
    </w:p>
    <w:p w14:paraId="3CDB7C90" w14:textId="77777777" w:rsidR="007762E4" w:rsidRPr="00420287" w:rsidRDefault="005A3D7D" w:rsidP="000A093B">
      <w:pPr>
        <w:keepNext/>
        <w:rPr>
          <w:iCs/>
        </w:rPr>
      </w:pPr>
      <w:r w:rsidRPr="00420287">
        <w:rPr>
          <w:iCs/>
        </w:rPr>
        <w:t>28-32 Pembroke Street Upper</w:t>
      </w:r>
    </w:p>
    <w:p w14:paraId="4B4672BC" w14:textId="77777777" w:rsidR="007762E4" w:rsidRPr="00420287" w:rsidRDefault="005A3D7D" w:rsidP="000A093B">
      <w:pPr>
        <w:keepNext/>
        <w:rPr>
          <w:iCs/>
        </w:rPr>
      </w:pPr>
      <w:r w:rsidRPr="00420287">
        <w:rPr>
          <w:iCs/>
        </w:rPr>
        <w:t>Dublin 2</w:t>
      </w:r>
      <w:r>
        <w:rPr>
          <w:iCs/>
        </w:rPr>
        <w:t xml:space="preserve">, </w:t>
      </w:r>
      <w:r w:rsidRPr="00420287">
        <w:rPr>
          <w:iCs/>
        </w:rPr>
        <w:t>D02 EK84</w:t>
      </w:r>
    </w:p>
    <w:p w14:paraId="68AC68A4" w14:textId="77777777" w:rsidR="007762E4" w:rsidRPr="00420287" w:rsidRDefault="005A3D7D" w:rsidP="000A093B">
      <w:pPr>
        <w:keepNext/>
        <w:rPr>
          <w:iCs/>
        </w:rPr>
      </w:pPr>
      <w:r w:rsidRPr="00420287">
        <w:rPr>
          <w:iCs/>
        </w:rPr>
        <w:t>Ireland</w:t>
      </w:r>
    </w:p>
    <w:p w14:paraId="39374D52" w14:textId="77777777" w:rsidR="007762E4" w:rsidRDefault="005A3D7D" w:rsidP="000A093B">
      <w:pPr>
        <w:keepNext/>
        <w:numPr>
          <w:ilvl w:val="12"/>
          <w:numId w:val="0"/>
        </w:numPr>
        <w:tabs>
          <w:tab w:val="clear" w:pos="567"/>
        </w:tabs>
        <w:spacing w:line="240" w:lineRule="auto"/>
        <w:ind w:right="-2"/>
        <w:outlineLvl w:val="0"/>
        <w:rPr>
          <w:iCs/>
        </w:rPr>
      </w:pPr>
      <w:r>
        <w:rPr>
          <w:iCs/>
        </w:rPr>
        <w:t xml:space="preserve">Tel: </w:t>
      </w:r>
      <w:r w:rsidRPr="00420287">
        <w:rPr>
          <w:iCs/>
        </w:rPr>
        <w:t>+353 (0)1 761 7299</w:t>
      </w:r>
    </w:p>
    <w:p w14:paraId="199E124A" w14:textId="77777777" w:rsidR="007762E4" w:rsidRPr="00A808AC" w:rsidRDefault="007762E4" w:rsidP="007762E4">
      <w:pPr>
        <w:pStyle w:val="NormalIndent"/>
        <w:spacing w:after="0"/>
        <w:ind w:left="0"/>
      </w:pPr>
    </w:p>
    <w:p w14:paraId="60307001" w14:textId="77777777" w:rsidR="007762E4" w:rsidRDefault="005A3D7D" w:rsidP="00A0798C">
      <w:pPr>
        <w:pStyle w:val="NormalIndent"/>
        <w:keepNext/>
        <w:spacing w:after="0"/>
        <w:ind w:left="0"/>
        <w:rPr>
          <w:b/>
        </w:rPr>
      </w:pPr>
      <w:r w:rsidRPr="007B0741">
        <w:rPr>
          <w:b/>
        </w:rPr>
        <w:t>Manufacturer</w:t>
      </w:r>
    </w:p>
    <w:p w14:paraId="3D45CF5F" w14:textId="77777777" w:rsidR="00987822" w:rsidRPr="0097683F" w:rsidRDefault="00987822" w:rsidP="0069106A">
      <w:pPr>
        <w:pStyle w:val="NormalIndent"/>
        <w:keepNext/>
        <w:spacing w:after="0"/>
        <w:ind w:left="0"/>
        <w:rPr>
          <w:b/>
        </w:rPr>
      </w:pPr>
    </w:p>
    <w:p w14:paraId="3A3156C3" w14:textId="77777777" w:rsidR="007762E4" w:rsidRPr="00B96017" w:rsidRDefault="005A3D7D" w:rsidP="000A093B">
      <w:pPr>
        <w:keepNext/>
      </w:pPr>
      <w:r w:rsidRPr="00B96017">
        <w:t>Almac Pharma Services (Ireland) Limited</w:t>
      </w:r>
    </w:p>
    <w:p w14:paraId="11DA5C39" w14:textId="77777777" w:rsidR="007762E4" w:rsidRPr="00B96017" w:rsidRDefault="005A3D7D" w:rsidP="000A093B">
      <w:pPr>
        <w:keepNext/>
      </w:pPr>
      <w:r w:rsidRPr="00B96017">
        <w:t>Finnabair Industrial Estate</w:t>
      </w:r>
    </w:p>
    <w:p w14:paraId="0110A0F9" w14:textId="77777777" w:rsidR="007762E4" w:rsidRPr="00B96017" w:rsidRDefault="005A3D7D" w:rsidP="000A093B">
      <w:pPr>
        <w:keepNext/>
      </w:pPr>
      <w:r w:rsidRPr="00B96017">
        <w:t>Dundalk</w:t>
      </w:r>
    </w:p>
    <w:p w14:paraId="75FC0EA6" w14:textId="77777777" w:rsidR="007762E4" w:rsidRPr="00B96017" w:rsidRDefault="005A3D7D" w:rsidP="000A093B">
      <w:pPr>
        <w:keepNext/>
      </w:pPr>
      <w:r w:rsidRPr="00B96017">
        <w:t>Co. Louth</w:t>
      </w:r>
    </w:p>
    <w:p w14:paraId="61CAFE39" w14:textId="77777777" w:rsidR="007762E4" w:rsidRPr="00B96017" w:rsidRDefault="005A3D7D" w:rsidP="000A093B">
      <w:pPr>
        <w:keepNext/>
      </w:pPr>
      <w:r w:rsidRPr="00B96017">
        <w:t>A91 P9KD</w:t>
      </w:r>
    </w:p>
    <w:p w14:paraId="4387C91E" w14:textId="77777777" w:rsidR="007762E4" w:rsidRPr="00B96017" w:rsidRDefault="005A3D7D" w:rsidP="000A093B">
      <w:pPr>
        <w:keepNext/>
      </w:pPr>
      <w:r w:rsidRPr="00B96017">
        <w:t>Ireland</w:t>
      </w:r>
    </w:p>
    <w:p w14:paraId="4B3B59C4" w14:textId="77777777" w:rsidR="007762E4" w:rsidRDefault="007762E4" w:rsidP="007762E4">
      <w:pPr>
        <w:keepNext/>
        <w:spacing w:line="240" w:lineRule="auto"/>
        <w:rPr>
          <w:rFonts w:eastAsia="MS Mincho"/>
          <w:bCs/>
          <w:lang w:eastAsia="ja-JP"/>
        </w:rPr>
      </w:pPr>
    </w:p>
    <w:p w14:paraId="3EEF9430" w14:textId="77777777" w:rsidR="007762E4" w:rsidRPr="006E7916" w:rsidRDefault="005A3D7D" w:rsidP="007762E4">
      <w:pPr>
        <w:keepNext/>
        <w:spacing w:line="240" w:lineRule="auto"/>
        <w:rPr>
          <w:highlight w:val="lightGray"/>
        </w:rPr>
      </w:pPr>
      <w:r w:rsidRPr="006E7916">
        <w:rPr>
          <w:highlight w:val="lightGray"/>
        </w:rPr>
        <w:t>Almac Pharma Services Limited</w:t>
      </w:r>
    </w:p>
    <w:p w14:paraId="0814C311" w14:textId="77777777" w:rsidR="007762E4" w:rsidRPr="006E7916" w:rsidRDefault="005A3D7D" w:rsidP="007762E4">
      <w:pPr>
        <w:keepNext/>
        <w:spacing w:line="240" w:lineRule="auto"/>
        <w:rPr>
          <w:highlight w:val="lightGray"/>
        </w:rPr>
      </w:pPr>
      <w:r w:rsidRPr="006E7916">
        <w:rPr>
          <w:highlight w:val="lightGray"/>
        </w:rPr>
        <w:t>Seagoe Industrial Estate</w:t>
      </w:r>
    </w:p>
    <w:p w14:paraId="1F8C1D8C" w14:textId="77777777" w:rsidR="007762E4" w:rsidRPr="006E7916" w:rsidRDefault="005A3D7D" w:rsidP="007762E4">
      <w:pPr>
        <w:keepNext/>
        <w:spacing w:line="240" w:lineRule="auto"/>
        <w:rPr>
          <w:highlight w:val="lightGray"/>
        </w:rPr>
      </w:pPr>
      <w:r w:rsidRPr="006E7916">
        <w:rPr>
          <w:highlight w:val="lightGray"/>
        </w:rPr>
        <w:t>Craigavon</w:t>
      </w:r>
    </w:p>
    <w:p w14:paraId="5D564A71" w14:textId="77777777" w:rsidR="007762E4" w:rsidRPr="006E7916" w:rsidRDefault="005A3D7D" w:rsidP="007762E4">
      <w:pPr>
        <w:keepNext/>
        <w:spacing w:line="240" w:lineRule="auto"/>
        <w:rPr>
          <w:highlight w:val="lightGray"/>
        </w:rPr>
      </w:pPr>
      <w:r w:rsidRPr="006E7916">
        <w:rPr>
          <w:highlight w:val="lightGray"/>
        </w:rPr>
        <w:t>County Armagh</w:t>
      </w:r>
    </w:p>
    <w:p w14:paraId="5272AEEF" w14:textId="77777777" w:rsidR="007762E4" w:rsidRPr="006E7916" w:rsidRDefault="005A3D7D" w:rsidP="007762E4">
      <w:pPr>
        <w:keepNext/>
        <w:spacing w:line="240" w:lineRule="auto"/>
        <w:rPr>
          <w:highlight w:val="lightGray"/>
        </w:rPr>
      </w:pPr>
      <w:r w:rsidRPr="006E7916">
        <w:rPr>
          <w:highlight w:val="lightGray"/>
        </w:rPr>
        <w:t>BT63 5UA</w:t>
      </w:r>
    </w:p>
    <w:p w14:paraId="14ADF785" w14:textId="77777777" w:rsidR="007762E4" w:rsidRPr="00A808AC" w:rsidRDefault="005A3D7D" w:rsidP="007762E4">
      <w:pPr>
        <w:keepNext/>
        <w:spacing w:line="240" w:lineRule="auto"/>
        <w:rPr>
          <w:rFonts w:eastAsia="MS Mincho"/>
          <w:bCs/>
          <w:lang w:eastAsia="ja-JP"/>
        </w:rPr>
      </w:pPr>
      <w:r w:rsidRPr="006E7916">
        <w:rPr>
          <w:highlight w:val="lightGray"/>
        </w:rPr>
        <w:t>United Kingdom</w:t>
      </w:r>
    </w:p>
    <w:p w14:paraId="70FD63FC" w14:textId="77777777" w:rsidR="00586DDF" w:rsidRPr="00A808AC" w:rsidRDefault="00586DDF" w:rsidP="006B4C30">
      <w:pPr>
        <w:numPr>
          <w:ilvl w:val="12"/>
          <w:numId w:val="0"/>
        </w:numPr>
        <w:tabs>
          <w:tab w:val="clear" w:pos="567"/>
        </w:tabs>
        <w:spacing w:line="240" w:lineRule="auto"/>
        <w:ind w:right="-2"/>
        <w:outlineLvl w:val="0"/>
        <w:rPr>
          <w:rFonts w:eastAsia="MS Mincho"/>
          <w:bCs/>
          <w:lang w:eastAsia="ja-JP"/>
        </w:rPr>
      </w:pPr>
    </w:p>
    <w:p w14:paraId="43F19D01" w14:textId="77777777" w:rsidR="004B5786" w:rsidRPr="00A808AC" w:rsidRDefault="005A3D7D" w:rsidP="00D34757">
      <w:pPr>
        <w:keepNext/>
        <w:numPr>
          <w:ilvl w:val="12"/>
          <w:numId w:val="0"/>
        </w:numPr>
        <w:tabs>
          <w:tab w:val="clear" w:pos="567"/>
        </w:tabs>
        <w:spacing w:line="240" w:lineRule="auto"/>
        <w:ind w:right="-2"/>
        <w:outlineLvl w:val="0"/>
      </w:pPr>
      <w:r w:rsidRPr="00A808AC">
        <w:rPr>
          <w:b/>
          <w:bCs/>
        </w:rPr>
        <w:t xml:space="preserve">This leaflet was last revised in </w:t>
      </w:r>
    </w:p>
    <w:p w14:paraId="2720FCEA" w14:textId="77777777" w:rsidR="004B5786" w:rsidRPr="00A808AC" w:rsidRDefault="004B5786" w:rsidP="00A0798C">
      <w:pPr>
        <w:keepNext/>
        <w:spacing w:line="240" w:lineRule="auto"/>
        <w:rPr>
          <w:iCs/>
        </w:rPr>
      </w:pPr>
    </w:p>
    <w:p w14:paraId="379376C6" w14:textId="0DBA3940" w:rsidR="004B5786" w:rsidRDefault="005A3D7D" w:rsidP="000A093B">
      <w:pPr>
        <w:keepNext/>
        <w:numPr>
          <w:ilvl w:val="12"/>
          <w:numId w:val="0"/>
        </w:numPr>
        <w:spacing w:line="240" w:lineRule="auto"/>
        <w:ind w:right="-2"/>
        <w:rPr>
          <w:b/>
        </w:rPr>
      </w:pPr>
      <w:r w:rsidRPr="00A808AC">
        <w:rPr>
          <w:b/>
        </w:rPr>
        <w:t>Other sources of information</w:t>
      </w:r>
    </w:p>
    <w:p w14:paraId="3C32FCF4" w14:textId="77777777" w:rsidR="0073031A" w:rsidRPr="00A808AC" w:rsidRDefault="0073031A" w:rsidP="000A093B">
      <w:pPr>
        <w:keepNext/>
        <w:numPr>
          <w:ilvl w:val="12"/>
          <w:numId w:val="0"/>
        </w:numPr>
        <w:spacing w:line="240" w:lineRule="auto"/>
        <w:ind w:right="-2"/>
        <w:rPr>
          <w:b/>
        </w:rPr>
      </w:pPr>
    </w:p>
    <w:p w14:paraId="2F4054A2" w14:textId="77777777" w:rsidR="004B5786" w:rsidRDefault="005A3D7D" w:rsidP="000A093B">
      <w:pPr>
        <w:keepNext/>
        <w:numPr>
          <w:ilvl w:val="12"/>
          <w:numId w:val="0"/>
        </w:numPr>
        <w:spacing w:line="240" w:lineRule="auto"/>
        <w:ind w:right="-2"/>
      </w:pPr>
      <w:r w:rsidRPr="00A808AC">
        <w:t xml:space="preserve">Detailed information on this medicine is available on the European Medicines Agency website: </w:t>
      </w:r>
      <w:hyperlink r:id="rId19" w:history="1">
        <w:r w:rsidRPr="00A808AC">
          <w:rPr>
            <w:rStyle w:val="Hyperlink"/>
            <w:color w:val="auto"/>
          </w:rPr>
          <w:t>http://www.ema.europa.eu</w:t>
        </w:r>
      </w:hyperlink>
      <w:r w:rsidRPr="00A808AC">
        <w:t xml:space="preserve">. There are also links to </w:t>
      </w:r>
      <w:r w:rsidRPr="00A808AC">
        <w:t>other websites about rare diseases and treatments.</w:t>
      </w:r>
    </w:p>
    <w:p w14:paraId="51FBA85C" w14:textId="20CDD379" w:rsidR="003871B6" w:rsidRPr="005266AD" w:rsidRDefault="003871B6" w:rsidP="004B5786">
      <w:pPr>
        <w:numPr>
          <w:ilvl w:val="12"/>
          <w:numId w:val="0"/>
        </w:numPr>
        <w:spacing w:line="240" w:lineRule="auto"/>
        <w:ind w:right="-2"/>
      </w:pPr>
      <w:bookmarkStart w:id="16" w:name="page_total_master4"/>
      <w:bookmarkStart w:id="17" w:name="page_total"/>
      <w:bookmarkEnd w:id="16"/>
      <w:bookmarkEnd w:id="17"/>
    </w:p>
    <w:sectPr w:rsidR="003871B6" w:rsidRPr="005266AD" w:rsidSect="00BA47B4">
      <w:headerReference w:type="even" r:id="rId20"/>
      <w:headerReference w:type="default" r:id="rId21"/>
      <w:footerReference w:type="even" r:id="rId22"/>
      <w:footerReference w:type="default" r:id="rId23"/>
      <w:headerReference w:type="first" r:id="rId24"/>
      <w:footerReference w:type="first" r:id="rId25"/>
      <w:endnotePr>
        <w:numFmt w:val="decimal"/>
      </w:endnotePr>
      <w:pgSz w:w="11907" w:h="16840" w:code="9"/>
      <w:pgMar w:top="1138" w:right="1411" w:bottom="1138" w:left="1411" w:header="734" w:footer="73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414A6" w14:textId="77777777" w:rsidR="00000000" w:rsidRDefault="005A3D7D">
      <w:pPr>
        <w:spacing w:line="240" w:lineRule="auto"/>
      </w:pPr>
      <w:r>
        <w:separator/>
      </w:r>
    </w:p>
  </w:endnote>
  <w:endnote w:type="continuationSeparator" w:id="0">
    <w:p w14:paraId="2679C632" w14:textId="77777777" w:rsidR="00000000" w:rsidRDefault="005A3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2020803070505020304"/>
    <w:charset w:val="00"/>
    <w:family w:val="auto"/>
    <w:pitch w:val="variable"/>
    <w:sig w:usb0="00000000" w:usb1="C0007841"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imesNewRoman">
    <w:altName w:val="Yu Gothic"/>
    <w:panose1 w:val="00000000000000000000"/>
    <w:charset w:val="00"/>
    <w:family w:val="roman"/>
    <w:notTrueType/>
    <w:pitch w:val="default"/>
    <w:sig w:usb0="00000000" w:usb1="08070000" w:usb2="00000010" w:usb3="00000000" w:csb0="00020001" w:csb1="00000000"/>
  </w:font>
  <w:font w:name="TimesNewRomanPSMT">
    <w:altName w:val="MS Goth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ED56" w14:textId="77777777" w:rsidR="004F0618" w:rsidRDefault="004F06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1DF8" w14:textId="77777777" w:rsidR="004F0618" w:rsidRDefault="005A3D7D">
    <w:pPr>
      <w:pStyle w:val="Footer"/>
      <w:tabs>
        <w:tab w:val="right" w:pos="8931"/>
      </w:tabs>
      <w:ind w:right="96"/>
      <w:jc w:val="center"/>
    </w:pPr>
    <w:r>
      <w:fldChar w:fldCharType="begin"/>
    </w:r>
    <w:r>
      <w:instrText xml:space="preserve"> EQ </w:instrText>
    </w:r>
    <w:r>
      <w:fldChar w:fldCharType="separate"/>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0FB7" w14:textId="77777777" w:rsidR="004F0618" w:rsidRDefault="005A3D7D">
    <w:pPr>
      <w:pStyle w:val="Footer"/>
      <w:tabs>
        <w:tab w:val="right" w:pos="8931"/>
      </w:tabs>
      <w:ind w:right="96"/>
      <w:jc w:val="center"/>
    </w:pPr>
    <w:r>
      <w:fldChar w:fldCharType="begin"/>
    </w:r>
    <w:r>
      <w:instrText xml:space="preserve"> EQ </w:instrText>
    </w:r>
    <w:r>
      <w:fldChar w:fldCharType="separate"/>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4F5C1" w14:textId="77777777" w:rsidR="00000000" w:rsidRDefault="005A3D7D">
      <w:pPr>
        <w:spacing w:line="240" w:lineRule="auto"/>
      </w:pPr>
      <w:r>
        <w:separator/>
      </w:r>
    </w:p>
  </w:footnote>
  <w:footnote w:type="continuationSeparator" w:id="0">
    <w:p w14:paraId="26CA5DF2" w14:textId="77777777" w:rsidR="00000000" w:rsidRDefault="005A3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B3E9" w14:textId="77777777" w:rsidR="004F0618" w:rsidRDefault="004F06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006B" w14:textId="77777777" w:rsidR="004F0618" w:rsidRDefault="004F06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D46D" w14:textId="77777777" w:rsidR="004F0618" w:rsidRDefault="004F0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65pt;height:13.75pt" o:bullet="t">
        <v:imagedata r:id="rId1" o:title="BT_1000x858px"/>
      </v:shape>
    </w:pict>
  </w:numPicBullet>
  <w:abstractNum w:abstractNumId="0" w15:restartNumberingAfterBreak="0">
    <w:nsid w:val="FFFFFF7C"/>
    <w:multiLevelType w:val="singleLevel"/>
    <w:tmpl w:val="85F2359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BE4877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F646ED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3D41FC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5FA478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00051A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0255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0C38C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44C28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88821D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DB44D3"/>
    <w:multiLevelType w:val="hybridMultilevel"/>
    <w:tmpl w:val="10A60098"/>
    <w:lvl w:ilvl="0" w:tplc="96A6CB1A">
      <w:start w:val="1"/>
      <w:numFmt w:val="bullet"/>
      <w:lvlText w:val=""/>
      <w:lvlJc w:val="left"/>
      <w:pPr>
        <w:tabs>
          <w:tab w:val="num" w:pos="360"/>
        </w:tabs>
        <w:ind w:left="360" w:hanging="360"/>
      </w:pPr>
      <w:rPr>
        <w:rFonts w:ascii="Symbol" w:hAnsi="Symbol" w:cs="Symbol" w:hint="default"/>
        <w:color w:val="auto"/>
        <w:sz w:val="20"/>
        <w:szCs w:val="20"/>
      </w:rPr>
    </w:lvl>
    <w:lvl w:ilvl="1" w:tplc="285461A6">
      <w:start w:val="1"/>
      <w:numFmt w:val="bullet"/>
      <w:lvlText w:val="o"/>
      <w:lvlJc w:val="left"/>
      <w:pPr>
        <w:tabs>
          <w:tab w:val="num" w:pos="1440"/>
        </w:tabs>
        <w:ind w:left="1440" w:hanging="360"/>
      </w:pPr>
      <w:rPr>
        <w:rFonts w:ascii="Courier New" w:hAnsi="Courier New" w:cs="Courier New" w:hint="default"/>
      </w:rPr>
    </w:lvl>
    <w:lvl w:ilvl="2" w:tplc="9B28C020">
      <w:start w:val="1"/>
      <w:numFmt w:val="bullet"/>
      <w:lvlText w:val=""/>
      <w:lvlJc w:val="left"/>
      <w:pPr>
        <w:tabs>
          <w:tab w:val="num" w:pos="2160"/>
        </w:tabs>
        <w:ind w:left="2160" w:hanging="360"/>
      </w:pPr>
      <w:rPr>
        <w:rFonts w:ascii="Wingdings" w:hAnsi="Wingdings" w:cs="Wingdings" w:hint="default"/>
      </w:rPr>
    </w:lvl>
    <w:lvl w:ilvl="3" w:tplc="150A9878">
      <w:start w:val="1"/>
      <w:numFmt w:val="bullet"/>
      <w:lvlText w:val=""/>
      <w:lvlJc w:val="left"/>
      <w:pPr>
        <w:tabs>
          <w:tab w:val="num" w:pos="2880"/>
        </w:tabs>
        <w:ind w:left="2880" w:hanging="360"/>
      </w:pPr>
      <w:rPr>
        <w:rFonts w:ascii="Symbol" w:hAnsi="Symbol" w:cs="Symbol" w:hint="default"/>
      </w:rPr>
    </w:lvl>
    <w:lvl w:ilvl="4" w:tplc="C9346142">
      <w:start w:val="1"/>
      <w:numFmt w:val="bullet"/>
      <w:lvlText w:val="o"/>
      <w:lvlJc w:val="left"/>
      <w:pPr>
        <w:tabs>
          <w:tab w:val="num" w:pos="3600"/>
        </w:tabs>
        <w:ind w:left="3600" w:hanging="360"/>
      </w:pPr>
      <w:rPr>
        <w:rFonts w:ascii="Courier New" w:hAnsi="Courier New" w:cs="Courier New" w:hint="default"/>
      </w:rPr>
    </w:lvl>
    <w:lvl w:ilvl="5" w:tplc="AEAEF75A">
      <w:start w:val="1"/>
      <w:numFmt w:val="bullet"/>
      <w:lvlText w:val=""/>
      <w:lvlJc w:val="left"/>
      <w:pPr>
        <w:tabs>
          <w:tab w:val="num" w:pos="4320"/>
        </w:tabs>
        <w:ind w:left="4320" w:hanging="360"/>
      </w:pPr>
      <w:rPr>
        <w:rFonts w:ascii="Wingdings" w:hAnsi="Wingdings" w:cs="Wingdings" w:hint="default"/>
      </w:rPr>
    </w:lvl>
    <w:lvl w:ilvl="6" w:tplc="038C4DCC">
      <w:start w:val="1"/>
      <w:numFmt w:val="bullet"/>
      <w:lvlText w:val=""/>
      <w:lvlJc w:val="left"/>
      <w:pPr>
        <w:tabs>
          <w:tab w:val="num" w:pos="5040"/>
        </w:tabs>
        <w:ind w:left="5040" w:hanging="360"/>
      </w:pPr>
      <w:rPr>
        <w:rFonts w:ascii="Symbol" w:hAnsi="Symbol" w:cs="Symbol" w:hint="default"/>
      </w:rPr>
    </w:lvl>
    <w:lvl w:ilvl="7" w:tplc="0C44CAEE">
      <w:start w:val="1"/>
      <w:numFmt w:val="bullet"/>
      <w:lvlText w:val="o"/>
      <w:lvlJc w:val="left"/>
      <w:pPr>
        <w:tabs>
          <w:tab w:val="num" w:pos="5760"/>
        </w:tabs>
        <w:ind w:left="5760" w:hanging="360"/>
      </w:pPr>
      <w:rPr>
        <w:rFonts w:ascii="Courier New" w:hAnsi="Courier New" w:cs="Courier New" w:hint="default"/>
      </w:rPr>
    </w:lvl>
    <w:lvl w:ilvl="8" w:tplc="8FE23DEC">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042062FA"/>
    <w:multiLevelType w:val="hybridMultilevel"/>
    <w:tmpl w:val="A558A3F0"/>
    <w:lvl w:ilvl="0" w:tplc="41DE5A1C">
      <w:start w:val="1"/>
      <w:numFmt w:val="bullet"/>
      <w:lvlText w:val=""/>
      <w:lvlJc w:val="left"/>
      <w:pPr>
        <w:tabs>
          <w:tab w:val="num" w:pos="360"/>
        </w:tabs>
        <w:ind w:left="360" w:hanging="360"/>
      </w:pPr>
      <w:rPr>
        <w:rFonts w:ascii="Symbol" w:hAnsi="Symbol" w:cs="Symbol" w:hint="default"/>
        <w:color w:val="auto"/>
        <w:sz w:val="20"/>
        <w:szCs w:val="20"/>
      </w:rPr>
    </w:lvl>
    <w:lvl w:ilvl="1" w:tplc="65B06892">
      <w:start w:val="1"/>
      <w:numFmt w:val="bullet"/>
      <w:lvlText w:val="o"/>
      <w:lvlJc w:val="left"/>
      <w:pPr>
        <w:tabs>
          <w:tab w:val="num" w:pos="1440"/>
        </w:tabs>
        <w:ind w:left="1440" w:hanging="360"/>
      </w:pPr>
      <w:rPr>
        <w:rFonts w:ascii="Courier New" w:hAnsi="Courier New" w:cs="Courier New" w:hint="default"/>
      </w:rPr>
    </w:lvl>
    <w:lvl w:ilvl="2" w:tplc="31AAAF74">
      <w:start w:val="1"/>
      <w:numFmt w:val="bullet"/>
      <w:lvlText w:val=""/>
      <w:lvlJc w:val="left"/>
      <w:pPr>
        <w:tabs>
          <w:tab w:val="num" w:pos="2160"/>
        </w:tabs>
        <w:ind w:left="2160" w:hanging="360"/>
      </w:pPr>
      <w:rPr>
        <w:rFonts w:ascii="Wingdings" w:hAnsi="Wingdings" w:cs="Wingdings" w:hint="default"/>
      </w:rPr>
    </w:lvl>
    <w:lvl w:ilvl="3" w:tplc="678C026C">
      <w:start w:val="1"/>
      <w:numFmt w:val="bullet"/>
      <w:lvlText w:val=""/>
      <w:lvlJc w:val="left"/>
      <w:pPr>
        <w:tabs>
          <w:tab w:val="num" w:pos="2880"/>
        </w:tabs>
        <w:ind w:left="2880" w:hanging="360"/>
      </w:pPr>
      <w:rPr>
        <w:rFonts w:ascii="Symbol" w:hAnsi="Symbol" w:cs="Symbol" w:hint="default"/>
      </w:rPr>
    </w:lvl>
    <w:lvl w:ilvl="4" w:tplc="27041834">
      <w:start w:val="1"/>
      <w:numFmt w:val="bullet"/>
      <w:lvlText w:val="o"/>
      <w:lvlJc w:val="left"/>
      <w:pPr>
        <w:tabs>
          <w:tab w:val="num" w:pos="3600"/>
        </w:tabs>
        <w:ind w:left="3600" w:hanging="360"/>
      </w:pPr>
      <w:rPr>
        <w:rFonts w:ascii="Courier New" w:hAnsi="Courier New" w:cs="Courier New" w:hint="default"/>
      </w:rPr>
    </w:lvl>
    <w:lvl w:ilvl="5" w:tplc="F5C890A6">
      <w:start w:val="1"/>
      <w:numFmt w:val="bullet"/>
      <w:lvlText w:val=""/>
      <w:lvlJc w:val="left"/>
      <w:pPr>
        <w:tabs>
          <w:tab w:val="num" w:pos="4320"/>
        </w:tabs>
        <w:ind w:left="4320" w:hanging="360"/>
      </w:pPr>
      <w:rPr>
        <w:rFonts w:ascii="Wingdings" w:hAnsi="Wingdings" w:cs="Wingdings" w:hint="default"/>
      </w:rPr>
    </w:lvl>
    <w:lvl w:ilvl="6" w:tplc="B5200E58">
      <w:start w:val="1"/>
      <w:numFmt w:val="bullet"/>
      <w:lvlText w:val=""/>
      <w:lvlJc w:val="left"/>
      <w:pPr>
        <w:tabs>
          <w:tab w:val="num" w:pos="5040"/>
        </w:tabs>
        <w:ind w:left="5040" w:hanging="360"/>
      </w:pPr>
      <w:rPr>
        <w:rFonts w:ascii="Symbol" w:hAnsi="Symbol" w:cs="Symbol" w:hint="default"/>
      </w:rPr>
    </w:lvl>
    <w:lvl w:ilvl="7" w:tplc="CB502F46">
      <w:start w:val="1"/>
      <w:numFmt w:val="bullet"/>
      <w:lvlText w:val="o"/>
      <w:lvlJc w:val="left"/>
      <w:pPr>
        <w:tabs>
          <w:tab w:val="num" w:pos="5760"/>
        </w:tabs>
        <w:ind w:left="5760" w:hanging="360"/>
      </w:pPr>
      <w:rPr>
        <w:rFonts w:ascii="Courier New" w:hAnsi="Courier New" w:cs="Courier New" w:hint="default"/>
      </w:rPr>
    </w:lvl>
    <w:lvl w:ilvl="8" w:tplc="EA66033C">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8B81DFB"/>
    <w:multiLevelType w:val="hybridMultilevel"/>
    <w:tmpl w:val="A9663E6E"/>
    <w:lvl w:ilvl="0" w:tplc="8FB8F614">
      <w:start w:val="1"/>
      <w:numFmt w:val="bullet"/>
      <w:lvlText w:val=""/>
      <w:lvlJc w:val="left"/>
      <w:pPr>
        <w:ind w:left="927" w:hanging="360"/>
      </w:pPr>
      <w:rPr>
        <w:rFonts w:ascii="Symbol" w:hAnsi="Symbol" w:hint="default"/>
      </w:rPr>
    </w:lvl>
    <w:lvl w:ilvl="1" w:tplc="E118D73E" w:tentative="1">
      <w:start w:val="1"/>
      <w:numFmt w:val="bullet"/>
      <w:lvlText w:val="o"/>
      <w:lvlJc w:val="left"/>
      <w:pPr>
        <w:ind w:left="1647" w:hanging="360"/>
      </w:pPr>
      <w:rPr>
        <w:rFonts w:ascii="Courier New" w:hAnsi="Courier New" w:cs="Courier New" w:hint="default"/>
      </w:rPr>
    </w:lvl>
    <w:lvl w:ilvl="2" w:tplc="DDE2C5D2" w:tentative="1">
      <w:start w:val="1"/>
      <w:numFmt w:val="bullet"/>
      <w:lvlText w:val=""/>
      <w:lvlJc w:val="left"/>
      <w:pPr>
        <w:ind w:left="2367" w:hanging="360"/>
      </w:pPr>
      <w:rPr>
        <w:rFonts w:ascii="Wingdings" w:hAnsi="Wingdings" w:hint="default"/>
      </w:rPr>
    </w:lvl>
    <w:lvl w:ilvl="3" w:tplc="B9A0B68C" w:tentative="1">
      <w:start w:val="1"/>
      <w:numFmt w:val="bullet"/>
      <w:lvlText w:val=""/>
      <w:lvlJc w:val="left"/>
      <w:pPr>
        <w:ind w:left="3087" w:hanging="360"/>
      </w:pPr>
      <w:rPr>
        <w:rFonts w:ascii="Symbol" w:hAnsi="Symbol" w:hint="default"/>
      </w:rPr>
    </w:lvl>
    <w:lvl w:ilvl="4" w:tplc="B758547A" w:tentative="1">
      <w:start w:val="1"/>
      <w:numFmt w:val="bullet"/>
      <w:lvlText w:val="o"/>
      <w:lvlJc w:val="left"/>
      <w:pPr>
        <w:ind w:left="3807" w:hanging="360"/>
      </w:pPr>
      <w:rPr>
        <w:rFonts w:ascii="Courier New" w:hAnsi="Courier New" w:cs="Courier New" w:hint="default"/>
      </w:rPr>
    </w:lvl>
    <w:lvl w:ilvl="5" w:tplc="61CC4D48" w:tentative="1">
      <w:start w:val="1"/>
      <w:numFmt w:val="bullet"/>
      <w:lvlText w:val=""/>
      <w:lvlJc w:val="left"/>
      <w:pPr>
        <w:ind w:left="4527" w:hanging="360"/>
      </w:pPr>
      <w:rPr>
        <w:rFonts w:ascii="Wingdings" w:hAnsi="Wingdings" w:hint="default"/>
      </w:rPr>
    </w:lvl>
    <w:lvl w:ilvl="6" w:tplc="4918AAE4" w:tentative="1">
      <w:start w:val="1"/>
      <w:numFmt w:val="bullet"/>
      <w:lvlText w:val=""/>
      <w:lvlJc w:val="left"/>
      <w:pPr>
        <w:ind w:left="5247" w:hanging="360"/>
      </w:pPr>
      <w:rPr>
        <w:rFonts w:ascii="Symbol" w:hAnsi="Symbol" w:hint="default"/>
      </w:rPr>
    </w:lvl>
    <w:lvl w:ilvl="7" w:tplc="92C64C3C" w:tentative="1">
      <w:start w:val="1"/>
      <w:numFmt w:val="bullet"/>
      <w:lvlText w:val="o"/>
      <w:lvlJc w:val="left"/>
      <w:pPr>
        <w:ind w:left="5967" w:hanging="360"/>
      </w:pPr>
      <w:rPr>
        <w:rFonts w:ascii="Courier New" w:hAnsi="Courier New" w:cs="Courier New" w:hint="default"/>
      </w:rPr>
    </w:lvl>
    <w:lvl w:ilvl="8" w:tplc="FDE6207C" w:tentative="1">
      <w:start w:val="1"/>
      <w:numFmt w:val="bullet"/>
      <w:lvlText w:val=""/>
      <w:lvlJc w:val="left"/>
      <w:pPr>
        <w:ind w:left="6687" w:hanging="360"/>
      </w:pPr>
      <w:rPr>
        <w:rFonts w:ascii="Wingdings" w:hAnsi="Wingdings" w:hint="default"/>
      </w:rPr>
    </w:lvl>
  </w:abstractNum>
  <w:abstractNum w:abstractNumId="13" w15:restartNumberingAfterBreak="0">
    <w:nsid w:val="09B801B0"/>
    <w:multiLevelType w:val="hybridMultilevel"/>
    <w:tmpl w:val="DA58102A"/>
    <w:lvl w:ilvl="0" w:tplc="A9D4A32A">
      <w:start w:val="1"/>
      <w:numFmt w:val="bullet"/>
      <w:lvlText w:val=""/>
      <w:lvlJc w:val="left"/>
      <w:pPr>
        <w:ind w:left="927" w:hanging="360"/>
      </w:pPr>
      <w:rPr>
        <w:rFonts w:ascii="Symbol" w:hAnsi="Symbol" w:hint="default"/>
      </w:rPr>
    </w:lvl>
    <w:lvl w:ilvl="1" w:tplc="F9EEE702" w:tentative="1">
      <w:start w:val="1"/>
      <w:numFmt w:val="bullet"/>
      <w:lvlText w:val="o"/>
      <w:lvlJc w:val="left"/>
      <w:pPr>
        <w:ind w:left="1647" w:hanging="360"/>
      </w:pPr>
      <w:rPr>
        <w:rFonts w:ascii="Courier New" w:hAnsi="Courier New" w:cs="Courier New" w:hint="default"/>
      </w:rPr>
    </w:lvl>
    <w:lvl w:ilvl="2" w:tplc="B5BA2E32" w:tentative="1">
      <w:start w:val="1"/>
      <w:numFmt w:val="bullet"/>
      <w:lvlText w:val=""/>
      <w:lvlJc w:val="left"/>
      <w:pPr>
        <w:ind w:left="2367" w:hanging="360"/>
      </w:pPr>
      <w:rPr>
        <w:rFonts w:ascii="Wingdings" w:hAnsi="Wingdings" w:hint="default"/>
      </w:rPr>
    </w:lvl>
    <w:lvl w:ilvl="3" w:tplc="A85AFF1E" w:tentative="1">
      <w:start w:val="1"/>
      <w:numFmt w:val="bullet"/>
      <w:lvlText w:val=""/>
      <w:lvlJc w:val="left"/>
      <w:pPr>
        <w:ind w:left="3087" w:hanging="360"/>
      </w:pPr>
      <w:rPr>
        <w:rFonts w:ascii="Symbol" w:hAnsi="Symbol" w:hint="default"/>
      </w:rPr>
    </w:lvl>
    <w:lvl w:ilvl="4" w:tplc="B54A7C14" w:tentative="1">
      <w:start w:val="1"/>
      <w:numFmt w:val="bullet"/>
      <w:lvlText w:val="o"/>
      <w:lvlJc w:val="left"/>
      <w:pPr>
        <w:ind w:left="3807" w:hanging="360"/>
      </w:pPr>
      <w:rPr>
        <w:rFonts w:ascii="Courier New" w:hAnsi="Courier New" w:cs="Courier New" w:hint="default"/>
      </w:rPr>
    </w:lvl>
    <w:lvl w:ilvl="5" w:tplc="ACDAA7A0" w:tentative="1">
      <w:start w:val="1"/>
      <w:numFmt w:val="bullet"/>
      <w:lvlText w:val=""/>
      <w:lvlJc w:val="left"/>
      <w:pPr>
        <w:ind w:left="4527" w:hanging="360"/>
      </w:pPr>
      <w:rPr>
        <w:rFonts w:ascii="Wingdings" w:hAnsi="Wingdings" w:hint="default"/>
      </w:rPr>
    </w:lvl>
    <w:lvl w:ilvl="6" w:tplc="1A4E7152" w:tentative="1">
      <w:start w:val="1"/>
      <w:numFmt w:val="bullet"/>
      <w:lvlText w:val=""/>
      <w:lvlJc w:val="left"/>
      <w:pPr>
        <w:ind w:left="5247" w:hanging="360"/>
      </w:pPr>
      <w:rPr>
        <w:rFonts w:ascii="Symbol" w:hAnsi="Symbol" w:hint="default"/>
      </w:rPr>
    </w:lvl>
    <w:lvl w:ilvl="7" w:tplc="EC284AC0" w:tentative="1">
      <w:start w:val="1"/>
      <w:numFmt w:val="bullet"/>
      <w:lvlText w:val="o"/>
      <w:lvlJc w:val="left"/>
      <w:pPr>
        <w:ind w:left="5967" w:hanging="360"/>
      </w:pPr>
      <w:rPr>
        <w:rFonts w:ascii="Courier New" w:hAnsi="Courier New" w:cs="Courier New" w:hint="default"/>
      </w:rPr>
    </w:lvl>
    <w:lvl w:ilvl="8" w:tplc="FE5A5AB0" w:tentative="1">
      <w:start w:val="1"/>
      <w:numFmt w:val="bullet"/>
      <w:lvlText w:val=""/>
      <w:lvlJc w:val="left"/>
      <w:pPr>
        <w:ind w:left="6687" w:hanging="360"/>
      </w:pPr>
      <w:rPr>
        <w:rFonts w:ascii="Wingdings" w:hAnsi="Wingdings" w:hint="default"/>
      </w:rPr>
    </w:lvl>
  </w:abstractNum>
  <w:abstractNum w:abstractNumId="14" w15:restartNumberingAfterBreak="0">
    <w:nsid w:val="09C44CC1"/>
    <w:multiLevelType w:val="hybridMultilevel"/>
    <w:tmpl w:val="7FF2C56E"/>
    <w:lvl w:ilvl="0" w:tplc="5AD287BC">
      <w:start w:val="1"/>
      <w:numFmt w:val="bullet"/>
      <w:lvlText w:val=""/>
      <w:lvlJc w:val="left"/>
      <w:pPr>
        <w:tabs>
          <w:tab w:val="num" w:pos="360"/>
        </w:tabs>
        <w:ind w:left="360" w:hanging="360"/>
      </w:pPr>
      <w:rPr>
        <w:rFonts w:ascii="Symbol" w:hAnsi="Symbol" w:hint="default"/>
      </w:rPr>
    </w:lvl>
    <w:lvl w:ilvl="1" w:tplc="C7685824">
      <w:start w:val="1"/>
      <w:numFmt w:val="bullet"/>
      <w:lvlText w:val="o"/>
      <w:lvlJc w:val="left"/>
      <w:pPr>
        <w:tabs>
          <w:tab w:val="num" w:pos="1080"/>
        </w:tabs>
        <w:ind w:left="1080" w:hanging="360"/>
      </w:pPr>
      <w:rPr>
        <w:rFonts w:ascii="Courier New" w:hAnsi="Courier New" w:cs="Courier New" w:hint="default"/>
      </w:rPr>
    </w:lvl>
    <w:lvl w:ilvl="2" w:tplc="B5EA3F28" w:tentative="1">
      <w:start w:val="1"/>
      <w:numFmt w:val="bullet"/>
      <w:lvlText w:val=""/>
      <w:lvlJc w:val="left"/>
      <w:pPr>
        <w:tabs>
          <w:tab w:val="num" w:pos="1800"/>
        </w:tabs>
        <w:ind w:left="1800" w:hanging="360"/>
      </w:pPr>
      <w:rPr>
        <w:rFonts w:ascii="Wingdings" w:hAnsi="Wingdings" w:hint="default"/>
      </w:rPr>
    </w:lvl>
    <w:lvl w:ilvl="3" w:tplc="58CAA60C" w:tentative="1">
      <w:start w:val="1"/>
      <w:numFmt w:val="bullet"/>
      <w:lvlText w:val=""/>
      <w:lvlJc w:val="left"/>
      <w:pPr>
        <w:tabs>
          <w:tab w:val="num" w:pos="2520"/>
        </w:tabs>
        <w:ind w:left="2520" w:hanging="360"/>
      </w:pPr>
      <w:rPr>
        <w:rFonts w:ascii="Symbol" w:hAnsi="Symbol" w:hint="default"/>
      </w:rPr>
    </w:lvl>
    <w:lvl w:ilvl="4" w:tplc="84321626" w:tentative="1">
      <w:start w:val="1"/>
      <w:numFmt w:val="bullet"/>
      <w:lvlText w:val="o"/>
      <w:lvlJc w:val="left"/>
      <w:pPr>
        <w:tabs>
          <w:tab w:val="num" w:pos="3240"/>
        </w:tabs>
        <w:ind w:left="3240" w:hanging="360"/>
      </w:pPr>
      <w:rPr>
        <w:rFonts w:ascii="Courier New" w:hAnsi="Courier New" w:cs="Courier New" w:hint="default"/>
      </w:rPr>
    </w:lvl>
    <w:lvl w:ilvl="5" w:tplc="00C25C80" w:tentative="1">
      <w:start w:val="1"/>
      <w:numFmt w:val="bullet"/>
      <w:lvlText w:val=""/>
      <w:lvlJc w:val="left"/>
      <w:pPr>
        <w:tabs>
          <w:tab w:val="num" w:pos="3960"/>
        </w:tabs>
        <w:ind w:left="3960" w:hanging="360"/>
      </w:pPr>
      <w:rPr>
        <w:rFonts w:ascii="Wingdings" w:hAnsi="Wingdings" w:hint="default"/>
      </w:rPr>
    </w:lvl>
    <w:lvl w:ilvl="6" w:tplc="F0B87D72" w:tentative="1">
      <w:start w:val="1"/>
      <w:numFmt w:val="bullet"/>
      <w:lvlText w:val=""/>
      <w:lvlJc w:val="left"/>
      <w:pPr>
        <w:tabs>
          <w:tab w:val="num" w:pos="4680"/>
        </w:tabs>
        <w:ind w:left="4680" w:hanging="360"/>
      </w:pPr>
      <w:rPr>
        <w:rFonts w:ascii="Symbol" w:hAnsi="Symbol" w:hint="default"/>
      </w:rPr>
    </w:lvl>
    <w:lvl w:ilvl="7" w:tplc="1DBE4A8C" w:tentative="1">
      <w:start w:val="1"/>
      <w:numFmt w:val="bullet"/>
      <w:lvlText w:val="o"/>
      <w:lvlJc w:val="left"/>
      <w:pPr>
        <w:tabs>
          <w:tab w:val="num" w:pos="5400"/>
        </w:tabs>
        <w:ind w:left="5400" w:hanging="360"/>
      </w:pPr>
      <w:rPr>
        <w:rFonts w:ascii="Courier New" w:hAnsi="Courier New" w:cs="Courier New" w:hint="default"/>
      </w:rPr>
    </w:lvl>
    <w:lvl w:ilvl="8" w:tplc="4DD68ED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0A313662"/>
    <w:multiLevelType w:val="hybridMultilevel"/>
    <w:tmpl w:val="23D629FE"/>
    <w:lvl w:ilvl="0" w:tplc="B8701292">
      <w:start w:val="1"/>
      <w:numFmt w:val="bullet"/>
      <w:lvlText w:val=""/>
      <w:lvlJc w:val="left"/>
      <w:pPr>
        <w:ind w:left="720" w:hanging="360"/>
      </w:pPr>
      <w:rPr>
        <w:rFonts w:ascii="Symbol" w:hAnsi="Symbol" w:hint="default"/>
      </w:rPr>
    </w:lvl>
    <w:lvl w:ilvl="1" w:tplc="E70EB4D8" w:tentative="1">
      <w:start w:val="1"/>
      <w:numFmt w:val="bullet"/>
      <w:lvlText w:val="o"/>
      <w:lvlJc w:val="left"/>
      <w:pPr>
        <w:ind w:left="1440" w:hanging="360"/>
      </w:pPr>
      <w:rPr>
        <w:rFonts w:ascii="Courier New" w:hAnsi="Courier New" w:cs="Courier New" w:hint="default"/>
      </w:rPr>
    </w:lvl>
    <w:lvl w:ilvl="2" w:tplc="3F4471D2" w:tentative="1">
      <w:start w:val="1"/>
      <w:numFmt w:val="bullet"/>
      <w:lvlText w:val=""/>
      <w:lvlJc w:val="left"/>
      <w:pPr>
        <w:ind w:left="2160" w:hanging="360"/>
      </w:pPr>
      <w:rPr>
        <w:rFonts w:ascii="Wingdings" w:hAnsi="Wingdings" w:hint="default"/>
      </w:rPr>
    </w:lvl>
    <w:lvl w:ilvl="3" w:tplc="EFA29DC8" w:tentative="1">
      <w:start w:val="1"/>
      <w:numFmt w:val="bullet"/>
      <w:lvlText w:val=""/>
      <w:lvlJc w:val="left"/>
      <w:pPr>
        <w:ind w:left="2880" w:hanging="360"/>
      </w:pPr>
      <w:rPr>
        <w:rFonts w:ascii="Symbol" w:hAnsi="Symbol" w:hint="default"/>
      </w:rPr>
    </w:lvl>
    <w:lvl w:ilvl="4" w:tplc="A1BACB56" w:tentative="1">
      <w:start w:val="1"/>
      <w:numFmt w:val="bullet"/>
      <w:lvlText w:val="o"/>
      <w:lvlJc w:val="left"/>
      <w:pPr>
        <w:ind w:left="3600" w:hanging="360"/>
      </w:pPr>
      <w:rPr>
        <w:rFonts w:ascii="Courier New" w:hAnsi="Courier New" w:cs="Courier New" w:hint="default"/>
      </w:rPr>
    </w:lvl>
    <w:lvl w:ilvl="5" w:tplc="20469E60" w:tentative="1">
      <w:start w:val="1"/>
      <w:numFmt w:val="bullet"/>
      <w:lvlText w:val=""/>
      <w:lvlJc w:val="left"/>
      <w:pPr>
        <w:ind w:left="4320" w:hanging="360"/>
      </w:pPr>
      <w:rPr>
        <w:rFonts w:ascii="Wingdings" w:hAnsi="Wingdings" w:hint="default"/>
      </w:rPr>
    </w:lvl>
    <w:lvl w:ilvl="6" w:tplc="6D78EE86" w:tentative="1">
      <w:start w:val="1"/>
      <w:numFmt w:val="bullet"/>
      <w:lvlText w:val=""/>
      <w:lvlJc w:val="left"/>
      <w:pPr>
        <w:ind w:left="5040" w:hanging="360"/>
      </w:pPr>
      <w:rPr>
        <w:rFonts w:ascii="Symbol" w:hAnsi="Symbol" w:hint="default"/>
      </w:rPr>
    </w:lvl>
    <w:lvl w:ilvl="7" w:tplc="3814BE70" w:tentative="1">
      <w:start w:val="1"/>
      <w:numFmt w:val="bullet"/>
      <w:lvlText w:val="o"/>
      <w:lvlJc w:val="left"/>
      <w:pPr>
        <w:ind w:left="5760" w:hanging="360"/>
      </w:pPr>
      <w:rPr>
        <w:rFonts w:ascii="Courier New" w:hAnsi="Courier New" w:cs="Courier New" w:hint="default"/>
      </w:rPr>
    </w:lvl>
    <w:lvl w:ilvl="8" w:tplc="42FC3F60" w:tentative="1">
      <w:start w:val="1"/>
      <w:numFmt w:val="bullet"/>
      <w:lvlText w:val=""/>
      <w:lvlJc w:val="left"/>
      <w:pPr>
        <w:ind w:left="6480" w:hanging="360"/>
      </w:pPr>
      <w:rPr>
        <w:rFonts w:ascii="Wingdings" w:hAnsi="Wingdings" w:hint="default"/>
      </w:rPr>
    </w:lvl>
  </w:abstractNum>
  <w:abstractNum w:abstractNumId="16" w15:restartNumberingAfterBreak="0">
    <w:nsid w:val="0BC96080"/>
    <w:multiLevelType w:val="hybridMultilevel"/>
    <w:tmpl w:val="CCD0C1CE"/>
    <w:lvl w:ilvl="0" w:tplc="BD4C8B1C">
      <w:start w:val="1"/>
      <w:numFmt w:val="bullet"/>
      <w:lvlText w:val=""/>
      <w:lvlJc w:val="left"/>
      <w:pPr>
        <w:ind w:left="776" w:hanging="360"/>
      </w:pPr>
      <w:rPr>
        <w:rFonts w:ascii="Symbol" w:hAnsi="Symbol" w:hint="default"/>
      </w:rPr>
    </w:lvl>
    <w:lvl w:ilvl="1" w:tplc="3D206E76" w:tentative="1">
      <w:start w:val="1"/>
      <w:numFmt w:val="bullet"/>
      <w:lvlText w:val="o"/>
      <w:lvlJc w:val="left"/>
      <w:pPr>
        <w:ind w:left="1496" w:hanging="360"/>
      </w:pPr>
      <w:rPr>
        <w:rFonts w:ascii="Courier New" w:hAnsi="Courier New" w:cs="Courier New" w:hint="default"/>
      </w:rPr>
    </w:lvl>
    <w:lvl w:ilvl="2" w:tplc="14A0A8E2" w:tentative="1">
      <w:start w:val="1"/>
      <w:numFmt w:val="bullet"/>
      <w:lvlText w:val=""/>
      <w:lvlJc w:val="left"/>
      <w:pPr>
        <w:ind w:left="2216" w:hanging="360"/>
      </w:pPr>
      <w:rPr>
        <w:rFonts w:ascii="Wingdings" w:hAnsi="Wingdings" w:hint="default"/>
      </w:rPr>
    </w:lvl>
    <w:lvl w:ilvl="3" w:tplc="65AE5A52" w:tentative="1">
      <w:start w:val="1"/>
      <w:numFmt w:val="bullet"/>
      <w:lvlText w:val=""/>
      <w:lvlJc w:val="left"/>
      <w:pPr>
        <w:ind w:left="2936" w:hanging="360"/>
      </w:pPr>
      <w:rPr>
        <w:rFonts w:ascii="Symbol" w:hAnsi="Symbol" w:hint="default"/>
      </w:rPr>
    </w:lvl>
    <w:lvl w:ilvl="4" w:tplc="5F50095E" w:tentative="1">
      <w:start w:val="1"/>
      <w:numFmt w:val="bullet"/>
      <w:lvlText w:val="o"/>
      <w:lvlJc w:val="left"/>
      <w:pPr>
        <w:ind w:left="3656" w:hanging="360"/>
      </w:pPr>
      <w:rPr>
        <w:rFonts w:ascii="Courier New" w:hAnsi="Courier New" w:cs="Courier New" w:hint="default"/>
      </w:rPr>
    </w:lvl>
    <w:lvl w:ilvl="5" w:tplc="C55C0A8A" w:tentative="1">
      <w:start w:val="1"/>
      <w:numFmt w:val="bullet"/>
      <w:lvlText w:val=""/>
      <w:lvlJc w:val="left"/>
      <w:pPr>
        <w:ind w:left="4376" w:hanging="360"/>
      </w:pPr>
      <w:rPr>
        <w:rFonts w:ascii="Wingdings" w:hAnsi="Wingdings" w:hint="default"/>
      </w:rPr>
    </w:lvl>
    <w:lvl w:ilvl="6" w:tplc="8E3CF700" w:tentative="1">
      <w:start w:val="1"/>
      <w:numFmt w:val="bullet"/>
      <w:lvlText w:val=""/>
      <w:lvlJc w:val="left"/>
      <w:pPr>
        <w:ind w:left="5096" w:hanging="360"/>
      </w:pPr>
      <w:rPr>
        <w:rFonts w:ascii="Symbol" w:hAnsi="Symbol" w:hint="default"/>
      </w:rPr>
    </w:lvl>
    <w:lvl w:ilvl="7" w:tplc="68505BD6" w:tentative="1">
      <w:start w:val="1"/>
      <w:numFmt w:val="bullet"/>
      <w:lvlText w:val="o"/>
      <w:lvlJc w:val="left"/>
      <w:pPr>
        <w:ind w:left="5816" w:hanging="360"/>
      </w:pPr>
      <w:rPr>
        <w:rFonts w:ascii="Courier New" w:hAnsi="Courier New" w:cs="Courier New" w:hint="default"/>
      </w:rPr>
    </w:lvl>
    <w:lvl w:ilvl="8" w:tplc="84F65C92" w:tentative="1">
      <w:start w:val="1"/>
      <w:numFmt w:val="bullet"/>
      <w:lvlText w:val=""/>
      <w:lvlJc w:val="left"/>
      <w:pPr>
        <w:ind w:left="6536" w:hanging="360"/>
      </w:pPr>
      <w:rPr>
        <w:rFonts w:ascii="Wingdings" w:hAnsi="Wingdings" w:hint="default"/>
      </w:rPr>
    </w:lvl>
  </w:abstractNum>
  <w:abstractNum w:abstractNumId="17" w15:restartNumberingAfterBreak="0">
    <w:nsid w:val="0C0B379D"/>
    <w:multiLevelType w:val="hybridMultilevel"/>
    <w:tmpl w:val="62CEEA62"/>
    <w:lvl w:ilvl="0" w:tplc="770EB508">
      <w:start w:val="1"/>
      <w:numFmt w:val="bullet"/>
      <w:lvlText w:val=""/>
      <w:lvlJc w:val="left"/>
      <w:pPr>
        <w:tabs>
          <w:tab w:val="num" w:pos="360"/>
        </w:tabs>
        <w:ind w:left="360" w:hanging="360"/>
      </w:pPr>
      <w:rPr>
        <w:rFonts w:ascii="Symbol" w:hAnsi="Symbol" w:cs="Symbol" w:hint="default"/>
        <w:color w:val="auto"/>
        <w:sz w:val="20"/>
        <w:szCs w:val="20"/>
      </w:rPr>
    </w:lvl>
    <w:lvl w:ilvl="1" w:tplc="8D161CF6">
      <w:start w:val="1"/>
      <w:numFmt w:val="bullet"/>
      <w:lvlText w:val="o"/>
      <w:lvlJc w:val="left"/>
      <w:pPr>
        <w:tabs>
          <w:tab w:val="num" w:pos="1440"/>
        </w:tabs>
        <w:ind w:left="1440" w:hanging="360"/>
      </w:pPr>
      <w:rPr>
        <w:rFonts w:ascii="Courier New" w:hAnsi="Courier New" w:cs="Courier New" w:hint="default"/>
      </w:rPr>
    </w:lvl>
    <w:lvl w:ilvl="2" w:tplc="4FDC16C8">
      <w:start w:val="1"/>
      <w:numFmt w:val="bullet"/>
      <w:lvlText w:val=""/>
      <w:lvlJc w:val="left"/>
      <w:pPr>
        <w:tabs>
          <w:tab w:val="num" w:pos="2160"/>
        </w:tabs>
        <w:ind w:left="2160" w:hanging="360"/>
      </w:pPr>
      <w:rPr>
        <w:rFonts w:ascii="Wingdings" w:hAnsi="Wingdings" w:cs="Wingdings" w:hint="default"/>
      </w:rPr>
    </w:lvl>
    <w:lvl w:ilvl="3" w:tplc="710EBC48">
      <w:start w:val="1"/>
      <w:numFmt w:val="bullet"/>
      <w:lvlText w:val=""/>
      <w:lvlJc w:val="left"/>
      <w:pPr>
        <w:tabs>
          <w:tab w:val="num" w:pos="2880"/>
        </w:tabs>
        <w:ind w:left="2880" w:hanging="360"/>
      </w:pPr>
      <w:rPr>
        <w:rFonts w:ascii="Symbol" w:hAnsi="Symbol" w:cs="Symbol" w:hint="default"/>
      </w:rPr>
    </w:lvl>
    <w:lvl w:ilvl="4" w:tplc="A6663428">
      <w:start w:val="1"/>
      <w:numFmt w:val="bullet"/>
      <w:lvlText w:val="o"/>
      <w:lvlJc w:val="left"/>
      <w:pPr>
        <w:tabs>
          <w:tab w:val="num" w:pos="3600"/>
        </w:tabs>
        <w:ind w:left="3600" w:hanging="360"/>
      </w:pPr>
      <w:rPr>
        <w:rFonts w:ascii="Courier New" w:hAnsi="Courier New" w:cs="Courier New" w:hint="default"/>
      </w:rPr>
    </w:lvl>
    <w:lvl w:ilvl="5" w:tplc="5CAA5A02">
      <w:start w:val="1"/>
      <w:numFmt w:val="bullet"/>
      <w:lvlText w:val=""/>
      <w:lvlJc w:val="left"/>
      <w:pPr>
        <w:tabs>
          <w:tab w:val="num" w:pos="4320"/>
        </w:tabs>
        <w:ind w:left="4320" w:hanging="360"/>
      </w:pPr>
      <w:rPr>
        <w:rFonts w:ascii="Wingdings" w:hAnsi="Wingdings" w:cs="Wingdings" w:hint="default"/>
      </w:rPr>
    </w:lvl>
    <w:lvl w:ilvl="6" w:tplc="8AF0B962">
      <w:start w:val="1"/>
      <w:numFmt w:val="bullet"/>
      <w:lvlText w:val=""/>
      <w:lvlJc w:val="left"/>
      <w:pPr>
        <w:tabs>
          <w:tab w:val="num" w:pos="5040"/>
        </w:tabs>
        <w:ind w:left="5040" w:hanging="360"/>
      </w:pPr>
      <w:rPr>
        <w:rFonts w:ascii="Symbol" w:hAnsi="Symbol" w:cs="Symbol" w:hint="default"/>
      </w:rPr>
    </w:lvl>
    <w:lvl w:ilvl="7" w:tplc="621C3B0C">
      <w:start w:val="1"/>
      <w:numFmt w:val="bullet"/>
      <w:lvlText w:val="o"/>
      <w:lvlJc w:val="left"/>
      <w:pPr>
        <w:tabs>
          <w:tab w:val="num" w:pos="5760"/>
        </w:tabs>
        <w:ind w:left="5760" w:hanging="360"/>
      </w:pPr>
      <w:rPr>
        <w:rFonts w:ascii="Courier New" w:hAnsi="Courier New" w:cs="Courier New" w:hint="default"/>
      </w:rPr>
    </w:lvl>
    <w:lvl w:ilvl="8" w:tplc="C6E01F9A">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0C652F42"/>
    <w:multiLevelType w:val="hybridMultilevel"/>
    <w:tmpl w:val="51E89182"/>
    <w:lvl w:ilvl="0" w:tplc="5796862C">
      <w:start w:val="1"/>
      <w:numFmt w:val="bullet"/>
      <w:lvlText w:val=""/>
      <w:lvlJc w:val="left"/>
      <w:pPr>
        <w:tabs>
          <w:tab w:val="num" w:pos="720"/>
        </w:tabs>
        <w:ind w:left="720" w:hanging="360"/>
      </w:pPr>
      <w:rPr>
        <w:rFonts w:ascii="Symbol" w:hAnsi="Symbol" w:cs="Symbol" w:hint="default"/>
        <w:color w:val="auto"/>
        <w:sz w:val="20"/>
        <w:szCs w:val="20"/>
      </w:rPr>
    </w:lvl>
    <w:lvl w:ilvl="1" w:tplc="AE7A0826">
      <w:start w:val="1"/>
      <w:numFmt w:val="bullet"/>
      <w:lvlText w:val="o"/>
      <w:lvlJc w:val="left"/>
      <w:pPr>
        <w:tabs>
          <w:tab w:val="num" w:pos="1800"/>
        </w:tabs>
        <w:ind w:left="1800" w:hanging="360"/>
      </w:pPr>
      <w:rPr>
        <w:rFonts w:ascii="Courier New" w:hAnsi="Courier New" w:hint="default"/>
      </w:rPr>
    </w:lvl>
    <w:lvl w:ilvl="2" w:tplc="E7A6718E">
      <w:start w:val="1"/>
      <w:numFmt w:val="bullet"/>
      <w:lvlText w:val=""/>
      <w:lvlJc w:val="left"/>
      <w:pPr>
        <w:tabs>
          <w:tab w:val="num" w:pos="2520"/>
        </w:tabs>
        <w:ind w:left="2520" w:hanging="360"/>
      </w:pPr>
      <w:rPr>
        <w:rFonts w:ascii="Wingdings" w:hAnsi="Wingdings" w:hint="default"/>
      </w:rPr>
    </w:lvl>
    <w:lvl w:ilvl="3" w:tplc="C74E8E6A">
      <w:start w:val="1"/>
      <w:numFmt w:val="bullet"/>
      <w:lvlText w:val=""/>
      <w:lvlJc w:val="left"/>
      <w:pPr>
        <w:tabs>
          <w:tab w:val="num" w:pos="3240"/>
        </w:tabs>
        <w:ind w:left="3240" w:hanging="360"/>
      </w:pPr>
      <w:rPr>
        <w:rFonts w:ascii="Symbol" w:hAnsi="Symbol" w:hint="default"/>
      </w:rPr>
    </w:lvl>
    <w:lvl w:ilvl="4" w:tplc="FD207C94">
      <w:start w:val="1"/>
      <w:numFmt w:val="bullet"/>
      <w:lvlText w:val="o"/>
      <w:lvlJc w:val="left"/>
      <w:pPr>
        <w:tabs>
          <w:tab w:val="num" w:pos="3960"/>
        </w:tabs>
        <w:ind w:left="3960" w:hanging="360"/>
      </w:pPr>
      <w:rPr>
        <w:rFonts w:ascii="Courier New" w:hAnsi="Courier New" w:hint="default"/>
      </w:rPr>
    </w:lvl>
    <w:lvl w:ilvl="5" w:tplc="D5CEEFC4">
      <w:start w:val="1"/>
      <w:numFmt w:val="bullet"/>
      <w:lvlText w:val=""/>
      <w:lvlJc w:val="left"/>
      <w:pPr>
        <w:tabs>
          <w:tab w:val="num" w:pos="4680"/>
        </w:tabs>
        <w:ind w:left="4680" w:hanging="360"/>
      </w:pPr>
      <w:rPr>
        <w:rFonts w:ascii="Wingdings" w:hAnsi="Wingdings" w:hint="default"/>
      </w:rPr>
    </w:lvl>
    <w:lvl w:ilvl="6" w:tplc="BB90150E">
      <w:start w:val="1"/>
      <w:numFmt w:val="bullet"/>
      <w:lvlText w:val=""/>
      <w:lvlJc w:val="left"/>
      <w:pPr>
        <w:tabs>
          <w:tab w:val="num" w:pos="5400"/>
        </w:tabs>
        <w:ind w:left="5400" w:hanging="360"/>
      </w:pPr>
      <w:rPr>
        <w:rFonts w:ascii="Symbol" w:hAnsi="Symbol" w:hint="default"/>
      </w:rPr>
    </w:lvl>
    <w:lvl w:ilvl="7" w:tplc="F95A9974">
      <w:start w:val="1"/>
      <w:numFmt w:val="bullet"/>
      <w:lvlText w:val="o"/>
      <w:lvlJc w:val="left"/>
      <w:pPr>
        <w:tabs>
          <w:tab w:val="num" w:pos="6120"/>
        </w:tabs>
        <w:ind w:left="6120" w:hanging="360"/>
      </w:pPr>
      <w:rPr>
        <w:rFonts w:ascii="Courier New" w:hAnsi="Courier New" w:hint="default"/>
      </w:rPr>
    </w:lvl>
    <w:lvl w:ilvl="8" w:tplc="80C0B1E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0D220C37"/>
    <w:multiLevelType w:val="hybridMultilevel"/>
    <w:tmpl w:val="A3928D62"/>
    <w:lvl w:ilvl="0" w:tplc="BA2CD09A">
      <w:start w:val="12"/>
      <w:numFmt w:val="bullet"/>
      <w:lvlText w:val="-"/>
      <w:lvlJc w:val="left"/>
      <w:pPr>
        <w:ind w:left="410" w:hanging="360"/>
      </w:pPr>
      <w:rPr>
        <w:rFonts w:ascii="Times New Roman" w:eastAsia="SimSun" w:hAnsi="Times New Roman" w:cs="Times New Roman" w:hint="default"/>
      </w:rPr>
    </w:lvl>
    <w:lvl w:ilvl="1" w:tplc="501CA244" w:tentative="1">
      <w:start w:val="1"/>
      <w:numFmt w:val="bullet"/>
      <w:lvlText w:val="o"/>
      <w:lvlJc w:val="left"/>
      <w:pPr>
        <w:ind w:left="1130" w:hanging="360"/>
      </w:pPr>
      <w:rPr>
        <w:rFonts w:ascii="Courier New" w:hAnsi="Courier New" w:cs="Courier New" w:hint="default"/>
      </w:rPr>
    </w:lvl>
    <w:lvl w:ilvl="2" w:tplc="87EA982C" w:tentative="1">
      <w:start w:val="1"/>
      <w:numFmt w:val="bullet"/>
      <w:lvlText w:val=""/>
      <w:lvlJc w:val="left"/>
      <w:pPr>
        <w:ind w:left="1850" w:hanging="360"/>
      </w:pPr>
      <w:rPr>
        <w:rFonts w:ascii="Wingdings" w:hAnsi="Wingdings" w:hint="default"/>
      </w:rPr>
    </w:lvl>
    <w:lvl w:ilvl="3" w:tplc="68142822" w:tentative="1">
      <w:start w:val="1"/>
      <w:numFmt w:val="bullet"/>
      <w:lvlText w:val=""/>
      <w:lvlJc w:val="left"/>
      <w:pPr>
        <w:ind w:left="2570" w:hanging="360"/>
      </w:pPr>
      <w:rPr>
        <w:rFonts w:ascii="Symbol" w:hAnsi="Symbol" w:hint="default"/>
      </w:rPr>
    </w:lvl>
    <w:lvl w:ilvl="4" w:tplc="FC2823B2" w:tentative="1">
      <w:start w:val="1"/>
      <w:numFmt w:val="bullet"/>
      <w:lvlText w:val="o"/>
      <w:lvlJc w:val="left"/>
      <w:pPr>
        <w:ind w:left="3290" w:hanging="360"/>
      </w:pPr>
      <w:rPr>
        <w:rFonts w:ascii="Courier New" w:hAnsi="Courier New" w:cs="Courier New" w:hint="default"/>
      </w:rPr>
    </w:lvl>
    <w:lvl w:ilvl="5" w:tplc="BEA8DF10" w:tentative="1">
      <w:start w:val="1"/>
      <w:numFmt w:val="bullet"/>
      <w:lvlText w:val=""/>
      <w:lvlJc w:val="left"/>
      <w:pPr>
        <w:ind w:left="4010" w:hanging="360"/>
      </w:pPr>
      <w:rPr>
        <w:rFonts w:ascii="Wingdings" w:hAnsi="Wingdings" w:hint="default"/>
      </w:rPr>
    </w:lvl>
    <w:lvl w:ilvl="6" w:tplc="036A5BEE" w:tentative="1">
      <w:start w:val="1"/>
      <w:numFmt w:val="bullet"/>
      <w:lvlText w:val=""/>
      <w:lvlJc w:val="left"/>
      <w:pPr>
        <w:ind w:left="4730" w:hanging="360"/>
      </w:pPr>
      <w:rPr>
        <w:rFonts w:ascii="Symbol" w:hAnsi="Symbol" w:hint="default"/>
      </w:rPr>
    </w:lvl>
    <w:lvl w:ilvl="7" w:tplc="226024B6" w:tentative="1">
      <w:start w:val="1"/>
      <w:numFmt w:val="bullet"/>
      <w:lvlText w:val="o"/>
      <w:lvlJc w:val="left"/>
      <w:pPr>
        <w:ind w:left="5450" w:hanging="360"/>
      </w:pPr>
      <w:rPr>
        <w:rFonts w:ascii="Courier New" w:hAnsi="Courier New" w:cs="Courier New" w:hint="default"/>
      </w:rPr>
    </w:lvl>
    <w:lvl w:ilvl="8" w:tplc="E37A4FD8" w:tentative="1">
      <w:start w:val="1"/>
      <w:numFmt w:val="bullet"/>
      <w:lvlText w:val=""/>
      <w:lvlJc w:val="left"/>
      <w:pPr>
        <w:ind w:left="6170" w:hanging="360"/>
      </w:pPr>
      <w:rPr>
        <w:rFonts w:ascii="Wingdings" w:hAnsi="Wingdings" w:hint="default"/>
      </w:rPr>
    </w:lvl>
  </w:abstractNum>
  <w:abstractNum w:abstractNumId="20" w15:restartNumberingAfterBreak="0">
    <w:nsid w:val="0EE94045"/>
    <w:multiLevelType w:val="hybridMultilevel"/>
    <w:tmpl w:val="EC6C8C60"/>
    <w:lvl w:ilvl="0" w:tplc="6A56E51E">
      <w:numFmt w:val="bullet"/>
      <w:lvlText w:val=""/>
      <w:lvlJc w:val="left"/>
      <w:pPr>
        <w:ind w:left="720" w:hanging="360"/>
      </w:pPr>
      <w:rPr>
        <w:rFonts w:ascii="Symbol" w:eastAsia="SimSun" w:hAnsi="Symbol" w:cs="Times New Roman" w:hint="default"/>
      </w:rPr>
    </w:lvl>
    <w:lvl w:ilvl="1" w:tplc="64EABC68" w:tentative="1">
      <w:start w:val="1"/>
      <w:numFmt w:val="bullet"/>
      <w:lvlText w:val="o"/>
      <w:lvlJc w:val="left"/>
      <w:pPr>
        <w:ind w:left="1440" w:hanging="360"/>
      </w:pPr>
      <w:rPr>
        <w:rFonts w:ascii="Courier New" w:hAnsi="Courier New" w:cs="Courier New" w:hint="default"/>
      </w:rPr>
    </w:lvl>
    <w:lvl w:ilvl="2" w:tplc="605E68DE" w:tentative="1">
      <w:start w:val="1"/>
      <w:numFmt w:val="bullet"/>
      <w:lvlText w:val=""/>
      <w:lvlJc w:val="left"/>
      <w:pPr>
        <w:ind w:left="2160" w:hanging="360"/>
      </w:pPr>
      <w:rPr>
        <w:rFonts w:ascii="Wingdings" w:hAnsi="Wingdings" w:hint="default"/>
      </w:rPr>
    </w:lvl>
    <w:lvl w:ilvl="3" w:tplc="96560940" w:tentative="1">
      <w:start w:val="1"/>
      <w:numFmt w:val="bullet"/>
      <w:lvlText w:val=""/>
      <w:lvlJc w:val="left"/>
      <w:pPr>
        <w:ind w:left="2880" w:hanging="360"/>
      </w:pPr>
      <w:rPr>
        <w:rFonts w:ascii="Symbol" w:hAnsi="Symbol" w:hint="default"/>
      </w:rPr>
    </w:lvl>
    <w:lvl w:ilvl="4" w:tplc="5F300720" w:tentative="1">
      <w:start w:val="1"/>
      <w:numFmt w:val="bullet"/>
      <w:lvlText w:val="o"/>
      <w:lvlJc w:val="left"/>
      <w:pPr>
        <w:ind w:left="3600" w:hanging="360"/>
      </w:pPr>
      <w:rPr>
        <w:rFonts w:ascii="Courier New" w:hAnsi="Courier New" w:cs="Courier New" w:hint="default"/>
      </w:rPr>
    </w:lvl>
    <w:lvl w:ilvl="5" w:tplc="D42292DC" w:tentative="1">
      <w:start w:val="1"/>
      <w:numFmt w:val="bullet"/>
      <w:lvlText w:val=""/>
      <w:lvlJc w:val="left"/>
      <w:pPr>
        <w:ind w:left="4320" w:hanging="360"/>
      </w:pPr>
      <w:rPr>
        <w:rFonts w:ascii="Wingdings" w:hAnsi="Wingdings" w:hint="default"/>
      </w:rPr>
    </w:lvl>
    <w:lvl w:ilvl="6" w:tplc="A6A0CC6C" w:tentative="1">
      <w:start w:val="1"/>
      <w:numFmt w:val="bullet"/>
      <w:lvlText w:val=""/>
      <w:lvlJc w:val="left"/>
      <w:pPr>
        <w:ind w:left="5040" w:hanging="360"/>
      </w:pPr>
      <w:rPr>
        <w:rFonts w:ascii="Symbol" w:hAnsi="Symbol" w:hint="default"/>
      </w:rPr>
    </w:lvl>
    <w:lvl w:ilvl="7" w:tplc="F93E5006" w:tentative="1">
      <w:start w:val="1"/>
      <w:numFmt w:val="bullet"/>
      <w:lvlText w:val="o"/>
      <w:lvlJc w:val="left"/>
      <w:pPr>
        <w:ind w:left="5760" w:hanging="360"/>
      </w:pPr>
      <w:rPr>
        <w:rFonts w:ascii="Courier New" w:hAnsi="Courier New" w:cs="Courier New" w:hint="default"/>
      </w:rPr>
    </w:lvl>
    <w:lvl w:ilvl="8" w:tplc="494A1C4E" w:tentative="1">
      <w:start w:val="1"/>
      <w:numFmt w:val="bullet"/>
      <w:lvlText w:val=""/>
      <w:lvlJc w:val="left"/>
      <w:pPr>
        <w:ind w:left="6480" w:hanging="360"/>
      </w:pPr>
      <w:rPr>
        <w:rFonts w:ascii="Wingdings" w:hAnsi="Wingdings" w:hint="default"/>
      </w:rPr>
    </w:lvl>
  </w:abstractNum>
  <w:abstractNum w:abstractNumId="21" w15:restartNumberingAfterBreak="0">
    <w:nsid w:val="10F825C0"/>
    <w:multiLevelType w:val="hybridMultilevel"/>
    <w:tmpl w:val="33A22A26"/>
    <w:lvl w:ilvl="0" w:tplc="7E82AAF6">
      <w:start w:val="1"/>
      <w:numFmt w:val="bullet"/>
      <w:lvlText w:val=""/>
      <w:lvlJc w:val="left"/>
      <w:pPr>
        <w:ind w:left="360" w:hanging="360"/>
      </w:pPr>
      <w:rPr>
        <w:rFonts w:ascii="Symbol" w:hAnsi="Symbol" w:hint="default"/>
      </w:rPr>
    </w:lvl>
    <w:lvl w:ilvl="1" w:tplc="120EEE0A">
      <w:start w:val="1"/>
      <w:numFmt w:val="bullet"/>
      <w:lvlText w:val=""/>
      <w:lvlJc w:val="left"/>
      <w:pPr>
        <w:ind w:left="1080" w:hanging="360"/>
      </w:pPr>
      <w:rPr>
        <w:rFonts w:ascii="Symbol" w:hAnsi="Symbol" w:hint="default"/>
      </w:rPr>
    </w:lvl>
    <w:lvl w:ilvl="2" w:tplc="8F784FDE" w:tentative="1">
      <w:start w:val="1"/>
      <w:numFmt w:val="bullet"/>
      <w:lvlText w:val=""/>
      <w:lvlJc w:val="left"/>
      <w:pPr>
        <w:ind w:left="1800" w:hanging="360"/>
      </w:pPr>
      <w:rPr>
        <w:rFonts w:ascii="Wingdings" w:hAnsi="Wingdings" w:hint="default"/>
      </w:rPr>
    </w:lvl>
    <w:lvl w:ilvl="3" w:tplc="5AAE5B5C" w:tentative="1">
      <w:start w:val="1"/>
      <w:numFmt w:val="bullet"/>
      <w:lvlText w:val=""/>
      <w:lvlJc w:val="left"/>
      <w:pPr>
        <w:ind w:left="2520" w:hanging="360"/>
      </w:pPr>
      <w:rPr>
        <w:rFonts w:ascii="Symbol" w:hAnsi="Symbol" w:hint="default"/>
      </w:rPr>
    </w:lvl>
    <w:lvl w:ilvl="4" w:tplc="2B8875B4" w:tentative="1">
      <w:start w:val="1"/>
      <w:numFmt w:val="bullet"/>
      <w:lvlText w:val="o"/>
      <w:lvlJc w:val="left"/>
      <w:pPr>
        <w:ind w:left="3240" w:hanging="360"/>
      </w:pPr>
      <w:rPr>
        <w:rFonts w:ascii="Courier New" w:hAnsi="Courier New" w:cs="Courier New" w:hint="default"/>
      </w:rPr>
    </w:lvl>
    <w:lvl w:ilvl="5" w:tplc="1F649F02" w:tentative="1">
      <w:start w:val="1"/>
      <w:numFmt w:val="bullet"/>
      <w:lvlText w:val=""/>
      <w:lvlJc w:val="left"/>
      <w:pPr>
        <w:ind w:left="3960" w:hanging="360"/>
      </w:pPr>
      <w:rPr>
        <w:rFonts w:ascii="Wingdings" w:hAnsi="Wingdings" w:hint="default"/>
      </w:rPr>
    </w:lvl>
    <w:lvl w:ilvl="6" w:tplc="831EAAE4" w:tentative="1">
      <w:start w:val="1"/>
      <w:numFmt w:val="bullet"/>
      <w:lvlText w:val=""/>
      <w:lvlJc w:val="left"/>
      <w:pPr>
        <w:ind w:left="4680" w:hanging="360"/>
      </w:pPr>
      <w:rPr>
        <w:rFonts w:ascii="Symbol" w:hAnsi="Symbol" w:hint="default"/>
      </w:rPr>
    </w:lvl>
    <w:lvl w:ilvl="7" w:tplc="8FDC5882" w:tentative="1">
      <w:start w:val="1"/>
      <w:numFmt w:val="bullet"/>
      <w:lvlText w:val="o"/>
      <w:lvlJc w:val="left"/>
      <w:pPr>
        <w:ind w:left="5400" w:hanging="360"/>
      </w:pPr>
      <w:rPr>
        <w:rFonts w:ascii="Courier New" w:hAnsi="Courier New" w:cs="Courier New" w:hint="default"/>
      </w:rPr>
    </w:lvl>
    <w:lvl w:ilvl="8" w:tplc="F134EC22" w:tentative="1">
      <w:start w:val="1"/>
      <w:numFmt w:val="bullet"/>
      <w:lvlText w:val=""/>
      <w:lvlJc w:val="left"/>
      <w:pPr>
        <w:ind w:left="6120" w:hanging="360"/>
      </w:pPr>
      <w:rPr>
        <w:rFonts w:ascii="Wingdings" w:hAnsi="Wingdings" w:hint="default"/>
      </w:rPr>
    </w:lvl>
  </w:abstractNum>
  <w:abstractNum w:abstractNumId="22" w15:restartNumberingAfterBreak="0">
    <w:nsid w:val="12FC007C"/>
    <w:multiLevelType w:val="multilevel"/>
    <w:tmpl w:val="7A546D00"/>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1460555E"/>
    <w:multiLevelType w:val="hybridMultilevel"/>
    <w:tmpl w:val="BD0063A2"/>
    <w:lvl w:ilvl="0" w:tplc="8F90EBE0">
      <w:numFmt w:val="bullet"/>
      <w:lvlText w:val="-"/>
      <w:lvlJc w:val="left"/>
      <w:pPr>
        <w:ind w:left="720" w:hanging="360"/>
      </w:pPr>
      <w:rPr>
        <w:rFonts w:ascii="Times New Roman" w:eastAsia="SimSun" w:hAnsi="Times New Roman" w:cs="Times New Roman" w:hint="default"/>
      </w:rPr>
    </w:lvl>
    <w:lvl w:ilvl="1" w:tplc="ADAA01E2" w:tentative="1">
      <w:start w:val="1"/>
      <w:numFmt w:val="bullet"/>
      <w:lvlText w:val="o"/>
      <w:lvlJc w:val="left"/>
      <w:pPr>
        <w:ind w:left="1440" w:hanging="360"/>
      </w:pPr>
      <w:rPr>
        <w:rFonts w:ascii="Courier New" w:hAnsi="Courier New" w:cs="Courier New" w:hint="default"/>
      </w:rPr>
    </w:lvl>
    <w:lvl w:ilvl="2" w:tplc="8F58CF4E" w:tentative="1">
      <w:start w:val="1"/>
      <w:numFmt w:val="bullet"/>
      <w:lvlText w:val=""/>
      <w:lvlJc w:val="left"/>
      <w:pPr>
        <w:ind w:left="2160" w:hanging="360"/>
      </w:pPr>
      <w:rPr>
        <w:rFonts w:ascii="Wingdings" w:hAnsi="Wingdings" w:hint="default"/>
      </w:rPr>
    </w:lvl>
    <w:lvl w:ilvl="3" w:tplc="9AF08196" w:tentative="1">
      <w:start w:val="1"/>
      <w:numFmt w:val="bullet"/>
      <w:lvlText w:val=""/>
      <w:lvlJc w:val="left"/>
      <w:pPr>
        <w:ind w:left="2880" w:hanging="360"/>
      </w:pPr>
      <w:rPr>
        <w:rFonts w:ascii="Symbol" w:hAnsi="Symbol" w:hint="default"/>
      </w:rPr>
    </w:lvl>
    <w:lvl w:ilvl="4" w:tplc="B8089254" w:tentative="1">
      <w:start w:val="1"/>
      <w:numFmt w:val="bullet"/>
      <w:lvlText w:val="o"/>
      <w:lvlJc w:val="left"/>
      <w:pPr>
        <w:ind w:left="3600" w:hanging="360"/>
      </w:pPr>
      <w:rPr>
        <w:rFonts w:ascii="Courier New" w:hAnsi="Courier New" w:cs="Courier New" w:hint="default"/>
      </w:rPr>
    </w:lvl>
    <w:lvl w:ilvl="5" w:tplc="30E8830A" w:tentative="1">
      <w:start w:val="1"/>
      <w:numFmt w:val="bullet"/>
      <w:lvlText w:val=""/>
      <w:lvlJc w:val="left"/>
      <w:pPr>
        <w:ind w:left="4320" w:hanging="360"/>
      </w:pPr>
      <w:rPr>
        <w:rFonts w:ascii="Wingdings" w:hAnsi="Wingdings" w:hint="default"/>
      </w:rPr>
    </w:lvl>
    <w:lvl w:ilvl="6" w:tplc="BE4AAE70" w:tentative="1">
      <w:start w:val="1"/>
      <w:numFmt w:val="bullet"/>
      <w:lvlText w:val=""/>
      <w:lvlJc w:val="left"/>
      <w:pPr>
        <w:ind w:left="5040" w:hanging="360"/>
      </w:pPr>
      <w:rPr>
        <w:rFonts w:ascii="Symbol" w:hAnsi="Symbol" w:hint="default"/>
      </w:rPr>
    </w:lvl>
    <w:lvl w:ilvl="7" w:tplc="6B88C39E" w:tentative="1">
      <w:start w:val="1"/>
      <w:numFmt w:val="bullet"/>
      <w:lvlText w:val="o"/>
      <w:lvlJc w:val="left"/>
      <w:pPr>
        <w:ind w:left="5760" w:hanging="360"/>
      </w:pPr>
      <w:rPr>
        <w:rFonts w:ascii="Courier New" w:hAnsi="Courier New" w:cs="Courier New" w:hint="default"/>
      </w:rPr>
    </w:lvl>
    <w:lvl w:ilvl="8" w:tplc="0D48BD3C" w:tentative="1">
      <w:start w:val="1"/>
      <w:numFmt w:val="bullet"/>
      <w:lvlText w:val=""/>
      <w:lvlJc w:val="left"/>
      <w:pPr>
        <w:ind w:left="6480" w:hanging="360"/>
      </w:pPr>
      <w:rPr>
        <w:rFonts w:ascii="Wingdings" w:hAnsi="Wingdings" w:hint="default"/>
      </w:rPr>
    </w:lvl>
  </w:abstractNum>
  <w:abstractNum w:abstractNumId="24" w15:restartNumberingAfterBreak="0">
    <w:nsid w:val="16432D7A"/>
    <w:multiLevelType w:val="hybridMultilevel"/>
    <w:tmpl w:val="1102E9B2"/>
    <w:lvl w:ilvl="0" w:tplc="3C841E1A">
      <w:numFmt w:val="bullet"/>
      <w:lvlText w:val=""/>
      <w:lvlJc w:val="left"/>
      <w:pPr>
        <w:ind w:left="720" w:hanging="360"/>
      </w:pPr>
      <w:rPr>
        <w:rFonts w:ascii="Symbol" w:eastAsia="SimSun" w:hAnsi="Symbol" w:cs="Times New Roman" w:hint="default"/>
      </w:rPr>
    </w:lvl>
    <w:lvl w:ilvl="1" w:tplc="1742C128" w:tentative="1">
      <w:start w:val="1"/>
      <w:numFmt w:val="bullet"/>
      <w:lvlText w:val="o"/>
      <w:lvlJc w:val="left"/>
      <w:pPr>
        <w:ind w:left="1440" w:hanging="360"/>
      </w:pPr>
      <w:rPr>
        <w:rFonts w:ascii="Courier New" w:hAnsi="Courier New" w:cs="Courier New" w:hint="default"/>
      </w:rPr>
    </w:lvl>
    <w:lvl w:ilvl="2" w:tplc="CD2C9138" w:tentative="1">
      <w:start w:val="1"/>
      <w:numFmt w:val="bullet"/>
      <w:lvlText w:val=""/>
      <w:lvlJc w:val="left"/>
      <w:pPr>
        <w:ind w:left="2160" w:hanging="360"/>
      </w:pPr>
      <w:rPr>
        <w:rFonts w:ascii="Wingdings" w:hAnsi="Wingdings" w:hint="default"/>
      </w:rPr>
    </w:lvl>
    <w:lvl w:ilvl="3" w:tplc="83607690" w:tentative="1">
      <w:start w:val="1"/>
      <w:numFmt w:val="bullet"/>
      <w:lvlText w:val=""/>
      <w:lvlJc w:val="left"/>
      <w:pPr>
        <w:ind w:left="2880" w:hanging="360"/>
      </w:pPr>
      <w:rPr>
        <w:rFonts w:ascii="Symbol" w:hAnsi="Symbol" w:hint="default"/>
      </w:rPr>
    </w:lvl>
    <w:lvl w:ilvl="4" w:tplc="DB6A189A" w:tentative="1">
      <w:start w:val="1"/>
      <w:numFmt w:val="bullet"/>
      <w:lvlText w:val="o"/>
      <w:lvlJc w:val="left"/>
      <w:pPr>
        <w:ind w:left="3600" w:hanging="360"/>
      </w:pPr>
      <w:rPr>
        <w:rFonts w:ascii="Courier New" w:hAnsi="Courier New" w:cs="Courier New" w:hint="default"/>
      </w:rPr>
    </w:lvl>
    <w:lvl w:ilvl="5" w:tplc="170A1FC4" w:tentative="1">
      <w:start w:val="1"/>
      <w:numFmt w:val="bullet"/>
      <w:lvlText w:val=""/>
      <w:lvlJc w:val="left"/>
      <w:pPr>
        <w:ind w:left="4320" w:hanging="360"/>
      </w:pPr>
      <w:rPr>
        <w:rFonts w:ascii="Wingdings" w:hAnsi="Wingdings" w:hint="default"/>
      </w:rPr>
    </w:lvl>
    <w:lvl w:ilvl="6" w:tplc="009A71A8" w:tentative="1">
      <w:start w:val="1"/>
      <w:numFmt w:val="bullet"/>
      <w:lvlText w:val=""/>
      <w:lvlJc w:val="left"/>
      <w:pPr>
        <w:ind w:left="5040" w:hanging="360"/>
      </w:pPr>
      <w:rPr>
        <w:rFonts w:ascii="Symbol" w:hAnsi="Symbol" w:hint="default"/>
      </w:rPr>
    </w:lvl>
    <w:lvl w:ilvl="7" w:tplc="AC941FAE" w:tentative="1">
      <w:start w:val="1"/>
      <w:numFmt w:val="bullet"/>
      <w:lvlText w:val="o"/>
      <w:lvlJc w:val="left"/>
      <w:pPr>
        <w:ind w:left="5760" w:hanging="360"/>
      </w:pPr>
      <w:rPr>
        <w:rFonts w:ascii="Courier New" w:hAnsi="Courier New" w:cs="Courier New" w:hint="default"/>
      </w:rPr>
    </w:lvl>
    <w:lvl w:ilvl="8" w:tplc="C29A3DC6" w:tentative="1">
      <w:start w:val="1"/>
      <w:numFmt w:val="bullet"/>
      <w:lvlText w:val=""/>
      <w:lvlJc w:val="left"/>
      <w:pPr>
        <w:ind w:left="6480" w:hanging="360"/>
      </w:pPr>
      <w:rPr>
        <w:rFonts w:ascii="Wingdings" w:hAnsi="Wingdings" w:hint="default"/>
      </w:rPr>
    </w:lvl>
  </w:abstractNum>
  <w:abstractNum w:abstractNumId="25" w15:restartNumberingAfterBreak="0">
    <w:nsid w:val="1CAC1F91"/>
    <w:multiLevelType w:val="hybridMultilevel"/>
    <w:tmpl w:val="1E5AABE8"/>
    <w:lvl w:ilvl="0" w:tplc="D1320058">
      <w:start w:val="1"/>
      <w:numFmt w:val="decimal"/>
      <w:lvlText w:val="%1."/>
      <w:lvlJc w:val="left"/>
      <w:pPr>
        <w:tabs>
          <w:tab w:val="num" w:pos="570"/>
        </w:tabs>
        <w:ind w:left="570" w:hanging="570"/>
      </w:pPr>
      <w:rPr>
        <w:rFonts w:hint="default"/>
      </w:rPr>
    </w:lvl>
    <w:lvl w:ilvl="1" w:tplc="8DB6ED74">
      <w:start w:val="1"/>
      <w:numFmt w:val="lowerLetter"/>
      <w:lvlText w:val="%2."/>
      <w:lvlJc w:val="left"/>
      <w:pPr>
        <w:tabs>
          <w:tab w:val="num" w:pos="1080"/>
        </w:tabs>
        <w:ind w:left="1080" w:hanging="360"/>
      </w:pPr>
    </w:lvl>
    <w:lvl w:ilvl="2" w:tplc="09484CE0">
      <w:start w:val="1"/>
      <w:numFmt w:val="lowerRoman"/>
      <w:lvlText w:val="%3."/>
      <w:lvlJc w:val="right"/>
      <w:pPr>
        <w:tabs>
          <w:tab w:val="num" w:pos="1800"/>
        </w:tabs>
        <w:ind w:left="1800" w:hanging="180"/>
      </w:pPr>
    </w:lvl>
    <w:lvl w:ilvl="3" w:tplc="860A9C7E">
      <w:start w:val="1"/>
      <w:numFmt w:val="decimal"/>
      <w:lvlText w:val="%4."/>
      <w:lvlJc w:val="left"/>
      <w:pPr>
        <w:tabs>
          <w:tab w:val="num" w:pos="2520"/>
        </w:tabs>
        <w:ind w:left="2520" w:hanging="360"/>
      </w:pPr>
    </w:lvl>
    <w:lvl w:ilvl="4" w:tplc="098451A6">
      <w:start w:val="1"/>
      <w:numFmt w:val="lowerLetter"/>
      <w:lvlText w:val="%5."/>
      <w:lvlJc w:val="left"/>
      <w:pPr>
        <w:tabs>
          <w:tab w:val="num" w:pos="3240"/>
        </w:tabs>
        <w:ind w:left="3240" w:hanging="360"/>
      </w:pPr>
    </w:lvl>
    <w:lvl w:ilvl="5" w:tplc="C778D6A2">
      <w:start w:val="1"/>
      <w:numFmt w:val="lowerRoman"/>
      <w:lvlText w:val="%6."/>
      <w:lvlJc w:val="right"/>
      <w:pPr>
        <w:tabs>
          <w:tab w:val="num" w:pos="3960"/>
        </w:tabs>
        <w:ind w:left="3960" w:hanging="180"/>
      </w:pPr>
    </w:lvl>
    <w:lvl w:ilvl="6" w:tplc="B53084FA">
      <w:start w:val="1"/>
      <w:numFmt w:val="decimal"/>
      <w:lvlText w:val="%7."/>
      <w:lvlJc w:val="left"/>
      <w:pPr>
        <w:tabs>
          <w:tab w:val="num" w:pos="4680"/>
        </w:tabs>
        <w:ind w:left="4680" w:hanging="360"/>
      </w:pPr>
    </w:lvl>
    <w:lvl w:ilvl="7" w:tplc="FFC23882">
      <w:start w:val="1"/>
      <w:numFmt w:val="lowerLetter"/>
      <w:lvlText w:val="%8."/>
      <w:lvlJc w:val="left"/>
      <w:pPr>
        <w:tabs>
          <w:tab w:val="num" w:pos="5400"/>
        </w:tabs>
        <w:ind w:left="5400" w:hanging="360"/>
      </w:pPr>
    </w:lvl>
    <w:lvl w:ilvl="8" w:tplc="618E0798">
      <w:start w:val="1"/>
      <w:numFmt w:val="lowerRoman"/>
      <w:lvlText w:val="%9."/>
      <w:lvlJc w:val="right"/>
      <w:pPr>
        <w:tabs>
          <w:tab w:val="num" w:pos="6120"/>
        </w:tabs>
        <w:ind w:left="6120" w:hanging="180"/>
      </w:pPr>
    </w:lvl>
  </w:abstractNum>
  <w:abstractNum w:abstractNumId="26" w15:restartNumberingAfterBreak="0">
    <w:nsid w:val="20CA249E"/>
    <w:multiLevelType w:val="hybridMultilevel"/>
    <w:tmpl w:val="E52446C4"/>
    <w:lvl w:ilvl="0" w:tplc="B9183FCC">
      <w:start w:val="1"/>
      <w:numFmt w:val="bullet"/>
      <w:lvlText w:val=""/>
      <w:lvlJc w:val="left"/>
      <w:pPr>
        <w:ind w:left="927" w:hanging="360"/>
      </w:pPr>
      <w:rPr>
        <w:rFonts w:ascii="Symbol" w:hAnsi="Symbol" w:hint="default"/>
      </w:rPr>
    </w:lvl>
    <w:lvl w:ilvl="1" w:tplc="FA285C9E" w:tentative="1">
      <w:start w:val="1"/>
      <w:numFmt w:val="bullet"/>
      <w:lvlText w:val="o"/>
      <w:lvlJc w:val="left"/>
      <w:pPr>
        <w:ind w:left="1647" w:hanging="360"/>
      </w:pPr>
      <w:rPr>
        <w:rFonts w:ascii="Courier New" w:hAnsi="Courier New" w:cs="Courier New" w:hint="default"/>
      </w:rPr>
    </w:lvl>
    <w:lvl w:ilvl="2" w:tplc="924E549E" w:tentative="1">
      <w:start w:val="1"/>
      <w:numFmt w:val="bullet"/>
      <w:lvlText w:val=""/>
      <w:lvlJc w:val="left"/>
      <w:pPr>
        <w:ind w:left="2367" w:hanging="360"/>
      </w:pPr>
      <w:rPr>
        <w:rFonts w:ascii="Wingdings" w:hAnsi="Wingdings" w:hint="default"/>
      </w:rPr>
    </w:lvl>
    <w:lvl w:ilvl="3" w:tplc="84229B1C" w:tentative="1">
      <w:start w:val="1"/>
      <w:numFmt w:val="bullet"/>
      <w:lvlText w:val=""/>
      <w:lvlJc w:val="left"/>
      <w:pPr>
        <w:ind w:left="3087" w:hanging="360"/>
      </w:pPr>
      <w:rPr>
        <w:rFonts w:ascii="Symbol" w:hAnsi="Symbol" w:hint="default"/>
      </w:rPr>
    </w:lvl>
    <w:lvl w:ilvl="4" w:tplc="31AE475C" w:tentative="1">
      <w:start w:val="1"/>
      <w:numFmt w:val="bullet"/>
      <w:lvlText w:val="o"/>
      <w:lvlJc w:val="left"/>
      <w:pPr>
        <w:ind w:left="3807" w:hanging="360"/>
      </w:pPr>
      <w:rPr>
        <w:rFonts w:ascii="Courier New" w:hAnsi="Courier New" w:cs="Courier New" w:hint="default"/>
      </w:rPr>
    </w:lvl>
    <w:lvl w:ilvl="5" w:tplc="200CF058" w:tentative="1">
      <w:start w:val="1"/>
      <w:numFmt w:val="bullet"/>
      <w:lvlText w:val=""/>
      <w:lvlJc w:val="left"/>
      <w:pPr>
        <w:ind w:left="4527" w:hanging="360"/>
      </w:pPr>
      <w:rPr>
        <w:rFonts w:ascii="Wingdings" w:hAnsi="Wingdings" w:hint="default"/>
      </w:rPr>
    </w:lvl>
    <w:lvl w:ilvl="6" w:tplc="13E4580C" w:tentative="1">
      <w:start w:val="1"/>
      <w:numFmt w:val="bullet"/>
      <w:lvlText w:val=""/>
      <w:lvlJc w:val="left"/>
      <w:pPr>
        <w:ind w:left="5247" w:hanging="360"/>
      </w:pPr>
      <w:rPr>
        <w:rFonts w:ascii="Symbol" w:hAnsi="Symbol" w:hint="default"/>
      </w:rPr>
    </w:lvl>
    <w:lvl w:ilvl="7" w:tplc="4E8A6010" w:tentative="1">
      <w:start w:val="1"/>
      <w:numFmt w:val="bullet"/>
      <w:lvlText w:val="o"/>
      <w:lvlJc w:val="left"/>
      <w:pPr>
        <w:ind w:left="5967" w:hanging="360"/>
      </w:pPr>
      <w:rPr>
        <w:rFonts w:ascii="Courier New" w:hAnsi="Courier New" w:cs="Courier New" w:hint="default"/>
      </w:rPr>
    </w:lvl>
    <w:lvl w:ilvl="8" w:tplc="B38C9EE8" w:tentative="1">
      <w:start w:val="1"/>
      <w:numFmt w:val="bullet"/>
      <w:lvlText w:val=""/>
      <w:lvlJc w:val="left"/>
      <w:pPr>
        <w:ind w:left="6687" w:hanging="360"/>
      </w:pPr>
      <w:rPr>
        <w:rFonts w:ascii="Wingdings" w:hAnsi="Wingdings" w:hint="default"/>
      </w:rPr>
    </w:lvl>
  </w:abstractNum>
  <w:abstractNum w:abstractNumId="27" w15:restartNumberingAfterBreak="0">
    <w:nsid w:val="237456D0"/>
    <w:multiLevelType w:val="multilevel"/>
    <w:tmpl w:val="89261584"/>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245E7465"/>
    <w:multiLevelType w:val="hybridMultilevel"/>
    <w:tmpl w:val="550865E0"/>
    <w:lvl w:ilvl="0" w:tplc="116015B8">
      <w:start w:val="1"/>
      <w:numFmt w:val="bullet"/>
      <w:lvlText w:val=""/>
      <w:lvlJc w:val="left"/>
      <w:pPr>
        <w:tabs>
          <w:tab w:val="num" w:pos="360"/>
        </w:tabs>
        <w:ind w:left="360" w:hanging="360"/>
      </w:pPr>
      <w:rPr>
        <w:rFonts w:ascii="Symbol" w:hAnsi="Symbol" w:cs="Symbol" w:hint="default"/>
        <w:color w:val="auto"/>
        <w:sz w:val="20"/>
        <w:szCs w:val="20"/>
      </w:rPr>
    </w:lvl>
    <w:lvl w:ilvl="1" w:tplc="B9242458">
      <w:start w:val="1"/>
      <w:numFmt w:val="bullet"/>
      <w:lvlText w:val="o"/>
      <w:lvlJc w:val="left"/>
      <w:pPr>
        <w:tabs>
          <w:tab w:val="num" w:pos="1440"/>
        </w:tabs>
        <w:ind w:left="1440" w:hanging="360"/>
      </w:pPr>
      <w:rPr>
        <w:rFonts w:ascii="Courier New" w:hAnsi="Courier New" w:cs="Courier New" w:hint="default"/>
      </w:rPr>
    </w:lvl>
    <w:lvl w:ilvl="2" w:tplc="9B0EE8D8">
      <w:start w:val="1"/>
      <w:numFmt w:val="bullet"/>
      <w:lvlText w:val=""/>
      <w:lvlJc w:val="left"/>
      <w:pPr>
        <w:tabs>
          <w:tab w:val="num" w:pos="2160"/>
        </w:tabs>
        <w:ind w:left="2160" w:hanging="360"/>
      </w:pPr>
      <w:rPr>
        <w:rFonts w:ascii="Wingdings" w:hAnsi="Wingdings" w:cs="Wingdings" w:hint="default"/>
      </w:rPr>
    </w:lvl>
    <w:lvl w:ilvl="3" w:tplc="5B9E4A3A">
      <w:start w:val="1"/>
      <w:numFmt w:val="bullet"/>
      <w:lvlText w:val=""/>
      <w:lvlJc w:val="left"/>
      <w:pPr>
        <w:tabs>
          <w:tab w:val="num" w:pos="2880"/>
        </w:tabs>
        <w:ind w:left="2880" w:hanging="360"/>
      </w:pPr>
      <w:rPr>
        <w:rFonts w:ascii="Symbol" w:hAnsi="Symbol" w:cs="Symbol" w:hint="default"/>
      </w:rPr>
    </w:lvl>
    <w:lvl w:ilvl="4" w:tplc="1FCA085A">
      <w:start w:val="1"/>
      <w:numFmt w:val="bullet"/>
      <w:lvlText w:val="o"/>
      <w:lvlJc w:val="left"/>
      <w:pPr>
        <w:tabs>
          <w:tab w:val="num" w:pos="3600"/>
        </w:tabs>
        <w:ind w:left="3600" w:hanging="360"/>
      </w:pPr>
      <w:rPr>
        <w:rFonts w:ascii="Courier New" w:hAnsi="Courier New" w:cs="Courier New" w:hint="default"/>
      </w:rPr>
    </w:lvl>
    <w:lvl w:ilvl="5" w:tplc="E4E81432">
      <w:start w:val="1"/>
      <w:numFmt w:val="bullet"/>
      <w:lvlText w:val=""/>
      <w:lvlJc w:val="left"/>
      <w:pPr>
        <w:tabs>
          <w:tab w:val="num" w:pos="4320"/>
        </w:tabs>
        <w:ind w:left="4320" w:hanging="360"/>
      </w:pPr>
      <w:rPr>
        <w:rFonts w:ascii="Wingdings" w:hAnsi="Wingdings" w:cs="Wingdings" w:hint="default"/>
      </w:rPr>
    </w:lvl>
    <w:lvl w:ilvl="6" w:tplc="01EAE94C">
      <w:start w:val="1"/>
      <w:numFmt w:val="bullet"/>
      <w:lvlText w:val=""/>
      <w:lvlJc w:val="left"/>
      <w:pPr>
        <w:tabs>
          <w:tab w:val="num" w:pos="5040"/>
        </w:tabs>
        <w:ind w:left="5040" w:hanging="360"/>
      </w:pPr>
      <w:rPr>
        <w:rFonts w:ascii="Symbol" w:hAnsi="Symbol" w:cs="Symbol" w:hint="default"/>
      </w:rPr>
    </w:lvl>
    <w:lvl w:ilvl="7" w:tplc="87C287C0">
      <w:start w:val="1"/>
      <w:numFmt w:val="bullet"/>
      <w:lvlText w:val="o"/>
      <w:lvlJc w:val="left"/>
      <w:pPr>
        <w:tabs>
          <w:tab w:val="num" w:pos="5760"/>
        </w:tabs>
        <w:ind w:left="5760" w:hanging="360"/>
      </w:pPr>
      <w:rPr>
        <w:rFonts w:ascii="Courier New" w:hAnsi="Courier New" w:cs="Courier New" w:hint="default"/>
      </w:rPr>
    </w:lvl>
    <w:lvl w:ilvl="8" w:tplc="3AE4AC1C">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26E2602B"/>
    <w:multiLevelType w:val="hybridMultilevel"/>
    <w:tmpl w:val="54A6E284"/>
    <w:lvl w:ilvl="0" w:tplc="96F81B0A">
      <w:start w:val="1"/>
      <w:numFmt w:val="bullet"/>
      <w:lvlText w:val=""/>
      <w:lvlJc w:val="left"/>
      <w:pPr>
        <w:tabs>
          <w:tab w:val="num" w:pos="360"/>
        </w:tabs>
        <w:ind w:left="360" w:hanging="360"/>
      </w:pPr>
      <w:rPr>
        <w:rFonts w:ascii="Symbol" w:hAnsi="Symbol" w:cs="Symbol" w:hint="default"/>
        <w:color w:val="auto"/>
        <w:sz w:val="20"/>
        <w:szCs w:val="20"/>
      </w:rPr>
    </w:lvl>
    <w:lvl w:ilvl="1" w:tplc="BC22D8FA">
      <w:start w:val="1"/>
      <w:numFmt w:val="bullet"/>
      <w:lvlText w:val="o"/>
      <w:lvlJc w:val="left"/>
      <w:pPr>
        <w:tabs>
          <w:tab w:val="num" w:pos="1440"/>
        </w:tabs>
        <w:ind w:left="1440" w:hanging="360"/>
      </w:pPr>
      <w:rPr>
        <w:rFonts w:ascii="Courier New" w:hAnsi="Courier New" w:cs="Courier New" w:hint="default"/>
      </w:rPr>
    </w:lvl>
    <w:lvl w:ilvl="2" w:tplc="8888712A">
      <w:start w:val="1"/>
      <w:numFmt w:val="bullet"/>
      <w:lvlText w:val=""/>
      <w:lvlJc w:val="left"/>
      <w:pPr>
        <w:tabs>
          <w:tab w:val="num" w:pos="2160"/>
        </w:tabs>
        <w:ind w:left="2160" w:hanging="360"/>
      </w:pPr>
      <w:rPr>
        <w:rFonts w:ascii="Wingdings" w:hAnsi="Wingdings" w:cs="Wingdings" w:hint="default"/>
      </w:rPr>
    </w:lvl>
    <w:lvl w:ilvl="3" w:tplc="B4023278">
      <w:start w:val="1"/>
      <w:numFmt w:val="bullet"/>
      <w:lvlText w:val=""/>
      <w:lvlJc w:val="left"/>
      <w:pPr>
        <w:tabs>
          <w:tab w:val="num" w:pos="2880"/>
        </w:tabs>
        <w:ind w:left="2880" w:hanging="360"/>
      </w:pPr>
      <w:rPr>
        <w:rFonts w:ascii="Symbol" w:hAnsi="Symbol" w:cs="Symbol" w:hint="default"/>
      </w:rPr>
    </w:lvl>
    <w:lvl w:ilvl="4" w:tplc="A5B49C1A">
      <w:start w:val="1"/>
      <w:numFmt w:val="bullet"/>
      <w:lvlText w:val="o"/>
      <w:lvlJc w:val="left"/>
      <w:pPr>
        <w:tabs>
          <w:tab w:val="num" w:pos="3600"/>
        </w:tabs>
        <w:ind w:left="3600" w:hanging="360"/>
      </w:pPr>
      <w:rPr>
        <w:rFonts w:ascii="Courier New" w:hAnsi="Courier New" w:cs="Courier New" w:hint="default"/>
      </w:rPr>
    </w:lvl>
    <w:lvl w:ilvl="5" w:tplc="0906A98A">
      <w:start w:val="1"/>
      <w:numFmt w:val="bullet"/>
      <w:lvlText w:val=""/>
      <w:lvlJc w:val="left"/>
      <w:pPr>
        <w:tabs>
          <w:tab w:val="num" w:pos="4320"/>
        </w:tabs>
        <w:ind w:left="4320" w:hanging="360"/>
      </w:pPr>
      <w:rPr>
        <w:rFonts w:ascii="Wingdings" w:hAnsi="Wingdings" w:cs="Wingdings" w:hint="default"/>
      </w:rPr>
    </w:lvl>
    <w:lvl w:ilvl="6" w:tplc="BFCC9B98">
      <w:start w:val="1"/>
      <w:numFmt w:val="bullet"/>
      <w:lvlText w:val=""/>
      <w:lvlJc w:val="left"/>
      <w:pPr>
        <w:tabs>
          <w:tab w:val="num" w:pos="5040"/>
        </w:tabs>
        <w:ind w:left="5040" w:hanging="360"/>
      </w:pPr>
      <w:rPr>
        <w:rFonts w:ascii="Symbol" w:hAnsi="Symbol" w:cs="Symbol" w:hint="default"/>
      </w:rPr>
    </w:lvl>
    <w:lvl w:ilvl="7" w:tplc="AC942CF4">
      <w:start w:val="1"/>
      <w:numFmt w:val="bullet"/>
      <w:lvlText w:val="o"/>
      <w:lvlJc w:val="left"/>
      <w:pPr>
        <w:tabs>
          <w:tab w:val="num" w:pos="5760"/>
        </w:tabs>
        <w:ind w:left="5760" w:hanging="360"/>
      </w:pPr>
      <w:rPr>
        <w:rFonts w:ascii="Courier New" w:hAnsi="Courier New" w:cs="Courier New" w:hint="default"/>
      </w:rPr>
    </w:lvl>
    <w:lvl w:ilvl="8" w:tplc="EA4854EC">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2A9310E4"/>
    <w:multiLevelType w:val="hybridMultilevel"/>
    <w:tmpl w:val="589499C2"/>
    <w:lvl w:ilvl="0" w:tplc="C46C0EF0">
      <w:start w:val="1"/>
      <w:numFmt w:val="bullet"/>
      <w:lvlText w:val=""/>
      <w:lvlJc w:val="left"/>
      <w:pPr>
        <w:ind w:left="360" w:hanging="360"/>
      </w:pPr>
      <w:rPr>
        <w:rFonts w:ascii="Symbol" w:hAnsi="Symbol" w:hint="default"/>
      </w:rPr>
    </w:lvl>
    <w:lvl w:ilvl="1" w:tplc="900EE0A8" w:tentative="1">
      <w:start w:val="1"/>
      <w:numFmt w:val="bullet"/>
      <w:lvlText w:val="o"/>
      <w:lvlJc w:val="left"/>
      <w:pPr>
        <w:ind w:left="1080" w:hanging="360"/>
      </w:pPr>
      <w:rPr>
        <w:rFonts w:ascii="Courier New" w:hAnsi="Courier New" w:cs="Courier New" w:hint="default"/>
      </w:rPr>
    </w:lvl>
    <w:lvl w:ilvl="2" w:tplc="10A00C08" w:tentative="1">
      <w:start w:val="1"/>
      <w:numFmt w:val="bullet"/>
      <w:lvlText w:val=""/>
      <w:lvlJc w:val="left"/>
      <w:pPr>
        <w:ind w:left="1800" w:hanging="360"/>
      </w:pPr>
      <w:rPr>
        <w:rFonts w:ascii="Wingdings" w:hAnsi="Wingdings" w:hint="default"/>
      </w:rPr>
    </w:lvl>
    <w:lvl w:ilvl="3" w:tplc="E786B118" w:tentative="1">
      <w:start w:val="1"/>
      <w:numFmt w:val="bullet"/>
      <w:lvlText w:val=""/>
      <w:lvlJc w:val="left"/>
      <w:pPr>
        <w:ind w:left="2520" w:hanging="360"/>
      </w:pPr>
      <w:rPr>
        <w:rFonts w:ascii="Symbol" w:hAnsi="Symbol" w:hint="default"/>
      </w:rPr>
    </w:lvl>
    <w:lvl w:ilvl="4" w:tplc="56A0A268" w:tentative="1">
      <w:start w:val="1"/>
      <w:numFmt w:val="bullet"/>
      <w:lvlText w:val="o"/>
      <w:lvlJc w:val="left"/>
      <w:pPr>
        <w:ind w:left="3240" w:hanging="360"/>
      </w:pPr>
      <w:rPr>
        <w:rFonts w:ascii="Courier New" w:hAnsi="Courier New" w:cs="Courier New" w:hint="default"/>
      </w:rPr>
    </w:lvl>
    <w:lvl w:ilvl="5" w:tplc="E8CA4E56" w:tentative="1">
      <w:start w:val="1"/>
      <w:numFmt w:val="bullet"/>
      <w:lvlText w:val=""/>
      <w:lvlJc w:val="left"/>
      <w:pPr>
        <w:ind w:left="3960" w:hanging="360"/>
      </w:pPr>
      <w:rPr>
        <w:rFonts w:ascii="Wingdings" w:hAnsi="Wingdings" w:hint="default"/>
      </w:rPr>
    </w:lvl>
    <w:lvl w:ilvl="6" w:tplc="ADE4AA64" w:tentative="1">
      <w:start w:val="1"/>
      <w:numFmt w:val="bullet"/>
      <w:lvlText w:val=""/>
      <w:lvlJc w:val="left"/>
      <w:pPr>
        <w:ind w:left="4680" w:hanging="360"/>
      </w:pPr>
      <w:rPr>
        <w:rFonts w:ascii="Symbol" w:hAnsi="Symbol" w:hint="default"/>
      </w:rPr>
    </w:lvl>
    <w:lvl w:ilvl="7" w:tplc="556ED482" w:tentative="1">
      <w:start w:val="1"/>
      <w:numFmt w:val="bullet"/>
      <w:lvlText w:val="o"/>
      <w:lvlJc w:val="left"/>
      <w:pPr>
        <w:ind w:left="5400" w:hanging="360"/>
      </w:pPr>
      <w:rPr>
        <w:rFonts w:ascii="Courier New" w:hAnsi="Courier New" w:cs="Courier New" w:hint="default"/>
      </w:rPr>
    </w:lvl>
    <w:lvl w:ilvl="8" w:tplc="233E52AA" w:tentative="1">
      <w:start w:val="1"/>
      <w:numFmt w:val="bullet"/>
      <w:lvlText w:val=""/>
      <w:lvlJc w:val="left"/>
      <w:pPr>
        <w:ind w:left="6120" w:hanging="360"/>
      </w:pPr>
      <w:rPr>
        <w:rFonts w:ascii="Wingdings" w:hAnsi="Wingdings" w:hint="default"/>
      </w:rPr>
    </w:lvl>
  </w:abstractNum>
  <w:abstractNum w:abstractNumId="31" w15:restartNumberingAfterBreak="0">
    <w:nsid w:val="2AC15AEF"/>
    <w:multiLevelType w:val="multilevel"/>
    <w:tmpl w:val="9B0A7166"/>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2E541609"/>
    <w:multiLevelType w:val="hybridMultilevel"/>
    <w:tmpl w:val="1E5AABE8"/>
    <w:lvl w:ilvl="0" w:tplc="A2669A62">
      <w:start w:val="1"/>
      <w:numFmt w:val="decimal"/>
      <w:lvlText w:val="%1."/>
      <w:lvlJc w:val="left"/>
      <w:pPr>
        <w:tabs>
          <w:tab w:val="num" w:pos="570"/>
        </w:tabs>
        <w:ind w:left="570" w:hanging="570"/>
      </w:pPr>
      <w:rPr>
        <w:rFonts w:hint="default"/>
      </w:rPr>
    </w:lvl>
    <w:lvl w:ilvl="1" w:tplc="296EAF2E">
      <w:start w:val="1"/>
      <w:numFmt w:val="lowerLetter"/>
      <w:lvlText w:val="%2."/>
      <w:lvlJc w:val="left"/>
      <w:pPr>
        <w:tabs>
          <w:tab w:val="num" w:pos="1080"/>
        </w:tabs>
        <w:ind w:left="1080" w:hanging="360"/>
      </w:pPr>
    </w:lvl>
    <w:lvl w:ilvl="2" w:tplc="1BC493A0">
      <w:start w:val="1"/>
      <w:numFmt w:val="lowerRoman"/>
      <w:lvlText w:val="%3."/>
      <w:lvlJc w:val="right"/>
      <w:pPr>
        <w:tabs>
          <w:tab w:val="num" w:pos="1800"/>
        </w:tabs>
        <w:ind w:left="1800" w:hanging="180"/>
      </w:pPr>
    </w:lvl>
    <w:lvl w:ilvl="3" w:tplc="C85636AC">
      <w:start w:val="1"/>
      <w:numFmt w:val="decimal"/>
      <w:lvlText w:val="%4."/>
      <w:lvlJc w:val="left"/>
      <w:pPr>
        <w:tabs>
          <w:tab w:val="num" w:pos="2520"/>
        </w:tabs>
        <w:ind w:left="2520" w:hanging="360"/>
      </w:pPr>
    </w:lvl>
    <w:lvl w:ilvl="4" w:tplc="DD162A8A">
      <w:start w:val="1"/>
      <w:numFmt w:val="lowerLetter"/>
      <w:lvlText w:val="%5."/>
      <w:lvlJc w:val="left"/>
      <w:pPr>
        <w:tabs>
          <w:tab w:val="num" w:pos="3240"/>
        </w:tabs>
        <w:ind w:left="3240" w:hanging="360"/>
      </w:pPr>
    </w:lvl>
    <w:lvl w:ilvl="5" w:tplc="764A8734">
      <w:start w:val="1"/>
      <w:numFmt w:val="lowerRoman"/>
      <w:lvlText w:val="%6."/>
      <w:lvlJc w:val="right"/>
      <w:pPr>
        <w:tabs>
          <w:tab w:val="num" w:pos="3960"/>
        </w:tabs>
        <w:ind w:left="3960" w:hanging="180"/>
      </w:pPr>
    </w:lvl>
    <w:lvl w:ilvl="6" w:tplc="6CFA54E4">
      <w:start w:val="1"/>
      <w:numFmt w:val="decimal"/>
      <w:lvlText w:val="%7."/>
      <w:lvlJc w:val="left"/>
      <w:pPr>
        <w:tabs>
          <w:tab w:val="num" w:pos="4680"/>
        </w:tabs>
        <w:ind w:left="4680" w:hanging="360"/>
      </w:pPr>
    </w:lvl>
    <w:lvl w:ilvl="7" w:tplc="05C6FF42">
      <w:start w:val="1"/>
      <w:numFmt w:val="lowerLetter"/>
      <w:lvlText w:val="%8."/>
      <w:lvlJc w:val="left"/>
      <w:pPr>
        <w:tabs>
          <w:tab w:val="num" w:pos="5400"/>
        </w:tabs>
        <w:ind w:left="5400" w:hanging="360"/>
      </w:pPr>
    </w:lvl>
    <w:lvl w:ilvl="8" w:tplc="21DC72B4">
      <w:start w:val="1"/>
      <w:numFmt w:val="lowerRoman"/>
      <w:lvlText w:val="%9."/>
      <w:lvlJc w:val="right"/>
      <w:pPr>
        <w:tabs>
          <w:tab w:val="num" w:pos="6120"/>
        </w:tabs>
        <w:ind w:left="6120" w:hanging="180"/>
      </w:pPr>
    </w:lvl>
  </w:abstractNum>
  <w:abstractNum w:abstractNumId="33" w15:restartNumberingAfterBreak="0">
    <w:nsid w:val="314C7FEF"/>
    <w:multiLevelType w:val="multilevel"/>
    <w:tmpl w:val="0464DEC8"/>
    <w:lvl w:ilvl="0">
      <w:start w:val="5"/>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345E3B90"/>
    <w:multiLevelType w:val="hybridMultilevel"/>
    <w:tmpl w:val="68307D08"/>
    <w:lvl w:ilvl="0" w:tplc="1F9CFA3C">
      <w:start w:val="1"/>
      <w:numFmt w:val="bullet"/>
      <w:lvlText w:val=""/>
      <w:lvlPicBulletId w:val="0"/>
      <w:lvlJc w:val="left"/>
      <w:pPr>
        <w:tabs>
          <w:tab w:val="num" w:pos="720"/>
        </w:tabs>
        <w:ind w:left="720" w:hanging="360"/>
      </w:pPr>
      <w:rPr>
        <w:rFonts w:ascii="Symbol" w:hAnsi="Symbol" w:hint="default"/>
      </w:rPr>
    </w:lvl>
    <w:lvl w:ilvl="1" w:tplc="5394AFAC">
      <w:start w:val="1"/>
      <w:numFmt w:val="bullet"/>
      <w:lvlText w:val=""/>
      <w:lvlJc w:val="left"/>
      <w:pPr>
        <w:tabs>
          <w:tab w:val="num" w:pos="1440"/>
        </w:tabs>
        <w:ind w:left="1440" w:hanging="360"/>
      </w:pPr>
      <w:rPr>
        <w:rFonts w:ascii="Symbol" w:hAnsi="Symbol" w:hint="default"/>
      </w:rPr>
    </w:lvl>
    <w:lvl w:ilvl="2" w:tplc="FFDE9E18" w:tentative="1">
      <w:start w:val="1"/>
      <w:numFmt w:val="bullet"/>
      <w:lvlText w:val=""/>
      <w:lvlJc w:val="left"/>
      <w:pPr>
        <w:tabs>
          <w:tab w:val="num" w:pos="2160"/>
        </w:tabs>
        <w:ind w:left="2160" w:hanging="360"/>
      </w:pPr>
      <w:rPr>
        <w:rFonts w:ascii="Symbol" w:hAnsi="Symbol" w:hint="default"/>
      </w:rPr>
    </w:lvl>
    <w:lvl w:ilvl="3" w:tplc="88E64170" w:tentative="1">
      <w:start w:val="1"/>
      <w:numFmt w:val="bullet"/>
      <w:lvlText w:val=""/>
      <w:lvlJc w:val="left"/>
      <w:pPr>
        <w:tabs>
          <w:tab w:val="num" w:pos="2880"/>
        </w:tabs>
        <w:ind w:left="2880" w:hanging="360"/>
      </w:pPr>
      <w:rPr>
        <w:rFonts w:ascii="Symbol" w:hAnsi="Symbol" w:hint="default"/>
      </w:rPr>
    </w:lvl>
    <w:lvl w:ilvl="4" w:tplc="BF9076B2" w:tentative="1">
      <w:start w:val="1"/>
      <w:numFmt w:val="bullet"/>
      <w:lvlText w:val=""/>
      <w:lvlJc w:val="left"/>
      <w:pPr>
        <w:tabs>
          <w:tab w:val="num" w:pos="3600"/>
        </w:tabs>
        <w:ind w:left="3600" w:hanging="360"/>
      </w:pPr>
      <w:rPr>
        <w:rFonts w:ascii="Symbol" w:hAnsi="Symbol" w:hint="default"/>
      </w:rPr>
    </w:lvl>
    <w:lvl w:ilvl="5" w:tplc="2AC4122A" w:tentative="1">
      <w:start w:val="1"/>
      <w:numFmt w:val="bullet"/>
      <w:lvlText w:val=""/>
      <w:lvlJc w:val="left"/>
      <w:pPr>
        <w:tabs>
          <w:tab w:val="num" w:pos="4320"/>
        </w:tabs>
        <w:ind w:left="4320" w:hanging="360"/>
      </w:pPr>
      <w:rPr>
        <w:rFonts w:ascii="Symbol" w:hAnsi="Symbol" w:hint="default"/>
      </w:rPr>
    </w:lvl>
    <w:lvl w:ilvl="6" w:tplc="3084817C" w:tentative="1">
      <w:start w:val="1"/>
      <w:numFmt w:val="bullet"/>
      <w:lvlText w:val=""/>
      <w:lvlJc w:val="left"/>
      <w:pPr>
        <w:tabs>
          <w:tab w:val="num" w:pos="5040"/>
        </w:tabs>
        <w:ind w:left="5040" w:hanging="360"/>
      </w:pPr>
      <w:rPr>
        <w:rFonts w:ascii="Symbol" w:hAnsi="Symbol" w:hint="default"/>
      </w:rPr>
    </w:lvl>
    <w:lvl w:ilvl="7" w:tplc="D59071AC" w:tentative="1">
      <w:start w:val="1"/>
      <w:numFmt w:val="bullet"/>
      <w:lvlText w:val=""/>
      <w:lvlJc w:val="left"/>
      <w:pPr>
        <w:tabs>
          <w:tab w:val="num" w:pos="5760"/>
        </w:tabs>
        <w:ind w:left="5760" w:hanging="360"/>
      </w:pPr>
      <w:rPr>
        <w:rFonts w:ascii="Symbol" w:hAnsi="Symbol" w:hint="default"/>
      </w:rPr>
    </w:lvl>
    <w:lvl w:ilvl="8" w:tplc="489C0740"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35A77DC6"/>
    <w:multiLevelType w:val="hybridMultilevel"/>
    <w:tmpl w:val="D84A3156"/>
    <w:lvl w:ilvl="0" w:tplc="21F4FFD6">
      <w:start w:val="3"/>
      <w:numFmt w:val="decimal"/>
      <w:lvlText w:val="%1."/>
      <w:lvlJc w:val="left"/>
      <w:pPr>
        <w:tabs>
          <w:tab w:val="num" w:pos="660"/>
        </w:tabs>
        <w:ind w:left="660" w:hanging="570"/>
      </w:pPr>
      <w:rPr>
        <w:rFonts w:hint="default"/>
      </w:rPr>
    </w:lvl>
    <w:lvl w:ilvl="1" w:tplc="7EC81F40" w:tentative="1">
      <w:start w:val="1"/>
      <w:numFmt w:val="lowerLetter"/>
      <w:lvlText w:val="%2."/>
      <w:lvlJc w:val="left"/>
      <w:pPr>
        <w:ind w:left="1440" w:hanging="360"/>
      </w:pPr>
    </w:lvl>
    <w:lvl w:ilvl="2" w:tplc="59FEC316" w:tentative="1">
      <w:start w:val="1"/>
      <w:numFmt w:val="lowerRoman"/>
      <w:lvlText w:val="%3."/>
      <w:lvlJc w:val="right"/>
      <w:pPr>
        <w:ind w:left="2160" w:hanging="180"/>
      </w:pPr>
    </w:lvl>
    <w:lvl w:ilvl="3" w:tplc="C1A09C06" w:tentative="1">
      <w:start w:val="1"/>
      <w:numFmt w:val="decimal"/>
      <w:lvlText w:val="%4."/>
      <w:lvlJc w:val="left"/>
      <w:pPr>
        <w:ind w:left="2880" w:hanging="360"/>
      </w:pPr>
    </w:lvl>
    <w:lvl w:ilvl="4" w:tplc="F9FAB050" w:tentative="1">
      <w:start w:val="1"/>
      <w:numFmt w:val="lowerLetter"/>
      <w:lvlText w:val="%5."/>
      <w:lvlJc w:val="left"/>
      <w:pPr>
        <w:ind w:left="3600" w:hanging="360"/>
      </w:pPr>
    </w:lvl>
    <w:lvl w:ilvl="5" w:tplc="5B0C53D8" w:tentative="1">
      <w:start w:val="1"/>
      <w:numFmt w:val="lowerRoman"/>
      <w:lvlText w:val="%6."/>
      <w:lvlJc w:val="right"/>
      <w:pPr>
        <w:ind w:left="4320" w:hanging="180"/>
      </w:pPr>
    </w:lvl>
    <w:lvl w:ilvl="6" w:tplc="0E0AF9CA" w:tentative="1">
      <w:start w:val="1"/>
      <w:numFmt w:val="decimal"/>
      <w:lvlText w:val="%7."/>
      <w:lvlJc w:val="left"/>
      <w:pPr>
        <w:ind w:left="5040" w:hanging="360"/>
      </w:pPr>
    </w:lvl>
    <w:lvl w:ilvl="7" w:tplc="7472D178" w:tentative="1">
      <w:start w:val="1"/>
      <w:numFmt w:val="lowerLetter"/>
      <w:lvlText w:val="%8."/>
      <w:lvlJc w:val="left"/>
      <w:pPr>
        <w:ind w:left="5760" w:hanging="360"/>
      </w:pPr>
    </w:lvl>
    <w:lvl w:ilvl="8" w:tplc="74D22A50" w:tentative="1">
      <w:start w:val="1"/>
      <w:numFmt w:val="lowerRoman"/>
      <w:lvlText w:val="%9."/>
      <w:lvlJc w:val="right"/>
      <w:pPr>
        <w:ind w:left="6480" w:hanging="180"/>
      </w:pPr>
    </w:lvl>
  </w:abstractNum>
  <w:abstractNum w:abstractNumId="36" w15:restartNumberingAfterBreak="0">
    <w:nsid w:val="3C1F36DE"/>
    <w:multiLevelType w:val="hybridMultilevel"/>
    <w:tmpl w:val="6C58CFF0"/>
    <w:lvl w:ilvl="0" w:tplc="F8B6F6CC">
      <w:start w:val="1"/>
      <w:numFmt w:val="decimal"/>
      <w:lvlText w:val="%1."/>
      <w:lvlJc w:val="left"/>
      <w:pPr>
        <w:ind w:left="720" w:hanging="360"/>
      </w:pPr>
      <w:rPr>
        <w:rFonts w:hint="default"/>
      </w:rPr>
    </w:lvl>
    <w:lvl w:ilvl="1" w:tplc="945E4BCC" w:tentative="1">
      <w:start w:val="1"/>
      <w:numFmt w:val="lowerLetter"/>
      <w:lvlText w:val="%2."/>
      <w:lvlJc w:val="left"/>
      <w:pPr>
        <w:ind w:left="1440" w:hanging="360"/>
      </w:pPr>
    </w:lvl>
    <w:lvl w:ilvl="2" w:tplc="2CC602FA" w:tentative="1">
      <w:start w:val="1"/>
      <w:numFmt w:val="lowerRoman"/>
      <w:lvlText w:val="%3."/>
      <w:lvlJc w:val="right"/>
      <w:pPr>
        <w:ind w:left="2160" w:hanging="180"/>
      </w:pPr>
    </w:lvl>
    <w:lvl w:ilvl="3" w:tplc="6C628238" w:tentative="1">
      <w:start w:val="1"/>
      <w:numFmt w:val="decimal"/>
      <w:lvlText w:val="%4."/>
      <w:lvlJc w:val="left"/>
      <w:pPr>
        <w:ind w:left="2880" w:hanging="360"/>
      </w:pPr>
    </w:lvl>
    <w:lvl w:ilvl="4" w:tplc="022A5C94" w:tentative="1">
      <w:start w:val="1"/>
      <w:numFmt w:val="lowerLetter"/>
      <w:lvlText w:val="%5."/>
      <w:lvlJc w:val="left"/>
      <w:pPr>
        <w:ind w:left="3600" w:hanging="360"/>
      </w:pPr>
    </w:lvl>
    <w:lvl w:ilvl="5" w:tplc="FD32131A" w:tentative="1">
      <w:start w:val="1"/>
      <w:numFmt w:val="lowerRoman"/>
      <w:lvlText w:val="%6."/>
      <w:lvlJc w:val="right"/>
      <w:pPr>
        <w:ind w:left="4320" w:hanging="180"/>
      </w:pPr>
    </w:lvl>
    <w:lvl w:ilvl="6" w:tplc="3E8C04B4" w:tentative="1">
      <w:start w:val="1"/>
      <w:numFmt w:val="decimal"/>
      <w:lvlText w:val="%7."/>
      <w:lvlJc w:val="left"/>
      <w:pPr>
        <w:ind w:left="5040" w:hanging="360"/>
      </w:pPr>
    </w:lvl>
    <w:lvl w:ilvl="7" w:tplc="C78A92C6" w:tentative="1">
      <w:start w:val="1"/>
      <w:numFmt w:val="lowerLetter"/>
      <w:lvlText w:val="%8."/>
      <w:lvlJc w:val="left"/>
      <w:pPr>
        <w:ind w:left="5760" w:hanging="360"/>
      </w:pPr>
    </w:lvl>
    <w:lvl w:ilvl="8" w:tplc="1C762A6E" w:tentative="1">
      <w:start w:val="1"/>
      <w:numFmt w:val="lowerRoman"/>
      <w:lvlText w:val="%9."/>
      <w:lvlJc w:val="right"/>
      <w:pPr>
        <w:ind w:left="6480" w:hanging="180"/>
      </w:pPr>
    </w:lvl>
  </w:abstractNum>
  <w:abstractNum w:abstractNumId="37" w15:restartNumberingAfterBreak="0">
    <w:nsid w:val="3D4536B2"/>
    <w:multiLevelType w:val="hybridMultilevel"/>
    <w:tmpl w:val="C1E876B6"/>
    <w:lvl w:ilvl="0" w:tplc="6730FC50">
      <w:start w:val="1"/>
      <w:numFmt w:val="bullet"/>
      <w:lvlText w:val=""/>
      <w:lvlJc w:val="left"/>
      <w:pPr>
        <w:tabs>
          <w:tab w:val="num" w:pos="360"/>
        </w:tabs>
        <w:ind w:left="360" w:hanging="360"/>
      </w:pPr>
      <w:rPr>
        <w:rFonts w:ascii="Symbol" w:hAnsi="Symbol" w:cs="Symbol" w:hint="default"/>
        <w:sz w:val="16"/>
        <w:szCs w:val="16"/>
      </w:rPr>
    </w:lvl>
    <w:lvl w:ilvl="1" w:tplc="28743AE4">
      <w:start w:val="1"/>
      <w:numFmt w:val="bullet"/>
      <w:lvlText w:val="o"/>
      <w:lvlJc w:val="left"/>
      <w:pPr>
        <w:tabs>
          <w:tab w:val="num" w:pos="1440"/>
        </w:tabs>
        <w:ind w:left="1440" w:hanging="360"/>
      </w:pPr>
      <w:rPr>
        <w:rFonts w:ascii="Courier New" w:hAnsi="Courier New" w:cs="Courier New" w:hint="default"/>
      </w:rPr>
    </w:lvl>
    <w:lvl w:ilvl="2" w:tplc="919EE13C">
      <w:start w:val="1"/>
      <w:numFmt w:val="bullet"/>
      <w:lvlText w:val=""/>
      <w:lvlJc w:val="left"/>
      <w:pPr>
        <w:tabs>
          <w:tab w:val="num" w:pos="2160"/>
        </w:tabs>
        <w:ind w:left="2160" w:hanging="360"/>
      </w:pPr>
      <w:rPr>
        <w:rFonts w:ascii="Wingdings" w:hAnsi="Wingdings" w:cs="Wingdings" w:hint="default"/>
      </w:rPr>
    </w:lvl>
    <w:lvl w:ilvl="3" w:tplc="4DE226F0">
      <w:start w:val="1"/>
      <w:numFmt w:val="bullet"/>
      <w:lvlText w:val=""/>
      <w:lvlJc w:val="left"/>
      <w:pPr>
        <w:tabs>
          <w:tab w:val="num" w:pos="2880"/>
        </w:tabs>
        <w:ind w:left="2880" w:hanging="360"/>
      </w:pPr>
      <w:rPr>
        <w:rFonts w:ascii="Symbol" w:hAnsi="Symbol" w:cs="Symbol" w:hint="default"/>
      </w:rPr>
    </w:lvl>
    <w:lvl w:ilvl="4" w:tplc="50A43AAA">
      <w:start w:val="1"/>
      <w:numFmt w:val="bullet"/>
      <w:lvlText w:val="o"/>
      <w:lvlJc w:val="left"/>
      <w:pPr>
        <w:tabs>
          <w:tab w:val="num" w:pos="3600"/>
        </w:tabs>
        <w:ind w:left="3600" w:hanging="360"/>
      </w:pPr>
      <w:rPr>
        <w:rFonts w:ascii="Courier New" w:hAnsi="Courier New" w:cs="Courier New" w:hint="default"/>
      </w:rPr>
    </w:lvl>
    <w:lvl w:ilvl="5" w:tplc="EC9A9774">
      <w:start w:val="1"/>
      <w:numFmt w:val="bullet"/>
      <w:lvlText w:val=""/>
      <w:lvlJc w:val="left"/>
      <w:pPr>
        <w:tabs>
          <w:tab w:val="num" w:pos="4320"/>
        </w:tabs>
        <w:ind w:left="4320" w:hanging="360"/>
      </w:pPr>
      <w:rPr>
        <w:rFonts w:ascii="Wingdings" w:hAnsi="Wingdings" w:cs="Wingdings" w:hint="default"/>
      </w:rPr>
    </w:lvl>
    <w:lvl w:ilvl="6" w:tplc="B0567D7C">
      <w:start w:val="1"/>
      <w:numFmt w:val="bullet"/>
      <w:lvlText w:val=""/>
      <w:lvlJc w:val="left"/>
      <w:pPr>
        <w:tabs>
          <w:tab w:val="num" w:pos="5040"/>
        </w:tabs>
        <w:ind w:left="5040" w:hanging="360"/>
      </w:pPr>
      <w:rPr>
        <w:rFonts w:ascii="Symbol" w:hAnsi="Symbol" w:cs="Symbol" w:hint="default"/>
      </w:rPr>
    </w:lvl>
    <w:lvl w:ilvl="7" w:tplc="6B22955C">
      <w:start w:val="1"/>
      <w:numFmt w:val="bullet"/>
      <w:lvlText w:val="o"/>
      <w:lvlJc w:val="left"/>
      <w:pPr>
        <w:tabs>
          <w:tab w:val="num" w:pos="5760"/>
        </w:tabs>
        <w:ind w:left="5760" w:hanging="360"/>
      </w:pPr>
      <w:rPr>
        <w:rFonts w:ascii="Courier New" w:hAnsi="Courier New" w:cs="Courier New" w:hint="default"/>
      </w:rPr>
    </w:lvl>
    <w:lvl w:ilvl="8" w:tplc="91526390">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3F35134E"/>
    <w:multiLevelType w:val="hybridMultilevel"/>
    <w:tmpl w:val="7AA2F552"/>
    <w:lvl w:ilvl="0" w:tplc="D8364998">
      <w:start w:val="1"/>
      <w:numFmt w:val="bullet"/>
      <w:lvlText w:val=""/>
      <w:lvlJc w:val="left"/>
      <w:pPr>
        <w:ind w:left="360" w:hanging="360"/>
      </w:pPr>
      <w:rPr>
        <w:rFonts w:ascii="Symbol" w:hAnsi="Symbol" w:hint="default"/>
      </w:rPr>
    </w:lvl>
    <w:lvl w:ilvl="1" w:tplc="B720DC96">
      <w:start w:val="1"/>
      <w:numFmt w:val="bullet"/>
      <w:lvlText w:val="o"/>
      <w:lvlJc w:val="left"/>
      <w:pPr>
        <w:ind w:left="1080" w:hanging="360"/>
      </w:pPr>
      <w:rPr>
        <w:rFonts w:ascii="Courier New" w:hAnsi="Courier New" w:cs="Courier New" w:hint="default"/>
      </w:rPr>
    </w:lvl>
    <w:lvl w:ilvl="2" w:tplc="E5C8B65C" w:tentative="1">
      <w:start w:val="1"/>
      <w:numFmt w:val="bullet"/>
      <w:lvlText w:val=""/>
      <w:lvlJc w:val="left"/>
      <w:pPr>
        <w:ind w:left="1800" w:hanging="360"/>
      </w:pPr>
      <w:rPr>
        <w:rFonts w:ascii="Wingdings" w:hAnsi="Wingdings" w:hint="default"/>
      </w:rPr>
    </w:lvl>
    <w:lvl w:ilvl="3" w:tplc="5A30805C" w:tentative="1">
      <w:start w:val="1"/>
      <w:numFmt w:val="bullet"/>
      <w:lvlText w:val=""/>
      <w:lvlJc w:val="left"/>
      <w:pPr>
        <w:ind w:left="2520" w:hanging="360"/>
      </w:pPr>
      <w:rPr>
        <w:rFonts w:ascii="Symbol" w:hAnsi="Symbol" w:hint="default"/>
      </w:rPr>
    </w:lvl>
    <w:lvl w:ilvl="4" w:tplc="DB4809F2" w:tentative="1">
      <w:start w:val="1"/>
      <w:numFmt w:val="bullet"/>
      <w:lvlText w:val="o"/>
      <w:lvlJc w:val="left"/>
      <w:pPr>
        <w:ind w:left="3240" w:hanging="360"/>
      </w:pPr>
      <w:rPr>
        <w:rFonts w:ascii="Courier New" w:hAnsi="Courier New" w:cs="Courier New" w:hint="default"/>
      </w:rPr>
    </w:lvl>
    <w:lvl w:ilvl="5" w:tplc="0EA4FFA6" w:tentative="1">
      <w:start w:val="1"/>
      <w:numFmt w:val="bullet"/>
      <w:lvlText w:val=""/>
      <w:lvlJc w:val="left"/>
      <w:pPr>
        <w:ind w:left="3960" w:hanging="360"/>
      </w:pPr>
      <w:rPr>
        <w:rFonts w:ascii="Wingdings" w:hAnsi="Wingdings" w:hint="default"/>
      </w:rPr>
    </w:lvl>
    <w:lvl w:ilvl="6" w:tplc="09EA97EA" w:tentative="1">
      <w:start w:val="1"/>
      <w:numFmt w:val="bullet"/>
      <w:lvlText w:val=""/>
      <w:lvlJc w:val="left"/>
      <w:pPr>
        <w:ind w:left="4680" w:hanging="360"/>
      </w:pPr>
      <w:rPr>
        <w:rFonts w:ascii="Symbol" w:hAnsi="Symbol" w:hint="default"/>
      </w:rPr>
    </w:lvl>
    <w:lvl w:ilvl="7" w:tplc="7F601E9E" w:tentative="1">
      <w:start w:val="1"/>
      <w:numFmt w:val="bullet"/>
      <w:lvlText w:val="o"/>
      <w:lvlJc w:val="left"/>
      <w:pPr>
        <w:ind w:left="5400" w:hanging="360"/>
      </w:pPr>
      <w:rPr>
        <w:rFonts w:ascii="Courier New" w:hAnsi="Courier New" w:cs="Courier New" w:hint="default"/>
      </w:rPr>
    </w:lvl>
    <w:lvl w:ilvl="8" w:tplc="09B23B16" w:tentative="1">
      <w:start w:val="1"/>
      <w:numFmt w:val="bullet"/>
      <w:lvlText w:val=""/>
      <w:lvlJc w:val="left"/>
      <w:pPr>
        <w:ind w:left="6120" w:hanging="360"/>
      </w:pPr>
      <w:rPr>
        <w:rFonts w:ascii="Wingdings" w:hAnsi="Wingdings" w:hint="default"/>
      </w:rPr>
    </w:lvl>
  </w:abstractNum>
  <w:abstractNum w:abstractNumId="39" w15:restartNumberingAfterBreak="0">
    <w:nsid w:val="416D2303"/>
    <w:multiLevelType w:val="hybridMultilevel"/>
    <w:tmpl w:val="A99C43DC"/>
    <w:lvl w:ilvl="0" w:tplc="E88AAD52">
      <w:start w:val="1"/>
      <w:numFmt w:val="bullet"/>
      <w:lvlText w:val=""/>
      <w:lvlJc w:val="left"/>
      <w:pPr>
        <w:tabs>
          <w:tab w:val="num" w:pos="360"/>
        </w:tabs>
        <w:ind w:left="360" w:hanging="360"/>
      </w:pPr>
      <w:rPr>
        <w:rFonts w:ascii="Symbol" w:hAnsi="Symbol" w:cs="Symbol" w:hint="default"/>
        <w:color w:val="auto"/>
        <w:sz w:val="20"/>
        <w:szCs w:val="20"/>
      </w:rPr>
    </w:lvl>
    <w:lvl w:ilvl="1" w:tplc="B8C04D86">
      <w:start w:val="1"/>
      <w:numFmt w:val="bullet"/>
      <w:lvlText w:val="o"/>
      <w:lvlJc w:val="left"/>
      <w:pPr>
        <w:tabs>
          <w:tab w:val="num" w:pos="1440"/>
        </w:tabs>
        <w:ind w:left="1440" w:hanging="360"/>
      </w:pPr>
      <w:rPr>
        <w:rFonts w:ascii="Courier New" w:hAnsi="Courier New" w:cs="Courier New" w:hint="default"/>
        <w:sz w:val="16"/>
        <w:szCs w:val="16"/>
      </w:rPr>
    </w:lvl>
    <w:lvl w:ilvl="2" w:tplc="9D04182E">
      <w:start w:val="1"/>
      <w:numFmt w:val="bullet"/>
      <w:lvlText w:val=""/>
      <w:lvlJc w:val="left"/>
      <w:pPr>
        <w:tabs>
          <w:tab w:val="num" w:pos="2160"/>
        </w:tabs>
        <w:ind w:left="2160" w:hanging="360"/>
      </w:pPr>
      <w:rPr>
        <w:rFonts w:ascii="Wingdings" w:hAnsi="Wingdings" w:cs="Wingdings" w:hint="default"/>
      </w:rPr>
    </w:lvl>
    <w:lvl w:ilvl="3" w:tplc="1506CFE2">
      <w:start w:val="1"/>
      <w:numFmt w:val="bullet"/>
      <w:lvlText w:val=""/>
      <w:lvlJc w:val="left"/>
      <w:pPr>
        <w:tabs>
          <w:tab w:val="num" w:pos="2880"/>
        </w:tabs>
        <w:ind w:left="2880" w:hanging="360"/>
      </w:pPr>
      <w:rPr>
        <w:rFonts w:ascii="Symbol" w:hAnsi="Symbol" w:cs="Symbol" w:hint="default"/>
      </w:rPr>
    </w:lvl>
    <w:lvl w:ilvl="4" w:tplc="9E32886E">
      <w:start w:val="1"/>
      <w:numFmt w:val="bullet"/>
      <w:lvlText w:val="o"/>
      <w:lvlJc w:val="left"/>
      <w:pPr>
        <w:tabs>
          <w:tab w:val="num" w:pos="3600"/>
        </w:tabs>
        <w:ind w:left="3600" w:hanging="360"/>
      </w:pPr>
      <w:rPr>
        <w:rFonts w:ascii="Courier New" w:hAnsi="Courier New" w:cs="Courier New" w:hint="default"/>
      </w:rPr>
    </w:lvl>
    <w:lvl w:ilvl="5" w:tplc="4DFC0A6C">
      <w:start w:val="1"/>
      <w:numFmt w:val="bullet"/>
      <w:lvlText w:val=""/>
      <w:lvlJc w:val="left"/>
      <w:pPr>
        <w:tabs>
          <w:tab w:val="num" w:pos="4320"/>
        </w:tabs>
        <w:ind w:left="4320" w:hanging="360"/>
      </w:pPr>
      <w:rPr>
        <w:rFonts w:ascii="Wingdings" w:hAnsi="Wingdings" w:cs="Wingdings" w:hint="default"/>
      </w:rPr>
    </w:lvl>
    <w:lvl w:ilvl="6" w:tplc="23329DB0">
      <w:start w:val="1"/>
      <w:numFmt w:val="bullet"/>
      <w:lvlText w:val=""/>
      <w:lvlJc w:val="left"/>
      <w:pPr>
        <w:tabs>
          <w:tab w:val="num" w:pos="5040"/>
        </w:tabs>
        <w:ind w:left="5040" w:hanging="360"/>
      </w:pPr>
      <w:rPr>
        <w:rFonts w:ascii="Symbol" w:hAnsi="Symbol" w:cs="Symbol" w:hint="default"/>
      </w:rPr>
    </w:lvl>
    <w:lvl w:ilvl="7" w:tplc="1830678E">
      <w:start w:val="1"/>
      <w:numFmt w:val="bullet"/>
      <w:lvlText w:val="o"/>
      <w:lvlJc w:val="left"/>
      <w:pPr>
        <w:tabs>
          <w:tab w:val="num" w:pos="5760"/>
        </w:tabs>
        <w:ind w:left="5760" w:hanging="360"/>
      </w:pPr>
      <w:rPr>
        <w:rFonts w:ascii="Courier New" w:hAnsi="Courier New" w:cs="Courier New" w:hint="default"/>
      </w:rPr>
    </w:lvl>
    <w:lvl w:ilvl="8" w:tplc="20F48CE4">
      <w:start w:val="1"/>
      <w:numFmt w:val="bullet"/>
      <w:lvlText w:val=""/>
      <w:lvlJc w:val="left"/>
      <w:pPr>
        <w:tabs>
          <w:tab w:val="num" w:pos="6480"/>
        </w:tabs>
        <w:ind w:left="6480" w:hanging="360"/>
      </w:pPr>
      <w:rPr>
        <w:rFonts w:ascii="Wingdings" w:hAnsi="Wingdings" w:cs="Wingdings" w:hint="default"/>
      </w:rPr>
    </w:lvl>
  </w:abstractNum>
  <w:abstractNum w:abstractNumId="40" w15:restartNumberingAfterBreak="0">
    <w:nsid w:val="43071AD4"/>
    <w:multiLevelType w:val="hybridMultilevel"/>
    <w:tmpl w:val="CB143F6A"/>
    <w:lvl w:ilvl="0" w:tplc="C3EA5F5A">
      <w:start w:val="1"/>
      <w:numFmt w:val="bullet"/>
      <w:lvlText w:val=""/>
      <w:lvlJc w:val="left"/>
      <w:pPr>
        <w:ind w:left="720" w:hanging="360"/>
      </w:pPr>
      <w:rPr>
        <w:rFonts w:ascii="Symbol" w:hAnsi="Symbol" w:hint="default"/>
      </w:rPr>
    </w:lvl>
    <w:lvl w:ilvl="1" w:tplc="5F1E6000">
      <w:start w:val="1"/>
      <w:numFmt w:val="bullet"/>
      <w:lvlText w:val="o"/>
      <w:lvlJc w:val="left"/>
      <w:pPr>
        <w:ind w:left="1440" w:hanging="360"/>
      </w:pPr>
      <w:rPr>
        <w:rFonts w:ascii="Courier New" w:hAnsi="Courier New" w:cs="Courier New" w:hint="default"/>
      </w:rPr>
    </w:lvl>
    <w:lvl w:ilvl="2" w:tplc="49CA386A" w:tentative="1">
      <w:start w:val="1"/>
      <w:numFmt w:val="bullet"/>
      <w:lvlText w:val=""/>
      <w:lvlJc w:val="left"/>
      <w:pPr>
        <w:ind w:left="2160" w:hanging="360"/>
      </w:pPr>
      <w:rPr>
        <w:rFonts w:ascii="Wingdings" w:hAnsi="Wingdings" w:hint="default"/>
      </w:rPr>
    </w:lvl>
    <w:lvl w:ilvl="3" w:tplc="A3FA3E96" w:tentative="1">
      <w:start w:val="1"/>
      <w:numFmt w:val="bullet"/>
      <w:lvlText w:val=""/>
      <w:lvlJc w:val="left"/>
      <w:pPr>
        <w:ind w:left="2880" w:hanging="360"/>
      </w:pPr>
      <w:rPr>
        <w:rFonts w:ascii="Symbol" w:hAnsi="Symbol" w:hint="default"/>
      </w:rPr>
    </w:lvl>
    <w:lvl w:ilvl="4" w:tplc="55980D7C" w:tentative="1">
      <w:start w:val="1"/>
      <w:numFmt w:val="bullet"/>
      <w:lvlText w:val="o"/>
      <w:lvlJc w:val="left"/>
      <w:pPr>
        <w:ind w:left="3600" w:hanging="360"/>
      </w:pPr>
      <w:rPr>
        <w:rFonts w:ascii="Courier New" w:hAnsi="Courier New" w:cs="Courier New" w:hint="default"/>
      </w:rPr>
    </w:lvl>
    <w:lvl w:ilvl="5" w:tplc="C1B49AB0" w:tentative="1">
      <w:start w:val="1"/>
      <w:numFmt w:val="bullet"/>
      <w:lvlText w:val=""/>
      <w:lvlJc w:val="left"/>
      <w:pPr>
        <w:ind w:left="4320" w:hanging="360"/>
      </w:pPr>
      <w:rPr>
        <w:rFonts w:ascii="Wingdings" w:hAnsi="Wingdings" w:hint="default"/>
      </w:rPr>
    </w:lvl>
    <w:lvl w:ilvl="6" w:tplc="FA149BD4" w:tentative="1">
      <w:start w:val="1"/>
      <w:numFmt w:val="bullet"/>
      <w:lvlText w:val=""/>
      <w:lvlJc w:val="left"/>
      <w:pPr>
        <w:ind w:left="5040" w:hanging="360"/>
      </w:pPr>
      <w:rPr>
        <w:rFonts w:ascii="Symbol" w:hAnsi="Symbol" w:hint="default"/>
      </w:rPr>
    </w:lvl>
    <w:lvl w:ilvl="7" w:tplc="B70259E0" w:tentative="1">
      <w:start w:val="1"/>
      <w:numFmt w:val="bullet"/>
      <w:lvlText w:val="o"/>
      <w:lvlJc w:val="left"/>
      <w:pPr>
        <w:ind w:left="5760" w:hanging="360"/>
      </w:pPr>
      <w:rPr>
        <w:rFonts w:ascii="Courier New" w:hAnsi="Courier New" w:cs="Courier New" w:hint="default"/>
      </w:rPr>
    </w:lvl>
    <w:lvl w:ilvl="8" w:tplc="4C00F7D6" w:tentative="1">
      <w:start w:val="1"/>
      <w:numFmt w:val="bullet"/>
      <w:lvlText w:val=""/>
      <w:lvlJc w:val="left"/>
      <w:pPr>
        <w:ind w:left="6480" w:hanging="360"/>
      </w:pPr>
      <w:rPr>
        <w:rFonts w:ascii="Wingdings" w:hAnsi="Wingdings" w:hint="default"/>
      </w:rPr>
    </w:lvl>
  </w:abstractNum>
  <w:abstractNum w:abstractNumId="41" w15:restartNumberingAfterBreak="0">
    <w:nsid w:val="43AC6854"/>
    <w:multiLevelType w:val="hybridMultilevel"/>
    <w:tmpl w:val="6A9C3EF0"/>
    <w:lvl w:ilvl="0" w:tplc="014297E8">
      <w:start w:val="1"/>
      <w:numFmt w:val="bullet"/>
      <w:lvlText w:val=""/>
      <w:lvlJc w:val="left"/>
      <w:pPr>
        <w:tabs>
          <w:tab w:val="num" w:pos="360"/>
        </w:tabs>
        <w:ind w:left="360" w:hanging="360"/>
      </w:pPr>
      <w:rPr>
        <w:rFonts w:ascii="Symbol" w:hAnsi="Symbol" w:cs="Symbol" w:hint="default"/>
        <w:color w:val="auto"/>
        <w:sz w:val="20"/>
        <w:szCs w:val="20"/>
      </w:rPr>
    </w:lvl>
    <w:lvl w:ilvl="1" w:tplc="06D4588A">
      <w:start w:val="1"/>
      <w:numFmt w:val="bullet"/>
      <w:lvlText w:val="o"/>
      <w:lvlJc w:val="left"/>
      <w:pPr>
        <w:tabs>
          <w:tab w:val="num" w:pos="1440"/>
        </w:tabs>
        <w:ind w:left="1440" w:hanging="360"/>
      </w:pPr>
      <w:rPr>
        <w:rFonts w:ascii="Courier New" w:hAnsi="Courier New" w:cs="Courier New" w:hint="default"/>
      </w:rPr>
    </w:lvl>
    <w:lvl w:ilvl="2" w:tplc="33CEAD4C">
      <w:start w:val="1"/>
      <w:numFmt w:val="bullet"/>
      <w:lvlText w:val=""/>
      <w:lvlJc w:val="left"/>
      <w:pPr>
        <w:tabs>
          <w:tab w:val="num" w:pos="2160"/>
        </w:tabs>
        <w:ind w:left="2160" w:hanging="360"/>
      </w:pPr>
      <w:rPr>
        <w:rFonts w:ascii="Wingdings" w:hAnsi="Wingdings" w:cs="Wingdings" w:hint="default"/>
      </w:rPr>
    </w:lvl>
    <w:lvl w:ilvl="3" w:tplc="C28E3388">
      <w:start w:val="1"/>
      <w:numFmt w:val="bullet"/>
      <w:lvlText w:val=""/>
      <w:lvlJc w:val="left"/>
      <w:pPr>
        <w:tabs>
          <w:tab w:val="num" w:pos="2880"/>
        </w:tabs>
        <w:ind w:left="2880" w:hanging="360"/>
      </w:pPr>
      <w:rPr>
        <w:rFonts w:ascii="Symbol" w:hAnsi="Symbol" w:cs="Symbol" w:hint="default"/>
      </w:rPr>
    </w:lvl>
    <w:lvl w:ilvl="4" w:tplc="5F4A1586">
      <w:start w:val="1"/>
      <w:numFmt w:val="bullet"/>
      <w:lvlText w:val="o"/>
      <w:lvlJc w:val="left"/>
      <w:pPr>
        <w:tabs>
          <w:tab w:val="num" w:pos="3600"/>
        </w:tabs>
        <w:ind w:left="3600" w:hanging="360"/>
      </w:pPr>
      <w:rPr>
        <w:rFonts w:ascii="Courier New" w:hAnsi="Courier New" w:cs="Courier New" w:hint="default"/>
      </w:rPr>
    </w:lvl>
    <w:lvl w:ilvl="5" w:tplc="F31861B0">
      <w:start w:val="1"/>
      <w:numFmt w:val="bullet"/>
      <w:lvlText w:val=""/>
      <w:lvlJc w:val="left"/>
      <w:pPr>
        <w:tabs>
          <w:tab w:val="num" w:pos="4320"/>
        </w:tabs>
        <w:ind w:left="4320" w:hanging="360"/>
      </w:pPr>
      <w:rPr>
        <w:rFonts w:ascii="Wingdings" w:hAnsi="Wingdings" w:cs="Wingdings" w:hint="default"/>
      </w:rPr>
    </w:lvl>
    <w:lvl w:ilvl="6" w:tplc="294E1100">
      <w:start w:val="1"/>
      <w:numFmt w:val="bullet"/>
      <w:lvlText w:val=""/>
      <w:lvlJc w:val="left"/>
      <w:pPr>
        <w:tabs>
          <w:tab w:val="num" w:pos="5040"/>
        </w:tabs>
        <w:ind w:left="5040" w:hanging="360"/>
      </w:pPr>
      <w:rPr>
        <w:rFonts w:ascii="Symbol" w:hAnsi="Symbol" w:cs="Symbol" w:hint="default"/>
      </w:rPr>
    </w:lvl>
    <w:lvl w:ilvl="7" w:tplc="6B5C4178">
      <w:start w:val="1"/>
      <w:numFmt w:val="bullet"/>
      <w:lvlText w:val="o"/>
      <w:lvlJc w:val="left"/>
      <w:pPr>
        <w:tabs>
          <w:tab w:val="num" w:pos="5760"/>
        </w:tabs>
        <w:ind w:left="5760" w:hanging="360"/>
      </w:pPr>
      <w:rPr>
        <w:rFonts w:ascii="Courier New" w:hAnsi="Courier New" w:cs="Courier New" w:hint="default"/>
      </w:rPr>
    </w:lvl>
    <w:lvl w:ilvl="8" w:tplc="E2A2FB56">
      <w:start w:val="1"/>
      <w:numFmt w:val="bullet"/>
      <w:lvlText w:val=""/>
      <w:lvlJc w:val="left"/>
      <w:pPr>
        <w:tabs>
          <w:tab w:val="num" w:pos="6480"/>
        </w:tabs>
        <w:ind w:left="6480" w:hanging="360"/>
      </w:pPr>
      <w:rPr>
        <w:rFonts w:ascii="Wingdings" w:hAnsi="Wingdings" w:cs="Wingdings" w:hint="default"/>
      </w:rPr>
    </w:lvl>
  </w:abstractNum>
  <w:abstractNum w:abstractNumId="42" w15:restartNumberingAfterBreak="0">
    <w:nsid w:val="457E2896"/>
    <w:multiLevelType w:val="hybridMultilevel"/>
    <w:tmpl w:val="554EEC30"/>
    <w:lvl w:ilvl="0" w:tplc="6CAED696">
      <w:start w:val="2"/>
      <w:numFmt w:val="decimal"/>
      <w:lvlText w:val="%1."/>
      <w:lvlJc w:val="left"/>
      <w:pPr>
        <w:tabs>
          <w:tab w:val="num" w:pos="570"/>
        </w:tabs>
        <w:ind w:left="570" w:hanging="570"/>
      </w:pPr>
      <w:rPr>
        <w:rFonts w:hint="default"/>
      </w:rPr>
    </w:lvl>
    <w:lvl w:ilvl="1" w:tplc="CE24F260">
      <w:start w:val="1"/>
      <w:numFmt w:val="lowerLetter"/>
      <w:lvlText w:val="%2."/>
      <w:lvlJc w:val="left"/>
      <w:pPr>
        <w:tabs>
          <w:tab w:val="num" w:pos="1440"/>
        </w:tabs>
        <w:ind w:left="1440" w:hanging="360"/>
      </w:pPr>
    </w:lvl>
    <w:lvl w:ilvl="2" w:tplc="DBDE6FAC">
      <w:start w:val="1"/>
      <w:numFmt w:val="lowerRoman"/>
      <w:lvlText w:val="%3."/>
      <w:lvlJc w:val="right"/>
      <w:pPr>
        <w:tabs>
          <w:tab w:val="num" w:pos="2160"/>
        </w:tabs>
        <w:ind w:left="2160" w:hanging="180"/>
      </w:pPr>
    </w:lvl>
    <w:lvl w:ilvl="3" w:tplc="A1BC4D1E">
      <w:start w:val="1"/>
      <w:numFmt w:val="decimal"/>
      <w:lvlText w:val="%4."/>
      <w:lvlJc w:val="left"/>
      <w:pPr>
        <w:tabs>
          <w:tab w:val="num" w:pos="2880"/>
        </w:tabs>
        <w:ind w:left="2880" w:hanging="360"/>
      </w:pPr>
    </w:lvl>
    <w:lvl w:ilvl="4" w:tplc="EBAA7FD0">
      <w:start w:val="1"/>
      <w:numFmt w:val="lowerLetter"/>
      <w:lvlText w:val="%5."/>
      <w:lvlJc w:val="left"/>
      <w:pPr>
        <w:tabs>
          <w:tab w:val="num" w:pos="3600"/>
        </w:tabs>
        <w:ind w:left="3600" w:hanging="360"/>
      </w:pPr>
    </w:lvl>
    <w:lvl w:ilvl="5" w:tplc="D4821554">
      <w:start w:val="1"/>
      <w:numFmt w:val="lowerRoman"/>
      <w:lvlText w:val="%6."/>
      <w:lvlJc w:val="right"/>
      <w:pPr>
        <w:tabs>
          <w:tab w:val="num" w:pos="4320"/>
        </w:tabs>
        <w:ind w:left="4320" w:hanging="180"/>
      </w:pPr>
    </w:lvl>
    <w:lvl w:ilvl="6" w:tplc="A98A8B28">
      <w:start w:val="1"/>
      <w:numFmt w:val="decimal"/>
      <w:lvlText w:val="%7."/>
      <w:lvlJc w:val="left"/>
      <w:pPr>
        <w:tabs>
          <w:tab w:val="num" w:pos="5040"/>
        </w:tabs>
        <w:ind w:left="5040" w:hanging="360"/>
      </w:pPr>
    </w:lvl>
    <w:lvl w:ilvl="7" w:tplc="2662D6D6">
      <w:start w:val="1"/>
      <w:numFmt w:val="lowerLetter"/>
      <w:lvlText w:val="%8."/>
      <w:lvlJc w:val="left"/>
      <w:pPr>
        <w:tabs>
          <w:tab w:val="num" w:pos="5760"/>
        </w:tabs>
        <w:ind w:left="5760" w:hanging="360"/>
      </w:pPr>
    </w:lvl>
    <w:lvl w:ilvl="8" w:tplc="4B24F72C">
      <w:start w:val="1"/>
      <w:numFmt w:val="lowerRoman"/>
      <w:lvlText w:val="%9."/>
      <w:lvlJc w:val="right"/>
      <w:pPr>
        <w:tabs>
          <w:tab w:val="num" w:pos="6480"/>
        </w:tabs>
        <w:ind w:left="6480" w:hanging="180"/>
      </w:pPr>
    </w:lvl>
  </w:abstractNum>
  <w:abstractNum w:abstractNumId="43" w15:restartNumberingAfterBreak="0">
    <w:nsid w:val="470977C3"/>
    <w:multiLevelType w:val="hybridMultilevel"/>
    <w:tmpl w:val="E18E937E"/>
    <w:lvl w:ilvl="0" w:tplc="F42A8FC4">
      <w:start w:val="1"/>
      <w:numFmt w:val="decimal"/>
      <w:lvlText w:val="%1."/>
      <w:lvlJc w:val="left"/>
      <w:pPr>
        <w:ind w:left="720" w:hanging="360"/>
      </w:pPr>
      <w:rPr>
        <w:rFonts w:hint="default"/>
      </w:rPr>
    </w:lvl>
    <w:lvl w:ilvl="1" w:tplc="F7ECE22E" w:tentative="1">
      <w:start w:val="1"/>
      <w:numFmt w:val="lowerLetter"/>
      <w:lvlText w:val="%2."/>
      <w:lvlJc w:val="left"/>
      <w:pPr>
        <w:ind w:left="1440" w:hanging="360"/>
      </w:pPr>
    </w:lvl>
    <w:lvl w:ilvl="2" w:tplc="81C4D118" w:tentative="1">
      <w:start w:val="1"/>
      <w:numFmt w:val="lowerRoman"/>
      <w:lvlText w:val="%3."/>
      <w:lvlJc w:val="right"/>
      <w:pPr>
        <w:ind w:left="2160" w:hanging="180"/>
      </w:pPr>
    </w:lvl>
    <w:lvl w:ilvl="3" w:tplc="02EEC1D6" w:tentative="1">
      <w:start w:val="1"/>
      <w:numFmt w:val="decimal"/>
      <w:lvlText w:val="%4."/>
      <w:lvlJc w:val="left"/>
      <w:pPr>
        <w:ind w:left="2880" w:hanging="360"/>
      </w:pPr>
    </w:lvl>
    <w:lvl w:ilvl="4" w:tplc="CC045BD2" w:tentative="1">
      <w:start w:val="1"/>
      <w:numFmt w:val="lowerLetter"/>
      <w:lvlText w:val="%5."/>
      <w:lvlJc w:val="left"/>
      <w:pPr>
        <w:ind w:left="3600" w:hanging="360"/>
      </w:pPr>
    </w:lvl>
    <w:lvl w:ilvl="5" w:tplc="0B1A4F40" w:tentative="1">
      <w:start w:val="1"/>
      <w:numFmt w:val="lowerRoman"/>
      <w:lvlText w:val="%6."/>
      <w:lvlJc w:val="right"/>
      <w:pPr>
        <w:ind w:left="4320" w:hanging="180"/>
      </w:pPr>
    </w:lvl>
    <w:lvl w:ilvl="6" w:tplc="A30224C0" w:tentative="1">
      <w:start w:val="1"/>
      <w:numFmt w:val="decimal"/>
      <w:lvlText w:val="%7."/>
      <w:lvlJc w:val="left"/>
      <w:pPr>
        <w:ind w:left="5040" w:hanging="360"/>
      </w:pPr>
    </w:lvl>
    <w:lvl w:ilvl="7" w:tplc="5824D76E" w:tentative="1">
      <w:start w:val="1"/>
      <w:numFmt w:val="lowerLetter"/>
      <w:lvlText w:val="%8."/>
      <w:lvlJc w:val="left"/>
      <w:pPr>
        <w:ind w:left="5760" w:hanging="360"/>
      </w:pPr>
    </w:lvl>
    <w:lvl w:ilvl="8" w:tplc="3BC08D96" w:tentative="1">
      <w:start w:val="1"/>
      <w:numFmt w:val="lowerRoman"/>
      <w:lvlText w:val="%9."/>
      <w:lvlJc w:val="right"/>
      <w:pPr>
        <w:ind w:left="6480" w:hanging="180"/>
      </w:pPr>
    </w:lvl>
  </w:abstractNum>
  <w:abstractNum w:abstractNumId="44" w15:restartNumberingAfterBreak="0">
    <w:nsid w:val="482619CF"/>
    <w:multiLevelType w:val="hybridMultilevel"/>
    <w:tmpl w:val="1F7E95A6"/>
    <w:lvl w:ilvl="0" w:tplc="F0162AC8">
      <w:start w:val="7"/>
      <w:numFmt w:val="bullet"/>
      <w:lvlText w:val="*"/>
      <w:lvlJc w:val="left"/>
      <w:pPr>
        <w:ind w:left="342" w:hanging="360"/>
      </w:pPr>
      <w:rPr>
        <w:rFonts w:ascii="Times New Roman" w:eastAsia="SimSun" w:hAnsi="Times New Roman" w:cs="Times New Roman" w:hint="default"/>
        <w:b w:val="0"/>
      </w:rPr>
    </w:lvl>
    <w:lvl w:ilvl="1" w:tplc="AA1EBBD2" w:tentative="1">
      <w:start w:val="1"/>
      <w:numFmt w:val="bullet"/>
      <w:lvlText w:val="o"/>
      <w:lvlJc w:val="left"/>
      <w:pPr>
        <w:ind w:left="1062" w:hanging="360"/>
      </w:pPr>
      <w:rPr>
        <w:rFonts w:ascii="Courier New" w:hAnsi="Courier New" w:cs="Courier New" w:hint="default"/>
      </w:rPr>
    </w:lvl>
    <w:lvl w:ilvl="2" w:tplc="EE7A5D98" w:tentative="1">
      <w:start w:val="1"/>
      <w:numFmt w:val="bullet"/>
      <w:lvlText w:val=""/>
      <w:lvlJc w:val="left"/>
      <w:pPr>
        <w:ind w:left="1782" w:hanging="360"/>
      </w:pPr>
      <w:rPr>
        <w:rFonts w:ascii="Wingdings" w:hAnsi="Wingdings" w:hint="default"/>
      </w:rPr>
    </w:lvl>
    <w:lvl w:ilvl="3" w:tplc="1DE43078" w:tentative="1">
      <w:start w:val="1"/>
      <w:numFmt w:val="bullet"/>
      <w:lvlText w:val=""/>
      <w:lvlJc w:val="left"/>
      <w:pPr>
        <w:ind w:left="2502" w:hanging="360"/>
      </w:pPr>
      <w:rPr>
        <w:rFonts w:ascii="Symbol" w:hAnsi="Symbol" w:hint="default"/>
      </w:rPr>
    </w:lvl>
    <w:lvl w:ilvl="4" w:tplc="E27AF9C0" w:tentative="1">
      <w:start w:val="1"/>
      <w:numFmt w:val="bullet"/>
      <w:lvlText w:val="o"/>
      <w:lvlJc w:val="left"/>
      <w:pPr>
        <w:ind w:left="3222" w:hanging="360"/>
      </w:pPr>
      <w:rPr>
        <w:rFonts w:ascii="Courier New" w:hAnsi="Courier New" w:cs="Courier New" w:hint="default"/>
      </w:rPr>
    </w:lvl>
    <w:lvl w:ilvl="5" w:tplc="F4D057B8" w:tentative="1">
      <w:start w:val="1"/>
      <w:numFmt w:val="bullet"/>
      <w:lvlText w:val=""/>
      <w:lvlJc w:val="left"/>
      <w:pPr>
        <w:ind w:left="3942" w:hanging="360"/>
      </w:pPr>
      <w:rPr>
        <w:rFonts w:ascii="Wingdings" w:hAnsi="Wingdings" w:hint="default"/>
      </w:rPr>
    </w:lvl>
    <w:lvl w:ilvl="6" w:tplc="AF26DE10" w:tentative="1">
      <w:start w:val="1"/>
      <w:numFmt w:val="bullet"/>
      <w:lvlText w:val=""/>
      <w:lvlJc w:val="left"/>
      <w:pPr>
        <w:ind w:left="4662" w:hanging="360"/>
      </w:pPr>
      <w:rPr>
        <w:rFonts w:ascii="Symbol" w:hAnsi="Symbol" w:hint="default"/>
      </w:rPr>
    </w:lvl>
    <w:lvl w:ilvl="7" w:tplc="8AE4E3DC" w:tentative="1">
      <w:start w:val="1"/>
      <w:numFmt w:val="bullet"/>
      <w:lvlText w:val="o"/>
      <w:lvlJc w:val="left"/>
      <w:pPr>
        <w:ind w:left="5382" w:hanging="360"/>
      </w:pPr>
      <w:rPr>
        <w:rFonts w:ascii="Courier New" w:hAnsi="Courier New" w:cs="Courier New" w:hint="default"/>
      </w:rPr>
    </w:lvl>
    <w:lvl w:ilvl="8" w:tplc="2466BF28" w:tentative="1">
      <w:start w:val="1"/>
      <w:numFmt w:val="bullet"/>
      <w:lvlText w:val=""/>
      <w:lvlJc w:val="left"/>
      <w:pPr>
        <w:ind w:left="6102" w:hanging="360"/>
      </w:pPr>
      <w:rPr>
        <w:rFonts w:ascii="Wingdings" w:hAnsi="Wingdings" w:hint="default"/>
      </w:rPr>
    </w:lvl>
  </w:abstractNum>
  <w:abstractNum w:abstractNumId="45" w15:restartNumberingAfterBreak="0">
    <w:nsid w:val="491157B0"/>
    <w:multiLevelType w:val="hybridMultilevel"/>
    <w:tmpl w:val="6554CC26"/>
    <w:lvl w:ilvl="0" w:tplc="1E445BC4">
      <w:start w:val="1"/>
      <w:numFmt w:val="bullet"/>
      <w:lvlText w:val=""/>
      <w:lvlJc w:val="left"/>
      <w:pPr>
        <w:ind w:left="720" w:hanging="360"/>
      </w:pPr>
      <w:rPr>
        <w:rFonts w:ascii="Symbol" w:hAnsi="Symbol" w:hint="default"/>
      </w:rPr>
    </w:lvl>
    <w:lvl w:ilvl="1" w:tplc="E7706BF0" w:tentative="1">
      <w:start w:val="1"/>
      <w:numFmt w:val="bullet"/>
      <w:lvlText w:val="o"/>
      <w:lvlJc w:val="left"/>
      <w:pPr>
        <w:ind w:left="1440" w:hanging="360"/>
      </w:pPr>
      <w:rPr>
        <w:rFonts w:ascii="Courier New" w:hAnsi="Courier New" w:cs="Courier New" w:hint="default"/>
      </w:rPr>
    </w:lvl>
    <w:lvl w:ilvl="2" w:tplc="68E8FFAC" w:tentative="1">
      <w:start w:val="1"/>
      <w:numFmt w:val="bullet"/>
      <w:lvlText w:val=""/>
      <w:lvlJc w:val="left"/>
      <w:pPr>
        <w:ind w:left="2160" w:hanging="360"/>
      </w:pPr>
      <w:rPr>
        <w:rFonts w:ascii="Wingdings" w:hAnsi="Wingdings" w:hint="default"/>
      </w:rPr>
    </w:lvl>
    <w:lvl w:ilvl="3" w:tplc="F0DE1BFC" w:tentative="1">
      <w:start w:val="1"/>
      <w:numFmt w:val="bullet"/>
      <w:lvlText w:val=""/>
      <w:lvlJc w:val="left"/>
      <w:pPr>
        <w:ind w:left="2880" w:hanging="360"/>
      </w:pPr>
      <w:rPr>
        <w:rFonts w:ascii="Symbol" w:hAnsi="Symbol" w:hint="default"/>
      </w:rPr>
    </w:lvl>
    <w:lvl w:ilvl="4" w:tplc="1A023E3A" w:tentative="1">
      <w:start w:val="1"/>
      <w:numFmt w:val="bullet"/>
      <w:lvlText w:val="o"/>
      <w:lvlJc w:val="left"/>
      <w:pPr>
        <w:ind w:left="3600" w:hanging="360"/>
      </w:pPr>
      <w:rPr>
        <w:rFonts w:ascii="Courier New" w:hAnsi="Courier New" w:cs="Courier New" w:hint="default"/>
      </w:rPr>
    </w:lvl>
    <w:lvl w:ilvl="5" w:tplc="A2984F00" w:tentative="1">
      <w:start w:val="1"/>
      <w:numFmt w:val="bullet"/>
      <w:lvlText w:val=""/>
      <w:lvlJc w:val="left"/>
      <w:pPr>
        <w:ind w:left="4320" w:hanging="360"/>
      </w:pPr>
      <w:rPr>
        <w:rFonts w:ascii="Wingdings" w:hAnsi="Wingdings" w:hint="default"/>
      </w:rPr>
    </w:lvl>
    <w:lvl w:ilvl="6" w:tplc="146A9578" w:tentative="1">
      <w:start w:val="1"/>
      <w:numFmt w:val="bullet"/>
      <w:lvlText w:val=""/>
      <w:lvlJc w:val="left"/>
      <w:pPr>
        <w:ind w:left="5040" w:hanging="360"/>
      </w:pPr>
      <w:rPr>
        <w:rFonts w:ascii="Symbol" w:hAnsi="Symbol" w:hint="default"/>
      </w:rPr>
    </w:lvl>
    <w:lvl w:ilvl="7" w:tplc="AC1E8BB2" w:tentative="1">
      <w:start w:val="1"/>
      <w:numFmt w:val="bullet"/>
      <w:lvlText w:val="o"/>
      <w:lvlJc w:val="left"/>
      <w:pPr>
        <w:ind w:left="5760" w:hanging="360"/>
      </w:pPr>
      <w:rPr>
        <w:rFonts w:ascii="Courier New" w:hAnsi="Courier New" w:cs="Courier New" w:hint="default"/>
      </w:rPr>
    </w:lvl>
    <w:lvl w:ilvl="8" w:tplc="C7CEC87A" w:tentative="1">
      <w:start w:val="1"/>
      <w:numFmt w:val="bullet"/>
      <w:lvlText w:val=""/>
      <w:lvlJc w:val="left"/>
      <w:pPr>
        <w:ind w:left="6480" w:hanging="360"/>
      </w:pPr>
      <w:rPr>
        <w:rFonts w:ascii="Wingdings" w:hAnsi="Wingdings" w:hint="default"/>
      </w:rPr>
    </w:lvl>
  </w:abstractNum>
  <w:abstractNum w:abstractNumId="46" w15:restartNumberingAfterBreak="0">
    <w:nsid w:val="49E10CDB"/>
    <w:multiLevelType w:val="hybridMultilevel"/>
    <w:tmpl w:val="33A6B3A8"/>
    <w:lvl w:ilvl="0" w:tplc="6B609F2A">
      <w:start w:val="1"/>
      <w:numFmt w:val="bullet"/>
      <w:lvlText w:val=""/>
      <w:lvlJc w:val="left"/>
      <w:pPr>
        <w:ind w:left="720" w:hanging="360"/>
      </w:pPr>
      <w:rPr>
        <w:rFonts w:ascii="Symbol" w:hAnsi="Symbol" w:hint="default"/>
      </w:rPr>
    </w:lvl>
    <w:lvl w:ilvl="1" w:tplc="96BA0A00" w:tentative="1">
      <w:start w:val="1"/>
      <w:numFmt w:val="bullet"/>
      <w:lvlText w:val="o"/>
      <w:lvlJc w:val="left"/>
      <w:pPr>
        <w:ind w:left="1440" w:hanging="360"/>
      </w:pPr>
      <w:rPr>
        <w:rFonts w:ascii="Courier New" w:hAnsi="Courier New" w:cs="Courier New" w:hint="default"/>
      </w:rPr>
    </w:lvl>
    <w:lvl w:ilvl="2" w:tplc="EDC2C744" w:tentative="1">
      <w:start w:val="1"/>
      <w:numFmt w:val="bullet"/>
      <w:lvlText w:val=""/>
      <w:lvlJc w:val="left"/>
      <w:pPr>
        <w:ind w:left="2160" w:hanging="360"/>
      </w:pPr>
      <w:rPr>
        <w:rFonts w:ascii="Wingdings" w:hAnsi="Wingdings" w:hint="default"/>
      </w:rPr>
    </w:lvl>
    <w:lvl w:ilvl="3" w:tplc="0770D6FE" w:tentative="1">
      <w:start w:val="1"/>
      <w:numFmt w:val="bullet"/>
      <w:lvlText w:val=""/>
      <w:lvlJc w:val="left"/>
      <w:pPr>
        <w:ind w:left="2880" w:hanging="360"/>
      </w:pPr>
      <w:rPr>
        <w:rFonts w:ascii="Symbol" w:hAnsi="Symbol" w:hint="default"/>
      </w:rPr>
    </w:lvl>
    <w:lvl w:ilvl="4" w:tplc="639CCBE4" w:tentative="1">
      <w:start w:val="1"/>
      <w:numFmt w:val="bullet"/>
      <w:lvlText w:val="o"/>
      <w:lvlJc w:val="left"/>
      <w:pPr>
        <w:ind w:left="3600" w:hanging="360"/>
      </w:pPr>
      <w:rPr>
        <w:rFonts w:ascii="Courier New" w:hAnsi="Courier New" w:cs="Courier New" w:hint="default"/>
      </w:rPr>
    </w:lvl>
    <w:lvl w:ilvl="5" w:tplc="73002B8A" w:tentative="1">
      <w:start w:val="1"/>
      <w:numFmt w:val="bullet"/>
      <w:lvlText w:val=""/>
      <w:lvlJc w:val="left"/>
      <w:pPr>
        <w:ind w:left="4320" w:hanging="360"/>
      </w:pPr>
      <w:rPr>
        <w:rFonts w:ascii="Wingdings" w:hAnsi="Wingdings" w:hint="default"/>
      </w:rPr>
    </w:lvl>
    <w:lvl w:ilvl="6" w:tplc="CAF4A9E0" w:tentative="1">
      <w:start w:val="1"/>
      <w:numFmt w:val="bullet"/>
      <w:lvlText w:val=""/>
      <w:lvlJc w:val="left"/>
      <w:pPr>
        <w:ind w:left="5040" w:hanging="360"/>
      </w:pPr>
      <w:rPr>
        <w:rFonts w:ascii="Symbol" w:hAnsi="Symbol" w:hint="default"/>
      </w:rPr>
    </w:lvl>
    <w:lvl w:ilvl="7" w:tplc="61DCC5F4" w:tentative="1">
      <w:start w:val="1"/>
      <w:numFmt w:val="bullet"/>
      <w:lvlText w:val="o"/>
      <w:lvlJc w:val="left"/>
      <w:pPr>
        <w:ind w:left="5760" w:hanging="360"/>
      </w:pPr>
      <w:rPr>
        <w:rFonts w:ascii="Courier New" w:hAnsi="Courier New" w:cs="Courier New" w:hint="default"/>
      </w:rPr>
    </w:lvl>
    <w:lvl w:ilvl="8" w:tplc="B50C1C06" w:tentative="1">
      <w:start w:val="1"/>
      <w:numFmt w:val="bullet"/>
      <w:lvlText w:val=""/>
      <w:lvlJc w:val="left"/>
      <w:pPr>
        <w:ind w:left="6480" w:hanging="360"/>
      </w:pPr>
      <w:rPr>
        <w:rFonts w:ascii="Wingdings" w:hAnsi="Wingdings" w:hint="default"/>
      </w:rPr>
    </w:lvl>
  </w:abstractNum>
  <w:abstractNum w:abstractNumId="47" w15:restartNumberingAfterBreak="0">
    <w:nsid w:val="4AF425A3"/>
    <w:multiLevelType w:val="hybridMultilevel"/>
    <w:tmpl w:val="0B447F20"/>
    <w:lvl w:ilvl="0" w:tplc="83863110">
      <w:start w:val="1"/>
      <w:numFmt w:val="bullet"/>
      <w:lvlText w:val=""/>
      <w:lvlJc w:val="left"/>
      <w:pPr>
        <w:ind w:left="360" w:hanging="360"/>
      </w:pPr>
      <w:rPr>
        <w:rFonts w:ascii="Symbol" w:hAnsi="Symbol" w:cs="Symbol" w:hint="default"/>
        <w:color w:val="auto"/>
        <w:sz w:val="20"/>
        <w:szCs w:val="20"/>
      </w:rPr>
    </w:lvl>
    <w:lvl w:ilvl="1" w:tplc="89F882B0" w:tentative="1">
      <w:start w:val="1"/>
      <w:numFmt w:val="bullet"/>
      <w:lvlText w:val="o"/>
      <w:lvlJc w:val="left"/>
      <w:pPr>
        <w:ind w:left="1080" w:hanging="360"/>
      </w:pPr>
      <w:rPr>
        <w:rFonts w:ascii="Courier New" w:hAnsi="Courier New" w:cs="Courier New" w:hint="default"/>
      </w:rPr>
    </w:lvl>
    <w:lvl w:ilvl="2" w:tplc="2BFA9D22" w:tentative="1">
      <w:start w:val="1"/>
      <w:numFmt w:val="bullet"/>
      <w:lvlText w:val=""/>
      <w:lvlJc w:val="left"/>
      <w:pPr>
        <w:ind w:left="1800" w:hanging="360"/>
      </w:pPr>
      <w:rPr>
        <w:rFonts w:ascii="Wingdings" w:hAnsi="Wingdings" w:hint="default"/>
      </w:rPr>
    </w:lvl>
    <w:lvl w:ilvl="3" w:tplc="C2B2E166" w:tentative="1">
      <w:start w:val="1"/>
      <w:numFmt w:val="bullet"/>
      <w:lvlText w:val=""/>
      <w:lvlJc w:val="left"/>
      <w:pPr>
        <w:ind w:left="2520" w:hanging="360"/>
      </w:pPr>
      <w:rPr>
        <w:rFonts w:ascii="Symbol" w:hAnsi="Symbol" w:hint="default"/>
      </w:rPr>
    </w:lvl>
    <w:lvl w:ilvl="4" w:tplc="C3AAEDCE" w:tentative="1">
      <w:start w:val="1"/>
      <w:numFmt w:val="bullet"/>
      <w:lvlText w:val="o"/>
      <w:lvlJc w:val="left"/>
      <w:pPr>
        <w:ind w:left="3240" w:hanging="360"/>
      </w:pPr>
      <w:rPr>
        <w:rFonts w:ascii="Courier New" w:hAnsi="Courier New" w:cs="Courier New" w:hint="default"/>
      </w:rPr>
    </w:lvl>
    <w:lvl w:ilvl="5" w:tplc="A39ACFB8" w:tentative="1">
      <w:start w:val="1"/>
      <w:numFmt w:val="bullet"/>
      <w:lvlText w:val=""/>
      <w:lvlJc w:val="left"/>
      <w:pPr>
        <w:ind w:left="3960" w:hanging="360"/>
      </w:pPr>
      <w:rPr>
        <w:rFonts w:ascii="Wingdings" w:hAnsi="Wingdings" w:hint="default"/>
      </w:rPr>
    </w:lvl>
    <w:lvl w:ilvl="6" w:tplc="82707746" w:tentative="1">
      <w:start w:val="1"/>
      <w:numFmt w:val="bullet"/>
      <w:lvlText w:val=""/>
      <w:lvlJc w:val="left"/>
      <w:pPr>
        <w:ind w:left="4680" w:hanging="360"/>
      </w:pPr>
      <w:rPr>
        <w:rFonts w:ascii="Symbol" w:hAnsi="Symbol" w:hint="default"/>
      </w:rPr>
    </w:lvl>
    <w:lvl w:ilvl="7" w:tplc="2DA8DD4A" w:tentative="1">
      <w:start w:val="1"/>
      <w:numFmt w:val="bullet"/>
      <w:lvlText w:val="o"/>
      <w:lvlJc w:val="left"/>
      <w:pPr>
        <w:ind w:left="5400" w:hanging="360"/>
      </w:pPr>
      <w:rPr>
        <w:rFonts w:ascii="Courier New" w:hAnsi="Courier New" w:cs="Courier New" w:hint="default"/>
      </w:rPr>
    </w:lvl>
    <w:lvl w:ilvl="8" w:tplc="F2044CB8" w:tentative="1">
      <w:start w:val="1"/>
      <w:numFmt w:val="bullet"/>
      <w:lvlText w:val=""/>
      <w:lvlJc w:val="left"/>
      <w:pPr>
        <w:ind w:left="6120" w:hanging="360"/>
      </w:pPr>
      <w:rPr>
        <w:rFonts w:ascii="Wingdings" w:hAnsi="Wingdings" w:hint="default"/>
      </w:rPr>
    </w:lvl>
  </w:abstractNum>
  <w:abstractNum w:abstractNumId="48" w15:restartNumberingAfterBreak="0">
    <w:nsid w:val="4C7A203F"/>
    <w:multiLevelType w:val="hybridMultilevel"/>
    <w:tmpl w:val="76180EE2"/>
    <w:lvl w:ilvl="0" w:tplc="CEC0252C">
      <w:start w:val="1"/>
      <w:numFmt w:val="decimal"/>
      <w:lvlText w:val="%1."/>
      <w:lvlJc w:val="left"/>
      <w:pPr>
        <w:ind w:left="720" w:hanging="360"/>
      </w:pPr>
      <w:rPr>
        <w:rFonts w:hint="default"/>
      </w:rPr>
    </w:lvl>
    <w:lvl w:ilvl="1" w:tplc="59B04336" w:tentative="1">
      <w:start w:val="1"/>
      <w:numFmt w:val="lowerLetter"/>
      <w:lvlText w:val="%2."/>
      <w:lvlJc w:val="left"/>
      <w:pPr>
        <w:ind w:left="1440" w:hanging="360"/>
      </w:pPr>
    </w:lvl>
    <w:lvl w:ilvl="2" w:tplc="D3EA6850" w:tentative="1">
      <w:start w:val="1"/>
      <w:numFmt w:val="lowerRoman"/>
      <w:lvlText w:val="%3."/>
      <w:lvlJc w:val="right"/>
      <w:pPr>
        <w:ind w:left="2160" w:hanging="180"/>
      </w:pPr>
    </w:lvl>
    <w:lvl w:ilvl="3" w:tplc="3E60420C" w:tentative="1">
      <w:start w:val="1"/>
      <w:numFmt w:val="decimal"/>
      <w:lvlText w:val="%4."/>
      <w:lvlJc w:val="left"/>
      <w:pPr>
        <w:ind w:left="2880" w:hanging="360"/>
      </w:pPr>
    </w:lvl>
    <w:lvl w:ilvl="4" w:tplc="296ECF4E" w:tentative="1">
      <w:start w:val="1"/>
      <w:numFmt w:val="lowerLetter"/>
      <w:lvlText w:val="%5."/>
      <w:lvlJc w:val="left"/>
      <w:pPr>
        <w:ind w:left="3600" w:hanging="360"/>
      </w:pPr>
    </w:lvl>
    <w:lvl w:ilvl="5" w:tplc="A11C31A6" w:tentative="1">
      <w:start w:val="1"/>
      <w:numFmt w:val="lowerRoman"/>
      <w:lvlText w:val="%6."/>
      <w:lvlJc w:val="right"/>
      <w:pPr>
        <w:ind w:left="4320" w:hanging="180"/>
      </w:pPr>
    </w:lvl>
    <w:lvl w:ilvl="6" w:tplc="F75ADDB6" w:tentative="1">
      <w:start w:val="1"/>
      <w:numFmt w:val="decimal"/>
      <w:lvlText w:val="%7."/>
      <w:lvlJc w:val="left"/>
      <w:pPr>
        <w:ind w:left="5040" w:hanging="360"/>
      </w:pPr>
    </w:lvl>
    <w:lvl w:ilvl="7" w:tplc="2F0666E2" w:tentative="1">
      <w:start w:val="1"/>
      <w:numFmt w:val="lowerLetter"/>
      <w:lvlText w:val="%8."/>
      <w:lvlJc w:val="left"/>
      <w:pPr>
        <w:ind w:left="5760" w:hanging="360"/>
      </w:pPr>
    </w:lvl>
    <w:lvl w:ilvl="8" w:tplc="588081A2" w:tentative="1">
      <w:start w:val="1"/>
      <w:numFmt w:val="lowerRoman"/>
      <w:lvlText w:val="%9."/>
      <w:lvlJc w:val="right"/>
      <w:pPr>
        <w:ind w:left="6480" w:hanging="180"/>
      </w:pPr>
    </w:lvl>
  </w:abstractNum>
  <w:abstractNum w:abstractNumId="49" w15:restartNumberingAfterBreak="0">
    <w:nsid w:val="4E8761D9"/>
    <w:multiLevelType w:val="hybridMultilevel"/>
    <w:tmpl w:val="21621B1E"/>
    <w:lvl w:ilvl="0" w:tplc="8A4268CE">
      <w:start w:val="1"/>
      <w:numFmt w:val="bullet"/>
      <w:lvlText w:val=""/>
      <w:lvlJc w:val="left"/>
      <w:pPr>
        <w:ind w:left="720" w:hanging="360"/>
      </w:pPr>
      <w:rPr>
        <w:rFonts w:ascii="Symbol" w:hAnsi="Symbol" w:hint="default"/>
      </w:rPr>
    </w:lvl>
    <w:lvl w:ilvl="1" w:tplc="156E67AE" w:tentative="1">
      <w:start w:val="1"/>
      <w:numFmt w:val="bullet"/>
      <w:lvlText w:val="o"/>
      <w:lvlJc w:val="left"/>
      <w:pPr>
        <w:ind w:left="1440" w:hanging="360"/>
      </w:pPr>
      <w:rPr>
        <w:rFonts w:ascii="Courier New" w:hAnsi="Courier New" w:cs="Courier New" w:hint="default"/>
      </w:rPr>
    </w:lvl>
    <w:lvl w:ilvl="2" w:tplc="1C06654A" w:tentative="1">
      <w:start w:val="1"/>
      <w:numFmt w:val="bullet"/>
      <w:lvlText w:val=""/>
      <w:lvlJc w:val="left"/>
      <w:pPr>
        <w:ind w:left="2160" w:hanging="360"/>
      </w:pPr>
      <w:rPr>
        <w:rFonts w:ascii="Wingdings" w:hAnsi="Wingdings" w:hint="default"/>
      </w:rPr>
    </w:lvl>
    <w:lvl w:ilvl="3" w:tplc="4A8094EC" w:tentative="1">
      <w:start w:val="1"/>
      <w:numFmt w:val="bullet"/>
      <w:lvlText w:val=""/>
      <w:lvlJc w:val="left"/>
      <w:pPr>
        <w:ind w:left="2880" w:hanging="360"/>
      </w:pPr>
      <w:rPr>
        <w:rFonts w:ascii="Symbol" w:hAnsi="Symbol" w:hint="default"/>
      </w:rPr>
    </w:lvl>
    <w:lvl w:ilvl="4" w:tplc="97566DA6" w:tentative="1">
      <w:start w:val="1"/>
      <w:numFmt w:val="bullet"/>
      <w:lvlText w:val="o"/>
      <w:lvlJc w:val="left"/>
      <w:pPr>
        <w:ind w:left="3600" w:hanging="360"/>
      </w:pPr>
      <w:rPr>
        <w:rFonts w:ascii="Courier New" w:hAnsi="Courier New" w:cs="Courier New" w:hint="default"/>
      </w:rPr>
    </w:lvl>
    <w:lvl w:ilvl="5" w:tplc="054209F0" w:tentative="1">
      <w:start w:val="1"/>
      <w:numFmt w:val="bullet"/>
      <w:lvlText w:val=""/>
      <w:lvlJc w:val="left"/>
      <w:pPr>
        <w:ind w:left="4320" w:hanging="360"/>
      </w:pPr>
      <w:rPr>
        <w:rFonts w:ascii="Wingdings" w:hAnsi="Wingdings" w:hint="default"/>
      </w:rPr>
    </w:lvl>
    <w:lvl w:ilvl="6" w:tplc="B20AD296" w:tentative="1">
      <w:start w:val="1"/>
      <w:numFmt w:val="bullet"/>
      <w:lvlText w:val=""/>
      <w:lvlJc w:val="left"/>
      <w:pPr>
        <w:ind w:left="5040" w:hanging="360"/>
      </w:pPr>
      <w:rPr>
        <w:rFonts w:ascii="Symbol" w:hAnsi="Symbol" w:hint="default"/>
      </w:rPr>
    </w:lvl>
    <w:lvl w:ilvl="7" w:tplc="770A3B48" w:tentative="1">
      <w:start w:val="1"/>
      <w:numFmt w:val="bullet"/>
      <w:lvlText w:val="o"/>
      <w:lvlJc w:val="left"/>
      <w:pPr>
        <w:ind w:left="5760" w:hanging="360"/>
      </w:pPr>
      <w:rPr>
        <w:rFonts w:ascii="Courier New" w:hAnsi="Courier New" w:cs="Courier New" w:hint="default"/>
      </w:rPr>
    </w:lvl>
    <w:lvl w:ilvl="8" w:tplc="99F24EB4" w:tentative="1">
      <w:start w:val="1"/>
      <w:numFmt w:val="bullet"/>
      <w:lvlText w:val=""/>
      <w:lvlJc w:val="left"/>
      <w:pPr>
        <w:ind w:left="6480" w:hanging="360"/>
      </w:pPr>
      <w:rPr>
        <w:rFonts w:ascii="Wingdings" w:hAnsi="Wingdings" w:hint="default"/>
      </w:rPr>
    </w:lvl>
  </w:abstractNum>
  <w:abstractNum w:abstractNumId="50" w15:restartNumberingAfterBreak="0">
    <w:nsid w:val="504641AC"/>
    <w:multiLevelType w:val="hybridMultilevel"/>
    <w:tmpl w:val="6F2A3C1C"/>
    <w:lvl w:ilvl="0" w:tplc="44025018">
      <w:start w:val="1"/>
      <w:numFmt w:val="bullet"/>
      <w:lvlText w:val=""/>
      <w:lvlJc w:val="left"/>
      <w:pPr>
        <w:ind w:left="360" w:hanging="360"/>
      </w:pPr>
      <w:rPr>
        <w:rFonts w:ascii="Symbol" w:hAnsi="Symbol" w:cs="Symbol" w:hint="default"/>
      </w:rPr>
    </w:lvl>
    <w:lvl w:ilvl="1" w:tplc="F710E2CE" w:tentative="1">
      <w:start w:val="1"/>
      <w:numFmt w:val="bullet"/>
      <w:lvlText w:val="o"/>
      <w:lvlJc w:val="left"/>
      <w:pPr>
        <w:ind w:left="1080" w:hanging="360"/>
      </w:pPr>
      <w:rPr>
        <w:rFonts w:ascii="Courier New" w:hAnsi="Courier New" w:cs="Courier New" w:hint="default"/>
      </w:rPr>
    </w:lvl>
    <w:lvl w:ilvl="2" w:tplc="9E5CA398" w:tentative="1">
      <w:start w:val="1"/>
      <w:numFmt w:val="bullet"/>
      <w:lvlText w:val=""/>
      <w:lvlJc w:val="left"/>
      <w:pPr>
        <w:ind w:left="1800" w:hanging="360"/>
      </w:pPr>
      <w:rPr>
        <w:rFonts w:ascii="Wingdings" w:hAnsi="Wingdings" w:hint="default"/>
      </w:rPr>
    </w:lvl>
    <w:lvl w:ilvl="3" w:tplc="ACE2D2C8" w:tentative="1">
      <w:start w:val="1"/>
      <w:numFmt w:val="bullet"/>
      <w:lvlText w:val=""/>
      <w:lvlJc w:val="left"/>
      <w:pPr>
        <w:ind w:left="2520" w:hanging="360"/>
      </w:pPr>
      <w:rPr>
        <w:rFonts w:ascii="Symbol" w:hAnsi="Symbol" w:hint="default"/>
      </w:rPr>
    </w:lvl>
    <w:lvl w:ilvl="4" w:tplc="D34EF85C" w:tentative="1">
      <w:start w:val="1"/>
      <w:numFmt w:val="bullet"/>
      <w:lvlText w:val="o"/>
      <w:lvlJc w:val="left"/>
      <w:pPr>
        <w:ind w:left="3240" w:hanging="360"/>
      </w:pPr>
      <w:rPr>
        <w:rFonts w:ascii="Courier New" w:hAnsi="Courier New" w:cs="Courier New" w:hint="default"/>
      </w:rPr>
    </w:lvl>
    <w:lvl w:ilvl="5" w:tplc="7B027718" w:tentative="1">
      <w:start w:val="1"/>
      <w:numFmt w:val="bullet"/>
      <w:lvlText w:val=""/>
      <w:lvlJc w:val="left"/>
      <w:pPr>
        <w:ind w:left="3960" w:hanging="360"/>
      </w:pPr>
      <w:rPr>
        <w:rFonts w:ascii="Wingdings" w:hAnsi="Wingdings" w:hint="default"/>
      </w:rPr>
    </w:lvl>
    <w:lvl w:ilvl="6" w:tplc="71D682C0" w:tentative="1">
      <w:start w:val="1"/>
      <w:numFmt w:val="bullet"/>
      <w:lvlText w:val=""/>
      <w:lvlJc w:val="left"/>
      <w:pPr>
        <w:ind w:left="4680" w:hanging="360"/>
      </w:pPr>
      <w:rPr>
        <w:rFonts w:ascii="Symbol" w:hAnsi="Symbol" w:hint="default"/>
      </w:rPr>
    </w:lvl>
    <w:lvl w:ilvl="7" w:tplc="99D882F0" w:tentative="1">
      <w:start w:val="1"/>
      <w:numFmt w:val="bullet"/>
      <w:lvlText w:val="o"/>
      <w:lvlJc w:val="left"/>
      <w:pPr>
        <w:ind w:left="5400" w:hanging="360"/>
      </w:pPr>
      <w:rPr>
        <w:rFonts w:ascii="Courier New" w:hAnsi="Courier New" w:cs="Courier New" w:hint="default"/>
      </w:rPr>
    </w:lvl>
    <w:lvl w:ilvl="8" w:tplc="B1323DDC" w:tentative="1">
      <w:start w:val="1"/>
      <w:numFmt w:val="bullet"/>
      <w:lvlText w:val=""/>
      <w:lvlJc w:val="left"/>
      <w:pPr>
        <w:ind w:left="6120" w:hanging="360"/>
      </w:pPr>
      <w:rPr>
        <w:rFonts w:ascii="Wingdings" w:hAnsi="Wingdings" w:hint="default"/>
      </w:rPr>
    </w:lvl>
  </w:abstractNum>
  <w:abstractNum w:abstractNumId="51" w15:restartNumberingAfterBreak="0">
    <w:nsid w:val="5BEB16E6"/>
    <w:multiLevelType w:val="hybridMultilevel"/>
    <w:tmpl w:val="FD265FD8"/>
    <w:lvl w:ilvl="0" w:tplc="0D0838DE">
      <w:numFmt w:val="bullet"/>
      <w:lvlText w:val=""/>
      <w:lvlJc w:val="left"/>
      <w:pPr>
        <w:ind w:left="720" w:hanging="360"/>
      </w:pPr>
      <w:rPr>
        <w:rFonts w:ascii="Symbol" w:eastAsia="SimSun" w:hAnsi="Symbol" w:cs="Times New Roman" w:hint="default"/>
      </w:rPr>
    </w:lvl>
    <w:lvl w:ilvl="1" w:tplc="031E067E" w:tentative="1">
      <w:start w:val="1"/>
      <w:numFmt w:val="bullet"/>
      <w:lvlText w:val="o"/>
      <w:lvlJc w:val="left"/>
      <w:pPr>
        <w:ind w:left="1440" w:hanging="360"/>
      </w:pPr>
      <w:rPr>
        <w:rFonts w:ascii="Courier New" w:hAnsi="Courier New" w:cs="Courier New" w:hint="default"/>
      </w:rPr>
    </w:lvl>
    <w:lvl w:ilvl="2" w:tplc="82185418" w:tentative="1">
      <w:start w:val="1"/>
      <w:numFmt w:val="bullet"/>
      <w:lvlText w:val=""/>
      <w:lvlJc w:val="left"/>
      <w:pPr>
        <w:ind w:left="2160" w:hanging="360"/>
      </w:pPr>
      <w:rPr>
        <w:rFonts w:ascii="Wingdings" w:hAnsi="Wingdings" w:hint="default"/>
      </w:rPr>
    </w:lvl>
    <w:lvl w:ilvl="3" w:tplc="955ED6A0" w:tentative="1">
      <w:start w:val="1"/>
      <w:numFmt w:val="bullet"/>
      <w:lvlText w:val=""/>
      <w:lvlJc w:val="left"/>
      <w:pPr>
        <w:ind w:left="2880" w:hanging="360"/>
      </w:pPr>
      <w:rPr>
        <w:rFonts w:ascii="Symbol" w:hAnsi="Symbol" w:hint="default"/>
      </w:rPr>
    </w:lvl>
    <w:lvl w:ilvl="4" w:tplc="71BC99F2" w:tentative="1">
      <w:start w:val="1"/>
      <w:numFmt w:val="bullet"/>
      <w:lvlText w:val="o"/>
      <w:lvlJc w:val="left"/>
      <w:pPr>
        <w:ind w:left="3600" w:hanging="360"/>
      </w:pPr>
      <w:rPr>
        <w:rFonts w:ascii="Courier New" w:hAnsi="Courier New" w:cs="Courier New" w:hint="default"/>
      </w:rPr>
    </w:lvl>
    <w:lvl w:ilvl="5" w:tplc="6D220BE8" w:tentative="1">
      <w:start w:val="1"/>
      <w:numFmt w:val="bullet"/>
      <w:lvlText w:val=""/>
      <w:lvlJc w:val="left"/>
      <w:pPr>
        <w:ind w:left="4320" w:hanging="360"/>
      </w:pPr>
      <w:rPr>
        <w:rFonts w:ascii="Wingdings" w:hAnsi="Wingdings" w:hint="default"/>
      </w:rPr>
    </w:lvl>
    <w:lvl w:ilvl="6" w:tplc="013A6618" w:tentative="1">
      <w:start w:val="1"/>
      <w:numFmt w:val="bullet"/>
      <w:lvlText w:val=""/>
      <w:lvlJc w:val="left"/>
      <w:pPr>
        <w:ind w:left="5040" w:hanging="360"/>
      </w:pPr>
      <w:rPr>
        <w:rFonts w:ascii="Symbol" w:hAnsi="Symbol" w:hint="default"/>
      </w:rPr>
    </w:lvl>
    <w:lvl w:ilvl="7" w:tplc="2F52CB4A" w:tentative="1">
      <w:start w:val="1"/>
      <w:numFmt w:val="bullet"/>
      <w:lvlText w:val="o"/>
      <w:lvlJc w:val="left"/>
      <w:pPr>
        <w:ind w:left="5760" w:hanging="360"/>
      </w:pPr>
      <w:rPr>
        <w:rFonts w:ascii="Courier New" w:hAnsi="Courier New" w:cs="Courier New" w:hint="default"/>
      </w:rPr>
    </w:lvl>
    <w:lvl w:ilvl="8" w:tplc="9280B6A4" w:tentative="1">
      <w:start w:val="1"/>
      <w:numFmt w:val="bullet"/>
      <w:lvlText w:val=""/>
      <w:lvlJc w:val="left"/>
      <w:pPr>
        <w:ind w:left="6480" w:hanging="360"/>
      </w:pPr>
      <w:rPr>
        <w:rFonts w:ascii="Wingdings" w:hAnsi="Wingdings" w:hint="default"/>
      </w:rPr>
    </w:lvl>
  </w:abstractNum>
  <w:abstractNum w:abstractNumId="52" w15:restartNumberingAfterBreak="0">
    <w:nsid w:val="5C6A2639"/>
    <w:multiLevelType w:val="hybridMultilevel"/>
    <w:tmpl w:val="81A037E4"/>
    <w:lvl w:ilvl="0" w:tplc="5D6EC030">
      <w:start w:val="1"/>
      <w:numFmt w:val="bullet"/>
      <w:lvlText w:val=""/>
      <w:lvlJc w:val="left"/>
      <w:pPr>
        <w:tabs>
          <w:tab w:val="num" w:pos="1440"/>
        </w:tabs>
        <w:ind w:left="1440" w:hanging="360"/>
      </w:pPr>
      <w:rPr>
        <w:rFonts w:ascii="Symbol" w:hAnsi="Symbol" w:cs="Symbol" w:hint="default"/>
        <w:color w:val="auto"/>
        <w:sz w:val="20"/>
        <w:szCs w:val="20"/>
      </w:rPr>
    </w:lvl>
    <w:lvl w:ilvl="1" w:tplc="696A95C8">
      <w:start w:val="1"/>
      <w:numFmt w:val="bullet"/>
      <w:lvlText w:val="o"/>
      <w:lvlJc w:val="left"/>
      <w:pPr>
        <w:tabs>
          <w:tab w:val="num" w:pos="1440"/>
        </w:tabs>
        <w:ind w:left="1440" w:hanging="360"/>
      </w:pPr>
      <w:rPr>
        <w:rFonts w:ascii="Courier New" w:hAnsi="Courier New" w:cs="Courier New" w:hint="default"/>
      </w:rPr>
    </w:lvl>
    <w:lvl w:ilvl="2" w:tplc="8C1EE14E">
      <w:start w:val="1"/>
      <w:numFmt w:val="bullet"/>
      <w:lvlText w:val=""/>
      <w:lvlJc w:val="left"/>
      <w:pPr>
        <w:tabs>
          <w:tab w:val="num" w:pos="2160"/>
        </w:tabs>
        <w:ind w:left="2160" w:hanging="360"/>
      </w:pPr>
      <w:rPr>
        <w:rFonts w:ascii="Wingdings" w:hAnsi="Wingdings" w:cs="Wingdings" w:hint="default"/>
      </w:rPr>
    </w:lvl>
    <w:lvl w:ilvl="3" w:tplc="049AC196">
      <w:start w:val="1"/>
      <w:numFmt w:val="bullet"/>
      <w:lvlText w:val=""/>
      <w:lvlJc w:val="left"/>
      <w:pPr>
        <w:tabs>
          <w:tab w:val="num" w:pos="2880"/>
        </w:tabs>
        <w:ind w:left="2880" w:hanging="360"/>
      </w:pPr>
      <w:rPr>
        <w:rFonts w:ascii="Symbol" w:hAnsi="Symbol" w:cs="Symbol" w:hint="default"/>
      </w:rPr>
    </w:lvl>
    <w:lvl w:ilvl="4" w:tplc="46C8D71E">
      <w:start w:val="1"/>
      <w:numFmt w:val="bullet"/>
      <w:lvlText w:val="o"/>
      <w:lvlJc w:val="left"/>
      <w:pPr>
        <w:tabs>
          <w:tab w:val="num" w:pos="3600"/>
        </w:tabs>
        <w:ind w:left="3600" w:hanging="360"/>
      </w:pPr>
      <w:rPr>
        <w:rFonts w:ascii="Courier New" w:hAnsi="Courier New" w:cs="Courier New" w:hint="default"/>
      </w:rPr>
    </w:lvl>
    <w:lvl w:ilvl="5" w:tplc="265862E6">
      <w:start w:val="1"/>
      <w:numFmt w:val="bullet"/>
      <w:lvlText w:val=""/>
      <w:lvlJc w:val="left"/>
      <w:pPr>
        <w:tabs>
          <w:tab w:val="num" w:pos="4320"/>
        </w:tabs>
        <w:ind w:left="4320" w:hanging="360"/>
      </w:pPr>
      <w:rPr>
        <w:rFonts w:ascii="Wingdings" w:hAnsi="Wingdings" w:cs="Wingdings" w:hint="default"/>
      </w:rPr>
    </w:lvl>
    <w:lvl w:ilvl="6" w:tplc="9CC48128">
      <w:start w:val="1"/>
      <w:numFmt w:val="bullet"/>
      <w:lvlText w:val=""/>
      <w:lvlJc w:val="left"/>
      <w:pPr>
        <w:tabs>
          <w:tab w:val="num" w:pos="5040"/>
        </w:tabs>
        <w:ind w:left="5040" w:hanging="360"/>
      </w:pPr>
      <w:rPr>
        <w:rFonts w:ascii="Symbol" w:hAnsi="Symbol" w:cs="Symbol" w:hint="default"/>
      </w:rPr>
    </w:lvl>
    <w:lvl w:ilvl="7" w:tplc="3C7A77A0">
      <w:start w:val="1"/>
      <w:numFmt w:val="bullet"/>
      <w:lvlText w:val="o"/>
      <w:lvlJc w:val="left"/>
      <w:pPr>
        <w:tabs>
          <w:tab w:val="num" w:pos="5760"/>
        </w:tabs>
        <w:ind w:left="5760" w:hanging="360"/>
      </w:pPr>
      <w:rPr>
        <w:rFonts w:ascii="Courier New" w:hAnsi="Courier New" w:cs="Courier New" w:hint="default"/>
      </w:rPr>
    </w:lvl>
    <w:lvl w:ilvl="8" w:tplc="D3C234CE">
      <w:start w:val="1"/>
      <w:numFmt w:val="bullet"/>
      <w:lvlText w:val=""/>
      <w:lvlJc w:val="left"/>
      <w:pPr>
        <w:tabs>
          <w:tab w:val="num" w:pos="6480"/>
        </w:tabs>
        <w:ind w:left="6480" w:hanging="360"/>
      </w:pPr>
      <w:rPr>
        <w:rFonts w:ascii="Wingdings" w:hAnsi="Wingdings" w:cs="Wingdings" w:hint="default"/>
      </w:rPr>
    </w:lvl>
  </w:abstractNum>
  <w:abstractNum w:abstractNumId="53" w15:restartNumberingAfterBreak="0">
    <w:nsid w:val="5ED67F96"/>
    <w:multiLevelType w:val="hybridMultilevel"/>
    <w:tmpl w:val="F184069A"/>
    <w:lvl w:ilvl="0" w:tplc="C78020F6">
      <w:start w:val="1"/>
      <w:numFmt w:val="bullet"/>
      <w:lvlText w:val=""/>
      <w:lvlJc w:val="left"/>
      <w:pPr>
        <w:ind w:left="360" w:hanging="360"/>
      </w:pPr>
      <w:rPr>
        <w:rFonts w:ascii="Symbol" w:hAnsi="Symbol" w:cs="Symbol" w:hint="default"/>
        <w:color w:val="auto"/>
        <w:sz w:val="20"/>
        <w:szCs w:val="20"/>
      </w:rPr>
    </w:lvl>
    <w:lvl w:ilvl="1" w:tplc="F5BE1DD2" w:tentative="1">
      <w:start w:val="1"/>
      <w:numFmt w:val="bullet"/>
      <w:lvlText w:val="o"/>
      <w:lvlJc w:val="left"/>
      <w:pPr>
        <w:ind w:left="1080" w:hanging="360"/>
      </w:pPr>
      <w:rPr>
        <w:rFonts w:ascii="Courier New" w:hAnsi="Courier New" w:cs="Courier New" w:hint="default"/>
      </w:rPr>
    </w:lvl>
    <w:lvl w:ilvl="2" w:tplc="6966F3C6" w:tentative="1">
      <w:start w:val="1"/>
      <w:numFmt w:val="bullet"/>
      <w:lvlText w:val=""/>
      <w:lvlJc w:val="left"/>
      <w:pPr>
        <w:ind w:left="1800" w:hanging="360"/>
      </w:pPr>
      <w:rPr>
        <w:rFonts w:ascii="Wingdings" w:hAnsi="Wingdings" w:hint="default"/>
      </w:rPr>
    </w:lvl>
    <w:lvl w:ilvl="3" w:tplc="9A3EB1BE" w:tentative="1">
      <w:start w:val="1"/>
      <w:numFmt w:val="bullet"/>
      <w:lvlText w:val=""/>
      <w:lvlJc w:val="left"/>
      <w:pPr>
        <w:ind w:left="2520" w:hanging="360"/>
      </w:pPr>
      <w:rPr>
        <w:rFonts w:ascii="Symbol" w:hAnsi="Symbol" w:hint="default"/>
      </w:rPr>
    </w:lvl>
    <w:lvl w:ilvl="4" w:tplc="5F7A52DE" w:tentative="1">
      <w:start w:val="1"/>
      <w:numFmt w:val="bullet"/>
      <w:lvlText w:val="o"/>
      <w:lvlJc w:val="left"/>
      <w:pPr>
        <w:ind w:left="3240" w:hanging="360"/>
      </w:pPr>
      <w:rPr>
        <w:rFonts w:ascii="Courier New" w:hAnsi="Courier New" w:cs="Courier New" w:hint="default"/>
      </w:rPr>
    </w:lvl>
    <w:lvl w:ilvl="5" w:tplc="8B92F772" w:tentative="1">
      <w:start w:val="1"/>
      <w:numFmt w:val="bullet"/>
      <w:lvlText w:val=""/>
      <w:lvlJc w:val="left"/>
      <w:pPr>
        <w:ind w:left="3960" w:hanging="360"/>
      </w:pPr>
      <w:rPr>
        <w:rFonts w:ascii="Wingdings" w:hAnsi="Wingdings" w:hint="default"/>
      </w:rPr>
    </w:lvl>
    <w:lvl w:ilvl="6" w:tplc="85325152" w:tentative="1">
      <w:start w:val="1"/>
      <w:numFmt w:val="bullet"/>
      <w:lvlText w:val=""/>
      <w:lvlJc w:val="left"/>
      <w:pPr>
        <w:ind w:left="4680" w:hanging="360"/>
      </w:pPr>
      <w:rPr>
        <w:rFonts w:ascii="Symbol" w:hAnsi="Symbol" w:hint="default"/>
      </w:rPr>
    </w:lvl>
    <w:lvl w:ilvl="7" w:tplc="3AA4F2A4" w:tentative="1">
      <w:start w:val="1"/>
      <w:numFmt w:val="bullet"/>
      <w:lvlText w:val="o"/>
      <w:lvlJc w:val="left"/>
      <w:pPr>
        <w:ind w:left="5400" w:hanging="360"/>
      </w:pPr>
      <w:rPr>
        <w:rFonts w:ascii="Courier New" w:hAnsi="Courier New" w:cs="Courier New" w:hint="default"/>
      </w:rPr>
    </w:lvl>
    <w:lvl w:ilvl="8" w:tplc="2FA41FBA" w:tentative="1">
      <w:start w:val="1"/>
      <w:numFmt w:val="bullet"/>
      <w:lvlText w:val=""/>
      <w:lvlJc w:val="left"/>
      <w:pPr>
        <w:ind w:left="6120" w:hanging="360"/>
      </w:pPr>
      <w:rPr>
        <w:rFonts w:ascii="Wingdings" w:hAnsi="Wingdings" w:hint="default"/>
      </w:rPr>
    </w:lvl>
  </w:abstractNum>
  <w:abstractNum w:abstractNumId="54" w15:restartNumberingAfterBreak="0">
    <w:nsid w:val="63160920"/>
    <w:multiLevelType w:val="hybridMultilevel"/>
    <w:tmpl w:val="75721DB8"/>
    <w:lvl w:ilvl="0" w:tplc="44004702">
      <w:start w:val="1"/>
      <w:numFmt w:val="bullet"/>
      <w:lvlText w:val=""/>
      <w:lvlJc w:val="left"/>
      <w:pPr>
        <w:ind w:left="360" w:hanging="360"/>
      </w:pPr>
      <w:rPr>
        <w:rFonts w:ascii="Symbol" w:hAnsi="Symbol" w:hint="default"/>
      </w:rPr>
    </w:lvl>
    <w:lvl w:ilvl="1" w:tplc="7A8A885E" w:tentative="1">
      <w:start w:val="1"/>
      <w:numFmt w:val="bullet"/>
      <w:lvlText w:val="o"/>
      <w:lvlJc w:val="left"/>
      <w:pPr>
        <w:ind w:left="1080" w:hanging="360"/>
      </w:pPr>
      <w:rPr>
        <w:rFonts w:ascii="Courier New" w:hAnsi="Courier New" w:cs="Courier New" w:hint="default"/>
      </w:rPr>
    </w:lvl>
    <w:lvl w:ilvl="2" w:tplc="28C8D1CE" w:tentative="1">
      <w:start w:val="1"/>
      <w:numFmt w:val="bullet"/>
      <w:lvlText w:val=""/>
      <w:lvlJc w:val="left"/>
      <w:pPr>
        <w:ind w:left="1800" w:hanging="360"/>
      </w:pPr>
      <w:rPr>
        <w:rFonts w:ascii="Wingdings" w:hAnsi="Wingdings" w:hint="default"/>
      </w:rPr>
    </w:lvl>
    <w:lvl w:ilvl="3" w:tplc="6FE2C69C" w:tentative="1">
      <w:start w:val="1"/>
      <w:numFmt w:val="bullet"/>
      <w:lvlText w:val=""/>
      <w:lvlJc w:val="left"/>
      <w:pPr>
        <w:ind w:left="2520" w:hanging="360"/>
      </w:pPr>
      <w:rPr>
        <w:rFonts w:ascii="Symbol" w:hAnsi="Symbol" w:hint="default"/>
      </w:rPr>
    </w:lvl>
    <w:lvl w:ilvl="4" w:tplc="04160126" w:tentative="1">
      <w:start w:val="1"/>
      <w:numFmt w:val="bullet"/>
      <w:lvlText w:val="o"/>
      <w:lvlJc w:val="left"/>
      <w:pPr>
        <w:ind w:left="3240" w:hanging="360"/>
      </w:pPr>
      <w:rPr>
        <w:rFonts w:ascii="Courier New" w:hAnsi="Courier New" w:cs="Courier New" w:hint="default"/>
      </w:rPr>
    </w:lvl>
    <w:lvl w:ilvl="5" w:tplc="6516618C" w:tentative="1">
      <w:start w:val="1"/>
      <w:numFmt w:val="bullet"/>
      <w:lvlText w:val=""/>
      <w:lvlJc w:val="left"/>
      <w:pPr>
        <w:ind w:left="3960" w:hanging="360"/>
      </w:pPr>
      <w:rPr>
        <w:rFonts w:ascii="Wingdings" w:hAnsi="Wingdings" w:hint="default"/>
      </w:rPr>
    </w:lvl>
    <w:lvl w:ilvl="6" w:tplc="B39C0B56" w:tentative="1">
      <w:start w:val="1"/>
      <w:numFmt w:val="bullet"/>
      <w:lvlText w:val=""/>
      <w:lvlJc w:val="left"/>
      <w:pPr>
        <w:ind w:left="4680" w:hanging="360"/>
      </w:pPr>
      <w:rPr>
        <w:rFonts w:ascii="Symbol" w:hAnsi="Symbol" w:hint="default"/>
      </w:rPr>
    </w:lvl>
    <w:lvl w:ilvl="7" w:tplc="5896D84E" w:tentative="1">
      <w:start w:val="1"/>
      <w:numFmt w:val="bullet"/>
      <w:lvlText w:val="o"/>
      <w:lvlJc w:val="left"/>
      <w:pPr>
        <w:ind w:left="5400" w:hanging="360"/>
      </w:pPr>
      <w:rPr>
        <w:rFonts w:ascii="Courier New" w:hAnsi="Courier New" w:cs="Courier New" w:hint="default"/>
      </w:rPr>
    </w:lvl>
    <w:lvl w:ilvl="8" w:tplc="C28C1AC4" w:tentative="1">
      <w:start w:val="1"/>
      <w:numFmt w:val="bullet"/>
      <w:lvlText w:val=""/>
      <w:lvlJc w:val="left"/>
      <w:pPr>
        <w:ind w:left="6120" w:hanging="360"/>
      </w:pPr>
      <w:rPr>
        <w:rFonts w:ascii="Wingdings" w:hAnsi="Wingdings" w:hint="default"/>
      </w:rPr>
    </w:lvl>
  </w:abstractNum>
  <w:abstractNum w:abstractNumId="55" w15:restartNumberingAfterBreak="0">
    <w:nsid w:val="63237A55"/>
    <w:multiLevelType w:val="hybridMultilevel"/>
    <w:tmpl w:val="9FAE6A08"/>
    <w:lvl w:ilvl="0" w:tplc="8C1A2E8C">
      <w:start w:val="1"/>
      <w:numFmt w:val="decimal"/>
      <w:lvlText w:val="%1."/>
      <w:lvlJc w:val="left"/>
      <w:pPr>
        <w:ind w:left="720" w:hanging="360"/>
      </w:pPr>
      <w:rPr>
        <w:rFonts w:hint="default"/>
      </w:rPr>
    </w:lvl>
    <w:lvl w:ilvl="1" w:tplc="09D0E5B4" w:tentative="1">
      <w:start w:val="1"/>
      <w:numFmt w:val="lowerLetter"/>
      <w:lvlText w:val="%2."/>
      <w:lvlJc w:val="left"/>
      <w:pPr>
        <w:ind w:left="1440" w:hanging="360"/>
      </w:pPr>
    </w:lvl>
    <w:lvl w:ilvl="2" w:tplc="B91035BA" w:tentative="1">
      <w:start w:val="1"/>
      <w:numFmt w:val="lowerRoman"/>
      <w:lvlText w:val="%3."/>
      <w:lvlJc w:val="right"/>
      <w:pPr>
        <w:ind w:left="2160" w:hanging="180"/>
      </w:pPr>
    </w:lvl>
    <w:lvl w:ilvl="3" w:tplc="ABE86268" w:tentative="1">
      <w:start w:val="1"/>
      <w:numFmt w:val="decimal"/>
      <w:lvlText w:val="%4."/>
      <w:lvlJc w:val="left"/>
      <w:pPr>
        <w:ind w:left="2880" w:hanging="360"/>
      </w:pPr>
    </w:lvl>
    <w:lvl w:ilvl="4" w:tplc="8B2EF1B0" w:tentative="1">
      <w:start w:val="1"/>
      <w:numFmt w:val="lowerLetter"/>
      <w:lvlText w:val="%5."/>
      <w:lvlJc w:val="left"/>
      <w:pPr>
        <w:ind w:left="3600" w:hanging="360"/>
      </w:pPr>
    </w:lvl>
    <w:lvl w:ilvl="5" w:tplc="9E800B0E" w:tentative="1">
      <w:start w:val="1"/>
      <w:numFmt w:val="lowerRoman"/>
      <w:lvlText w:val="%6."/>
      <w:lvlJc w:val="right"/>
      <w:pPr>
        <w:ind w:left="4320" w:hanging="180"/>
      </w:pPr>
    </w:lvl>
    <w:lvl w:ilvl="6" w:tplc="920A160C" w:tentative="1">
      <w:start w:val="1"/>
      <w:numFmt w:val="decimal"/>
      <w:lvlText w:val="%7."/>
      <w:lvlJc w:val="left"/>
      <w:pPr>
        <w:ind w:left="5040" w:hanging="360"/>
      </w:pPr>
    </w:lvl>
    <w:lvl w:ilvl="7" w:tplc="28E0A844" w:tentative="1">
      <w:start w:val="1"/>
      <w:numFmt w:val="lowerLetter"/>
      <w:lvlText w:val="%8."/>
      <w:lvlJc w:val="left"/>
      <w:pPr>
        <w:ind w:left="5760" w:hanging="360"/>
      </w:pPr>
    </w:lvl>
    <w:lvl w:ilvl="8" w:tplc="B52016AA" w:tentative="1">
      <w:start w:val="1"/>
      <w:numFmt w:val="lowerRoman"/>
      <w:lvlText w:val="%9."/>
      <w:lvlJc w:val="right"/>
      <w:pPr>
        <w:ind w:left="6480" w:hanging="180"/>
      </w:pPr>
    </w:lvl>
  </w:abstractNum>
  <w:abstractNum w:abstractNumId="56" w15:restartNumberingAfterBreak="0">
    <w:nsid w:val="69E95A54"/>
    <w:multiLevelType w:val="hybridMultilevel"/>
    <w:tmpl w:val="3C18EFB0"/>
    <w:lvl w:ilvl="0" w:tplc="40708FA0">
      <w:start w:val="1"/>
      <w:numFmt w:val="bullet"/>
      <w:lvlText w:val=""/>
      <w:lvlJc w:val="left"/>
      <w:pPr>
        <w:tabs>
          <w:tab w:val="num" w:pos="397"/>
        </w:tabs>
        <w:ind w:left="397" w:hanging="397"/>
      </w:pPr>
      <w:rPr>
        <w:rFonts w:ascii="Symbol" w:hAnsi="Symbol" w:cs="Symbol" w:hint="default"/>
      </w:rPr>
    </w:lvl>
    <w:lvl w:ilvl="1" w:tplc="658E7198">
      <w:start w:val="1"/>
      <w:numFmt w:val="bullet"/>
      <w:lvlText w:val="o"/>
      <w:lvlJc w:val="left"/>
      <w:pPr>
        <w:tabs>
          <w:tab w:val="num" w:pos="1440"/>
        </w:tabs>
        <w:ind w:left="1440" w:hanging="360"/>
      </w:pPr>
      <w:rPr>
        <w:rFonts w:ascii="Courier New" w:hAnsi="Courier New" w:cs="Courier New" w:hint="default"/>
      </w:rPr>
    </w:lvl>
    <w:lvl w:ilvl="2" w:tplc="631ED772">
      <w:start w:val="1"/>
      <w:numFmt w:val="bullet"/>
      <w:lvlText w:val=""/>
      <w:lvlJc w:val="left"/>
      <w:pPr>
        <w:tabs>
          <w:tab w:val="num" w:pos="2160"/>
        </w:tabs>
        <w:ind w:left="2160" w:hanging="360"/>
      </w:pPr>
      <w:rPr>
        <w:rFonts w:ascii="Wingdings" w:hAnsi="Wingdings" w:cs="Wingdings" w:hint="default"/>
      </w:rPr>
    </w:lvl>
    <w:lvl w:ilvl="3" w:tplc="D77E7AB6">
      <w:start w:val="1"/>
      <w:numFmt w:val="bullet"/>
      <w:lvlText w:val=""/>
      <w:lvlJc w:val="left"/>
      <w:pPr>
        <w:tabs>
          <w:tab w:val="num" w:pos="2880"/>
        </w:tabs>
        <w:ind w:left="2880" w:hanging="360"/>
      </w:pPr>
      <w:rPr>
        <w:rFonts w:ascii="Symbol" w:hAnsi="Symbol" w:cs="Symbol" w:hint="default"/>
      </w:rPr>
    </w:lvl>
    <w:lvl w:ilvl="4" w:tplc="FE746494">
      <w:start w:val="1"/>
      <w:numFmt w:val="bullet"/>
      <w:lvlText w:val="o"/>
      <w:lvlJc w:val="left"/>
      <w:pPr>
        <w:tabs>
          <w:tab w:val="num" w:pos="3600"/>
        </w:tabs>
        <w:ind w:left="3600" w:hanging="360"/>
      </w:pPr>
      <w:rPr>
        <w:rFonts w:ascii="Courier New" w:hAnsi="Courier New" w:cs="Courier New" w:hint="default"/>
      </w:rPr>
    </w:lvl>
    <w:lvl w:ilvl="5" w:tplc="E1BC7072">
      <w:start w:val="1"/>
      <w:numFmt w:val="bullet"/>
      <w:lvlText w:val=""/>
      <w:lvlJc w:val="left"/>
      <w:pPr>
        <w:tabs>
          <w:tab w:val="num" w:pos="4320"/>
        </w:tabs>
        <w:ind w:left="4320" w:hanging="360"/>
      </w:pPr>
      <w:rPr>
        <w:rFonts w:ascii="Wingdings" w:hAnsi="Wingdings" w:cs="Wingdings" w:hint="default"/>
      </w:rPr>
    </w:lvl>
    <w:lvl w:ilvl="6" w:tplc="56184478">
      <w:start w:val="1"/>
      <w:numFmt w:val="bullet"/>
      <w:lvlText w:val=""/>
      <w:lvlJc w:val="left"/>
      <w:pPr>
        <w:tabs>
          <w:tab w:val="num" w:pos="5040"/>
        </w:tabs>
        <w:ind w:left="5040" w:hanging="360"/>
      </w:pPr>
      <w:rPr>
        <w:rFonts w:ascii="Symbol" w:hAnsi="Symbol" w:cs="Symbol" w:hint="default"/>
      </w:rPr>
    </w:lvl>
    <w:lvl w:ilvl="7" w:tplc="1932E166">
      <w:start w:val="1"/>
      <w:numFmt w:val="bullet"/>
      <w:lvlText w:val="o"/>
      <w:lvlJc w:val="left"/>
      <w:pPr>
        <w:tabs>
          <w:tab w:val="num" w:pos="5760"/>
        </w:tabs>
        <w:ind w:left="5760" w:hanging="360"/>
      </w:pPr>
      <w:rPr>
        <w:rFonts w:ascii="Courier New" w:hAnsi="Courier New" w:cs="Courier New" w:hint="default"/>
      </w:rPr>
    </w:lvl>
    <w:lvl w:ilvl="8" w:tplc="B3BCC552">
      <w:start w:val="1"/>
      <w:numFmt w:val="bullet"/>
      <w:lvlText w:val=""/>
      <w:lvlJc w:val="left"/>
      <w:pPr>
        <w:tabs>
          <w:tab w:val="num" w:pos="6480"/>
        </w:tabs>
        <w:ind w:left="6480" w:hanging="360"/>
      </w:pPr>
      <w:rPr>
        <w:rFonts w:ascii="Wingdings" w:hAnsi="Wingdings" w:cs="Wingdings" w:hint="default"/>
      </w:rPr>
    </w:lvl>
  </w:abstractNum>
  <w:abstractNum w:abstractNumId="57" w15:restartNumberingAfterBreak="0">
    <w:nsid w:val="6AC54EE8"/>
    <w:multiLevelType w:val="hybridMultilevel"/>
    <w:tmpl w:val="CD26C59C"/>
    <w:lvl w:ilvl="0" w:tplc="17904C26">
      <w:start w:val="1"/>
      <w:numFmt w:val="bullet"/>
      <w:lvlText w:val=""/>
      <w:lvlJc w:val="left"/>
      <w:pPr>
        <w:tabs>
          <w:tab w:val="num" w:pos="360"/>
        </w:tabs>
        <w:ind w:left="360" w:hanging="360"/>
      </w:pPr>
      <w:rPr>
        <w:rFonts w:ascii="Symbol" w:hAnsi="Symbol" w:cs="Symbol" w:hint="default"/>
        <w:color w:val="auto"/>
        <w:sz w:val="20"/>
        <w:szCs w:val="20"/>
      </w:rPr>
    </w:lvl>
    <w:lvl w:ilvl="1" w:tplc="BEB22690">
      <w:start w:val="1"/>
      <w:numFmt w:val="bullet"/>
      <w:lvlText w:val="o"/>
      <w:lvlJc w:val="left"/>
      <w:pPr>
        <w:tabs>
          <w:tab w:val="num" w:pos="1440"/>
        </w:tabs>
        <w:ind w:left="1440" w:hanging="360"/>
      </w:pPr>
      <w:rPr>
        <w:rFonts w:ascii="Courier New" w:hAnsi="Courier New" w:cs="Courier New" w:hint="default"/>
      </w:rPr>
    </w:lvl>
    <w:lvl w:ilvl="2" w:tplc="D0A27E1E">
      <w:start w:val="1"/>
      <w:numFmt w:val="bullet"/>
      <w:lvlText w:val=""/>
      <w:lvlJc w:val="left"/>
      <w:pPr>
        <w:tabs>
          <w:tab w:val="num" w:pos="2160"/>
        </w:tabs>
        <w:ind w:left="2160" w:hanging="360"/>
      </w:pPr>
      <w:rPr>
        <w:rFonts w:ascii="Wingdings" w:hAnsi="Wingdings" w:cs="Wingdings" w:hint="default"/>
      </w:rPr>
    </w:lvl>
    <w:lvl w:ilvl="3" w:tplc="D58261B2">
      <w:start w:val="1"/>
      <w:numFmt w:val="bullet"/>
      <w:lvlText w:val=""/>
      <w:lvlJc w:val="left"/>
      <w:pPr>
        <w:tabs>
          <w:tab w:val="num" w:pos="2880"/>
        </w:tabs>
        <w:ind w:left="2880" w:hanging="360"/>
      </w:pPr>
      <w:rPr>
        <w:rFonts w:ascii="Symbol" w:hAnsi="Symbol" w:cs="Symbol" w:hint="default"/>
      </w:rPr>
    </w:lvl>
    <w:lvl w:ilvl="4" w:tplc="833C29EE">
      <w:start w:val="1"/>
      <w:numFmt w:val="bullet"/>
      <w:lvlText w:val="o"/>
      <w:lvlJc w:val="left"/>
      <w:pPr>
        <w:tabs>
          <w:tab w:val="num" w:pos="3600"/>
        </w:tabs>
        <w:ind w:left="3600" w:hanging="360"/>
      </w:pPr>
      <w:rPr>
        <w:rFonts w:ascii="Courier New" w:hAnsi="Courier New" w:cs="Courier New" w:hint="default"/>
      </w:rPr>
    </w:lvl>
    <w:lvl w:ilvl="5" w:tplc="1090E0E2">
      <w:start w:val="1"/>
      <w:numFmt w:val="bullet"/>
      <w:lvlText w:val=""/>
      <w:lvlJc w:val="left"/>
      <w:pPr>
        <w:tabs>
          <w:tab w:val="num" w:pos="4320"/>
        </w:tabs>
        <w:ind w:left="4320" w:hanging="360"/>
      </w:pPr>
      <w:rPr>
        <w:rFonts w:ascii="Wingdings" w:hAnsi="Wingdings" w:cs="Wingdings" w:hint="default"/>
      </w:rPr>
    </w:lvl>
    <w:lvl w:ilvl="6" w:tplc="C866732E">
      <w:start w:val="1"/>
      <w:numFmt w:val="bullet"/>
      <w:lvlText w:val=""/>
      <w:lvlJc w:val="left"/>
      <w:pPr>
        <w:tabs>
          <w:tab w:val="num" w:pos="5040"/>
        </w:tabs>
        <w:ind w:left="5040" w:hanging="360"/>
      </w:pPr>
      <w:rPr>
        <w:rFonts w:ascii="Symbol" w:hAnsi="Symbol" w:cs="Symbol" w:hint="default"/>
      </w:rPr>
    </w:lvl>
    <w:lvl w:ilvl="7" w:tplc="3FE0C448">
      <w:start w:val="1"/>
      <w:numFmt w:val="bullet"/>
      <w:lvlText w:val="o"/>
      <w:lvlJc w:val="left"/>
      <w:pPr>
        <w:tabs>
          <w:tab w:val="num" w:pos="5760"/>
        </w:tabs>
        <w:ind w:left="5760" w:hanging="360"/>
      </w:pPr>
      <w:rPr>
        <w:rFonts w:ascii="Courier New" w:hAnsi="Courier New" w:cs="Courier New" w:hint="default"/>
      </w:rPr>
    </w:lvl>
    <w:lvl w:ilvl="8" w:tplc="8E4C72D2">
      <w:start w:val="1"/>
      <w:numFmt w:val="bullet"/>
      <w:lvlText w:val=""/>
      <w:lvlJc w:val="left"/>
      <w:pPr>
        <w:tabs>
          <w:tab w:val="num" w:pos="6480"/>
        </w:tabs>
        <w:ind w:left="6480" w:hanging="360"/>
      </w:pPr>
      <w:rPr>
        <w:rFonts w:ascii="Wingdings" w:hAnsi="Wingdings" w:cs="Wingdings" w:hint="default"/>
      </w:rPr>
    </w:lvl>
  </w:abstractNum>
  <w:abstractNum w:abstractNumId="58" w15:restartNumberingAfterBreak="0">
    <w:nsid w:val="6E4E7396"/>
    <w:multiLevelType w:val="hybridMultilevel"/>
    <w:tmpl w:val="740C63FA"/>
    <w:lvl w:ilvl="0" w:tplc="2F040806">
      <w:numFmt w:val="bullet"/>
      <w:lvlText w:val="-"/>
      <w:lvlJc w:val="left"/>
      <w:pPr>
        <w:ind w:left="720" w:hanging="360"/>
      </w:pPr>
      <w:rPr>
        <w:rFonts w:ascii="Times New Roman" w:eastAsia="Calibri" w:hAnsi="Times New Roman" w:cs="Times New Roman" w:hint="default"/>
      </w:rPr>
    </w:lvl>
    <w:lvl w:ilvl="1" w:tplc="5298EBF4" w:tentative="1">
      <w:start w:val="1"/>
      <w:numFmt w:val="bullet"/>
      <w:lvlText w:val="o"/>
      <w:lvlJc w:val="left"/>
      <w:pPr>
        <w:ind w:left="1440" w:hanging="360"/>
      </w:pPr>
      <w:rPr>
        <w:rFonts w:ascii="Courier New" w:hAnsi="Courier New" w:cs="Courier New" w:hint="default"/>
      </w:rPr>
    </w:lvl>
    <w:lvl w:ilvl="2" w:tplc="9BA0CD64" w:tentative="1">
      <w:start w:val="1"/>
      <w:numFmt w:val="bullet"/>
      <w:lvlText w:val=""/>
      <w:lvlJc w:val="left"/>
      <w:pPr>
        <w:ind w:left="2160" w:hanging="360"/>
      </w:pPr>
      <w:rPr>
        <w:rFonts w:ascii="Wingdings" w:hAnsi="Wingdings" w:hint="default"/>
      </w:rPr>
    </w:lvl>
    <w:lvl w:ilvl="3" w:tplc="066CDEBA" w:tentative="1">
      <w:start w:val="1"/>
      <w:numFmt w:val="bullet"/>
      <w:lvlText w:val=""/>
      <w:lvlJc w:val="left"/>
      <w:pPr>
        <w:ind w:left="2880" w:hanging="360"/>
      </w:pPr>
      <w:rPr>
        <w:rFonts w:ascii="Symbol" w:hAnsi="Symbol" w:hint="default"/>
      </w:rPr>
    </w:lvl>
    <w:lvl w:ilvl="4" w:tplc="FEC08E7E" w:tentative="1">
      <w:start w:val="1"/>
      <w:numFmt w:val="bullet"/>
      <w:lvlText w:val="o"/>
      <w:lvlJc w:val="left"/>
      <w:pPr>
        <w:ind w:left="3600" w:hanging="360"/>
      </w:pPr>
      <w:rPr>
        <w:rFonts w:ascii="Courier New" w:hAnsi="Courier New" w:cs="Courier New" w:hint="default"/>
      </w:rPr>
    </w:lvl>
    <w:lvl w:ilvl="5" w:tplc="F75E9C84" w:tentative="1">
      <w:start w:val="1"/>
      <w:numFmt w:val="bullet"/>
      <w:lvlText w:val=""/>
      <w:lvlJc w:val="left"/>
      <w:pPr>
        <w:ind w:left="4320" w:hanging="360"/>
      </w:pPr>
      <w:rPr>
        <w:rFonts w:ascii="Wingdings" w:hAnsi="Wingdings" w:hint="default"/>
      </w:rPr>
    </w:lvl>
    <w:lvl w:ilvl="6" w:tplc="0F186FC4" w:tentative="1">
      <w:start w:val="1"/>
      <w:numFmt w:val="bullet"/>
      <w:lvlText w:val=""/>
      <w:lvlJc w:val="left"/>
      <w:pPr>
        <w:ind w:left="5040" w:hanging="360"/>
      </w:pPr>
      <w:rPr>
        <w:rFonts w:ascii="Symbol" w:hAnsi="Symbol" w:hint="default"/>
      </w:rPr>
    </w:lvl>
    <w:lvl w:ilvl="7" w:tplc="4AA4CDFC" w:tentative="1">
      <w:start w:val="1"/>
      <w:numFmt w:val="bullet"/>
      <w:lvlText w:val="o"/>
      <w:lvlJc w:val="left"/>
      <w:pPr>
        <w:ind w:left="5760" w:hanging="360"/>
      </w:pPr>
      <w:rPr>
        <w:rFonts w:ascii="Courier New" w:hAnsi="Courier New" w:cs="Courier New" w:hint="default"/>
      </w:rPr>
    </w:lvl>
    <w:lvl w:ilvl="8" w:tplc="E4CC1500" w:tentative="1">
      <w:start w:val="1"/>
      <w:numFmt w:val="bullet"/>
      <w:lvlText w:val=""/>
      <w:lvlJc w:val="left"/>
      <w:pPr>
        <w:ind w:left="6480" w:hanging="360"/>
      </w:pPr>
      <w:rPr>
        <w:rFonts w:ascii="Wingdings" w:hAnsi="Wingdings" w:hint="default"/>
      </w:rPr>
    </w:lvl>
  </w:abstractNum>
  <w:abstractNum w:abstractNumId="59" w15:restartNumberingAfterBreak="0">
    <w:nsid w:val="6F9337D0"/>
    <w:multiLevelType w:val="hybridMultilevel"/>
    <w:tmpl w:val="2E1C5278"/>
    <w:lvl w:ilvl="0" w:tplc="B5A2A7C8">
      <w:start w:val="1"/>
      <w:numFmt w:val="bullet"/>
      <w:lvlText w:val=""/>
      <w:lvlJc w:val="left"/>
      <w:pPr>
        <w:tabs>
          <w:tab w:val="num" w:pos="360"/>
        </w:tabs>
        <w:ind w:left="360" w:hanging="360"/>
      </w:pPr>
      <w:rPr>
        <w:rFonts w:ascii="Symbol" w:hAnsi="Symbol" w:hint="default"/>
      </w:rPr>
    </w:lvl>
    <w:lvl w:ilvl="1" w:tplc="412204C2" w:tentative="1">
      <w:start w:val="1"/>
      <w:numFmt w:val="bullet"/>
      <w:lvlText w:val="o"/>
      <w:lvlJc w:val="left"/>
      <w:pPr>
        <w:tabs>
          <w:tab w:val="num" w:pos="1440"/>
        </w:tabs>
        <w:ind w:left="1440" w:hanging="360"/>
      </w:pPr>
      <w:rPr>
        <w:rFonts w:ascii="Courier New" w:hAnsi="Courier New" w:cs="Courier New" w:hint="default"/>
      </w:rPr>
    </w:lvl>
    <w:lvl w:ilvl="2" w:tplc="C9E4AE00" w:tentative="1">
      <w:start w:val="1"/>
      <w:numFmt w:val="bullet"/>
      <w:lvlText w:val=""/>
      <w:lvlJc w:val="left"/>
      <w:pPr>
        <w:tabs>
          <w:tab w:val="num" w:pos="2160"/>
        </w:tabs>
        <w:ind w:left="2160" w:hanging="360"/>
      </w:pPr>
      <w:rPr>
        <w:rFonts w:ascii="Wingdings" w:hAnsi="Wingdings" w:hint="default"/>
      </w:rPr>
    </w:lvl>
    <w:lvl w:ilvl="3" w:tplc="C3FAE732" w:tentative="1">
      <w:start w:val="1"/>
      <w:numFmt w:val="bullet"/>
      <w:lvlText w:val=""/>
      <w:lvlJc w:val="left"/>
      <w:pPr>
        <w:tabs>
          <w:tab w:val="num" w:pos="2880"/>
        </w:tabs>
        <w:ind w:left="2880" w:hanging="360"/>
      </w:pPr>
      <w:rPr>
        <w:rFonts w:ascii="Symbol" w:hAnsi="Symbol" w:hint="default"/>
      </w:rPr>
    </w:lvl>
    <w:lvl w:ilvl="4" w:tplc="ECB0BD56" w:tentative="1">
      <w:start w:val="1"/>
      <w:numFmt w:val="bullet"/>
      <w:lvlText w:val="o"/>
      <w:lvlJc w:val="left"/>
      <w:pPr>
        <w:tabs>
          <w:tab w:val="num" w:pos="3600"/>
        </w:tabs>
        <w:ind w:left="3600" w:hanging="360"/>
      </w:pPr>
      <w:rPr>
        <w:rFonts w:ascii="Courier New" w:hAnsi="Courier New" w:cs="Courier New" w:hint="default"/>
      </w:rPr>
    </w:lvl>
    <w:lvl w:ilvl="5" w:tplc="0C08F5C6" w:tentative="1">
      <w:start w:val="1"/>
      <w:numFmt w:val="bullet"/>
      <w:lvlText w:val=""/>
      <w:lvlJc w:val="left"/>
      <w:pPr>
        <w:tabs>
          <w:tab w:val="num" w:pos="4320"/>
        </w:tabs>
        <w:ind w:left="4320" w:hanging="360"/>
      </w:pPr>
      <w:rPr>
        <w:rFonts w:ascii="Wingdings" w:hAnsi="Wingdings" w:hint="default"/>
      </w:rPr>
    </w:lvl>
    <w:lvl w:ilvl="6" w:tplc="76EE1E4E" w:tentative="1">
      <w:start w:val="1"/>
      <w:numFmt w:val="bullet"/>
      <w:lvlText w:val=""/>
      <w:lvlJc w:val="left"/>
      <w:pPr>
        <w:tabs>
          <w:tab w:val="num" w:pos="5040"/>
        </w:tabs>
        <w:ind w:left="5040" w:hanging="360"/>
      </w:pPr>
      <w:rPr>
        <w:rFonts w:ascii="Symbol" w:hAnsi="Symbol" w:hint="default"/>
      </w:rPr>
    </w:lvl>
    <w:lvl w:ilvl="7" w:tplc="EA8208C6" w:tentative="1">
      <w:start w:val="1"/>
      <w:numFmt w:val="bullet"/>
      <w:lvlText w:val="o"/>
      <w:lvlJc w:val="left"/>
      <w:pPr>
        <w:tabs>
          <w:tab w:val="num" w:pos="5760"/>
        </w:tabs>
        <w:ind w:left="5760" w:hanging="360"/>
      </w:pPr>
      <w:rPr>
        <w:rFonts w:ascii="Courier New" w:hAnsi="Courier New" w:cs="Courier New" w:hint="default"/>
      </w:rPr>
    </w:lvl>
    <w:lvl w:ilvl="8" w:tplc="DA1E36D2"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0681955"/>
    <w:multiLevelType w:val="hybridMultilevel"/>
    <w:tmpl w:val="13424626"/>
    <w:lvl w:ilvl="0" w:tplc="822A2224">
      <w:start w:val="1"/>
      <w:numFmt w:val="bullet"/>
      <w:lvlText w:val=""/>
      <w:lvlJc w:val="left"/>
      <w:pPr>
        <w:ind w:left="720" w:hanging="360"/>
      </w:pPr>
      <w:rPr>
        <w:rFonts w:ascii="Symbol" w:hAnsi="Symbol" w:hint="default"/>
      </w:rPr>
    </w:lvl>
    <w:lvl w:ilvl="1" w:tplc="00145F6E" w:tentative="1">
      <w:start w:val="1"/>
      <w:numFmt w:val="bullet"/>
      <w:lvlText w:val="o"/>
      <w:lvlJc w:val="left"/>
      <w:pPr>
        <w:ind w:left="1440" w:hanging="360"/>
      </w:pPr>
      <w:rPr>
        <w:rFonts w:ascii="Courier New" w:hAnsi="Courier New" w:cs="Courier New" w:hint="default"/>
      </w:rPr>
    </w:lvl>
    <w:lvl w:ilvl="2" w:tplc="53FC831A" w:tentative="1">
      <w:start w:val="1"/>
      <w:numFmt w:val="bullet"/>
      <w:lvlText w:val=""/>
      <w:lvlJc w:val="left"/>
      <w:pPr>
        <w:ind w:left="2160" w:hanging="360"/>
      </w:pPr>
      <w:rPr>
        <w:rFonts w:ascii="Wingdings" w:hAnsi="Wingdings" w:hint="default"/>
      </w:rPr>
    </w:lvl>
    <w:lvl w:ilvl="3" w:tplc="0F84A32E" w:tentative="1">
      <w:start w:val="1"/>
      <w:numFmt w:val="bullet"/>
      <w:lvlText w:val=""/>
      <w:lvlJc w:val="left"/>
      <w:pPr>
        <w:ind w:left="2880" w:hanging="360"/>
      </w:pPr>
      <w:rPr>
        <w:rFonts w:ascii="Symbol" w:hAnsi="Symbol" w:hint="default"/>
      </w:rPr>
    </w:lvl>
    <w:lvl w:ilvl="4" w:tplc="BC849E8E" w:tentative="1">
      <w:start w:val="1"/>
      <w:numFmt w:val="bullet"/>
      <w:lvlText w:val="o"/>
      <w:lvlJc w:val="left"/>
      <w:pPr>
        <w:ind w:left="3600" w:hanging="360"/>
      </w:pPr>
      <w:rPr>
        <w:rFonts w:ascii="Courier New" w:hAnsi="Courier New" w:cs="Courier New" w:hint="default"/>
      </w:rPr>
    </w:lvl>
    <w:lvl w:ilvl="5" w:tplc="359C26C2" w:tentative="1">
      <w:start w:val="1"/>
      <w:numFmt w:val="bullet"/>
      <w:lvlText w:val=""/>
      <w:lvlJc w:val="left"/>
      <w:pPr>
        <w:ind w:left="4320" w:hanging="360"/>
      </w:pPr>
      <w:rPr>
        <w:rFonts w:ascii="Wingdings" w:hAnsi="Wingdings" w:hint="default"/>
      </w:rPr>
    </w:lvl>
    <w:lvl w:ilvl="6" w:tplc="53E27846" w:tentative="1">
      <w:start w:val="1"/>
      <w:numFmt w:val="bullet"/>
      <w:lvlText w:val=""/>
      <w:lvlJc w:val="left"/>
      <w:pPr>
        <w:ind w:left="5040" w:hanging="360"/>
      </w:pPr>
      <w:rPr>
        <w:rFonts w:ascii="Symbol" w:hAnsi="Symbol" w:hint="default"/>
      </w:rPr>
    </w:lvl>
    <w:lvl w:ilvl="7" w:tplc="8D06AE34" w:tentative="1">
      <w:start w:val="1"/>
      <w:numFmt w:val="bullet"/>
      <w:lvlText w:val="o"/>
      <w:lvlJc w:val="left"/>
      <w:pPr>
        <w:ind w:left="5760" w:hanging="360"/>
      </w:pPr>
      <w:rPr>
        <w:rFonts w:ascii="Courier New" w:hAnsi="Courier New" w:cs="Courier New" w:hint="default"/>
      </w:rPr>
    </w:lvl>
    <w:lvl w:ilvl="8" w:tplc="77B83DB8" w:tentative="1">
      <w:start w:val="1"/>
      <w:numFmt w:val="bullet"/>
      <w:lvlText w:val=""/>
      <w:lvlJc w:val="left"/>
      <w:pPr>
        <w:ind w:left="6480" w:hanging="360"/>
      </w:pPr>
      <w:rPr>
        <w:rFonts w:ascii="Wingdings" w:hAnsi="Wingdings" w:hint="default"/>
      </w:rPr>
    </w:lvl>
  </w:abstractNum>
  <w:abstractNum w:abstractNumId="61" w15:restartNumberingAfterBreak="0">
    <w:nsid w:val="70C036CF"/>
    <w:multiLevelType w:val="hybridMultilevel"/>
    <w:tmpl w:val="978A31EE"/>
    <w:lvl w:ilvl="0" w:tplc="73E80644">
      <w:start w:val="2"/>
      <w:numFmt w:val="decimal"/>
      <w:lvlText w:val="%1."/>
      <w:lvlJc w:val="left"/>
      <w:pPr>
        <w:tabs>
          <w:tab w:val="num" w:pos="570"/>
        </w:tabs>
        <w:ind w:left="570" w:hanging="570"/>
      </w:pPr>
      <w:rPr>
        <w:rFonts w:hint="default"/>
        <w:b/>
      </w:rPr>
    </w:lvl>
    <w:lvl w:ilvl="1" w:tplc="C5668A08">
      <w:start w:val="1"/>
      <w:numFmt w:val="lowerLetter"/>
      <w:lvlText w:val="%2."/>
      <w:lvlJc w:val="left"/>
      <w:pPr>
        <w:tabs>
          <w:tab w:val="num" w:pos="1440"/>
        </w:tabs>
        <w:ind w:left="1440" w:hanging="360"/>
      </w:pPr>
    </w:lvl>
    <w:lvl w:ilvl="2" w:tplc="EF24C82E">
      <w:start w:val="1"/>
      <w:numFmt w:val="lowerRoman"/>
      <w:lvlText w:val="%3."/>
      <w:lvlJc w:val="right"/>
      <w:pPr>
        <w:tabs>
          <w:tab w:val="num" w:pos="2160"/>
        </w:tabs>
        <w:ind w:left="2160" w:hanging="180"/>
      </w:pPr>
    </w:lvl>
    <w:lvl w:ilvl="3" w:tplc="10027BEE">
      <w:start w:val="1"/>
      <w:numFmt w:val="decimal"/>
      <w:lvlText w:val="%4."/>
      <w:lvlJc w:val="left"/>
      <w:pPr>
        <w:tabs>
          <w:tab w:val="num" w:pos="2880"/>
        </w:tabs>
        <w:ind w:left="2880" w:hanging="360"/>
      </w:pPr>
    </w:lvl>
    <w:lvl w:ilvl="4" w:tplc="E6201C0E">
      <w:start w:val="1"/>
      <w:numFmt w:val="lowerLetter"/>
      <w:lvlText w:val="%5."/>
      <w:lvlJc w:val="left"/>
      <w:pPr>
        <w:tabs>
          <w:tab w:val="num" w:pos="3600"/>
        </w:tabs>
        <w:ind w:left="3600" w:hanging="360"/>
      </w:pPr>
    </w:lvl>
    <w:lvl w:ilvl="5" w:tplc="88D617A2">
      <w:start w:val="1"/>
      <w:numFmt w:val="lowerRoman"/>
      <w:lvlText w:val="%6."/>
      <w:lvlJc w:val="right"/>
      <w:pPr>
        <w:tabs>
          <w:tab w:val="num" w:pos="4320"/>
        </w:tabs>
        <w:ind w:left="4320" w:hanging="180"/>
      </w:pPr>
    </w:lvl>
    <w:lvl w:ilvl="6" w:tplc="FB904CF4">
      <w:start w:val="1"/>
      <w:numFmt w:val="decimal"/>
      <w:lvlText w:val="%7."/>
      <w:lvlJc w:val="left"/>
      <w:pPr>
        <w:tabs>
          <w:tab w:val="num" w:pos="5040"/>
        </w:tabs>
        <w:ind w:left="5040" w:hanging="360"/>
      </w:pPr>
    </w:lvl>
    <w:lvl w:ilvl="7" w:tplc="A78C1EDE">
      <w:start w:val="1"/>
      <w:numFmt w:val="lowerLetter"/>
      <w:lvlText w:val="%8."/>
      <w:lvlJc w:val="left"/>
      <w:pPr>
        <w:tabs>
          <w:tab w:val="num" w:pos="5760"/>
        </w:tabs>
        <w:ind w:left="5760" w:hanging="360"/>
      </w:pPr>
    </w:lvl>
    <w:lvl w:ilvl="8" w:tplc="753ACFFC">
      <w:start w:val="1"/>
      <w:numFmt w:val="lowerRoman"/>
      <w:lvlText w:val="%9."/>
      <w:lvlJc w:val="right"/>
      <w:pPr>
        <w:tabs>
          <w:tab w:val="num" w:pos="6480"/>
        </w:tabs>
        <w:ind w:left="6480" w:hanging="180"/>
      </w:pPr>
    </w:lvl>
  </w:abstractNum>
  <w:abstractNum w:abstractNumId="62" w15:restartNumberingAfterBreak="0">
    <w:nsid w:val="71522BF0"/>
    <w:multiLevelType w:val="hybridMultilevel"/>
    <w:tmpl w:val="6FEC4E18"/>
    <w:lvl w:ilvl="0" w:tplc="31F03AB0">
      <w:start w:val="1"/>
      <w:numFmt w:val="bullet"/>
      <w:lvlText w:val=""/>
      <w:lvlJc w:val="left"/>
      <w:pPr>
        <w:ind w:left="720" w:hanging="360"/>
      </w:pPr>
      <w:rPr>
        <w:rFonts w:ascii="Symbol" w:hAnsi="Symbol" w:hint="default"/>
      </w:rPr>
    </w:lvl>
    <w:lvl w:ilvl="1" w:tplc="EECA65D8" w:tentative="1">
      <w:start w:val="1"/>
      <w:numFmt w:val="bullet"/>
      <w:lvlText w:val="o"/>
      <w:lvlJc w:val="left"/>
      <w:pPr>
        <w:ind w:left="1440" w:hanging="360"/>
      </w:pPr>
      <w:rPr>
        <w:rFonts w:ascii="Courier New" w:hAnsi="Courier New" w:cs="Courier New" w:hint="default"/>
      </w:rPr>
    </w:lvl>
    <w:lvl w:ilvl="2" w:tplc="AF90A0E8" w:tentative="1">
      <w:start w:val="1"/>
      <w:numFmt w:val="bullet"/>
      <w:lvlText w:val=""/>
      <w:lvlJc w:val="left"/>
      <w:pPr>
        <w:ind w:left="2160" w:hanging="360"/>
      </w:pPr>
      <w:rPr>
        <w:rFonts w:ascii="Wingdings" w:hAnsi="Wingdings" w:hint="default"/>
      </w:rPr>
    </w:lvl>
    <w:lvl w:ilvl="3" w:tplc="6854E9D4" w:tentative="1">
      <w:start w:val="1"/>
      <w:numFmt w:val="bullet"/>
      <w:lvlText w:val=""/>
      <w:lvlJc w:val="left"/>
      <w:pPr>
        <w:ind w:left="2880" w:hanging="360"/>
      </w:pPr>
      <w:rPr>
        <w:rFonts w:ascii="Symbol" w:hAnsi="Symbol" w:hint="default"/>
      </w:rPr>
    </w:lvl>
    <w:lvl w:ilvl="4" w:tplc="21D2B610" w:tentative="1">
      <w:start w:val="1"/>
      <w:numFmt w:val="bullet"/>
      <w:lvlText w:val="o"/>
      <w:lvlJc w:val="left"/>
      <w:pPr>
        <w:ind w:left="3600" w:hanging="360"/>
      </w:pPr>
      <w:rPr>
        <w:rFonts w:ascii="Courier New" w:hAnsi="Courier New" w:cs="Courier New" w:hint="default"/>
      </w:rPr>
    </w:lvl>
    <w:lvl w:ilvl="5" w:tplc="25385758" w:tentative="1">
      <w:start w:val="1"/>
      <w:numFmt w:val="bullet"/>
      <w:lvlText w:val=""/>
      <w:lvlJc w:val="left"/>
      <w:pPr>
        <w:ind w:left="4320" w:hanging="360"/>
      </w:pPr>
      <w:rPr>
        <w:rFonts w:ascii="Wingdings" w:hAnsi="Wingdings" w:hint="default"/>
      </w:rPr>
    </w:lvl>
    <w:lvl w:ilvl="6" w:tplc="26423364" w:tentative="1">
      <w:start w:val="1"/>
      <w:numFmt w:val="bullet"/>
      <w:lvlText w:val=""/>
      <w:lvlJc w:val="left"/>
      <w:pPr>
        <w:ind w:left="5040" w:hanging="360"/>
      </w:pPr>
      <w:rPr>
        <w:rFonts w:ascii="Symbol" w:hAnsi="Symbol" w:hint="default"/>
      </w:rPr>
    </w:lvl>
    <w:lvl w:ilvl="7" w:tplc="0A70AFCC" w:tentative="1">
      <w:start w:val="1"/>
      <w:numFmt w:val="bullet"/>
      <w:lvlText w:val="o"/>
      <w:lvlJc w:val="left"/>
      <w:pPr>
        <w:ind w:left="5760" w:hanging="360"/>
      </w:pPr>
      <w:rPr>
        <w:rFonts w:ascii="Courier New" w:hAnsi="Courier New" w:cs="Courier New" w:hint="default"/>
      </w:rPr>
    </w:lvl>
    <w:lvl w:ilvl="8" w:tplc="AC20C332" w:tentative="1">
      <w:start w:val="1"/>
      <w:numFmt w:val="bullet"/>
      <w:lvlText w:val=""/>
      <w:lvlJc w:val="left"/>
      <w:pPr>
        <w:ind w:left="6480" w:hanging="360"/>
      </w:pPr>
      <w:rPr>
        <w:rFonts w:ascii="Wingdings" w:hAnsi="Wingdings" w:hint="default"/>
      </w:rPr>
    </w:lvl>
  </w:abstractNum>
  <w:abstractNum w:abstractNumId="63" w15:restartNumberingAfterBreak="0">
    <w:nsid w:val="733458F5"/>
    <w:multiLevelType w:val="hybridMultilevel"/>
    <w:tmpl w:val="F5345B44"/>
    <w:lvl w:ilvl="0" w:tplc="FB98A724">
      <w:start w:val="1"/>
      <w:numFmt w:val="bullet"/>
      <w:lvlText w:val=""/>
      <w:lvlJc w:val="left"/>
      <w:pPr>
        <w:ind w:left="720" w:hanging="360"/>
      </w:pPr>
      <w:rPr>
        <w:rFonts w:ascii="Symbol" w:hAnsi="Symbol" w:hint="default"/>
      </w:rPr>
    </w:lvl>
    <w:lvl w:ilvl="1" w:tplc="834A432A">
      <w:start w:val="1"/>
      <w:numFmt w:val="bullet"/>
      <w:lvlText w:val="o"/>
      <w:lvlJc w:val="left"/>
      <w:pPr>
        <w:ind w:left="1440" w:hanging="360"/>
      </w:pPr>
      <w:rPr>
        <w:rFonts w:ascii="Courier New" w:hAnsi="Courier New" w:cs="Courier New" w:hint="default"/>
      </w:rPr>
    </w:lvl>
    <w:lvl w:ilvl="2" w:tplc="3734399E" w:tentative="1">
      <w:start w:val="1"/>
      <w:numFmt w:val="bullet"/>
      <w:lvlText w:val=""/>
      <w:lvlJc w:val="left"/>
      <w:pPr>
        <w:ind w:left="2160" w:hanging="360"/>
      </w:pPr>
      <w:rPr>
        <w:rFonts w:ascii="Wingdings" w:hAnsi="Wingdings" w:hint="default"/>
      </w:rPr>
    </w:lvl>
    <w:lvl w:ilvl="3" w:tplc="DD08155C" w:tentative="1">
      <w:start w:val="1"/>
      <w:numFmt w:val="bullet"/>
      <w:lvlText w:val=""/>
      <w:lvlJc w:val="left"/>
      <w:pPr>
        <w:ind w:left="2880" w:hanging="360"/>
      </w:pPr>
      <w:rPr>
        <w:rFonts w:ascii="Symbol" w:hAnsi="Symbol" w:hint="default"/>
      </w:rPr>
    </w:lvl>
    <w:lvl w:ilvl="4" w:tplc="E92A7C6C" w:tentative="1">
      <w:start w:val="1"/>
      <w:numFmt w:val="bullet"/>
      <w:lvlText w:val="o"/>
      <w:lvlJc w:val="left"/>
      <w:pPr>
        <w:ind w:left="3600" w:hanging="360"/>
      </w:pPr>
      <w:rPr>
        <w:rFonts w:ascii="Courier New" w:hAnsi="Courier New" w:cs="Courier New" w:hint="default"/>
      </w:rPr>
    </w:lvl>
    <w:lvl w:ilvl="5" w:tplc="B440B15C" w:tentative="1">
      <w:start w:val="1"/>
      <w:numFmt w:val="bullet"/>
      <w:lvlText w:val=""/>
      <w:lvlJc w:val="left"/>
      <w:pPr>
        <w:ind w:left="4320" w:hanging="360"/>
      </w:pPr>
      <w:rPr>
        <w:rFonts w:ascii="Wingdings" w:hAnsi="Wingdings" w:hint="default"/>
      </w:rPr>
    </w:lvl>
    <w:lvl w:ilvl="6" w:tplc="C5FCDCE6" w:tentative="1">
      <w:start w:val="1"/>
      <w:numFmt w:val="bullet"/>
      <w:lvlText w:val=""/>
      <w:lvlJc w:val="left"/>
      <w:pPr>
        <w:ind w:left="5040" w:hanging="360"/>
      </w:pPr>
      <w:rPr>
        <w:rFonts w:ascii="Symbol" w:hAnsi="Symbol" w:hint="default"/>
      </w:rPr>
    </w:lvl>
    <w:lvl w:ilvl="7" w:tplc="09ECE6EC" w:tentative="1">
      <w:start w:val="1"/>
      <w:numFmt w:val="bullet"/>
      <w:lvlText w:val="o"/>
      <w:lvlJc w:val="left"/>
      <w:pPr>
        <w:ind w:left="5760" w:hanging="360"/>
      </w:pPr>
      <w:rPr>
        <w:rFonts w:ascii="Courier New" w:hAnsi="Courier New" w:cs="Courier New" w:hint="default"/>
      </w:rPr>
    </w:lvl>
    <w:lvl w:ilvl="8" w:tplc="813A370C" w:tentative="1">
      <w:start w:val="1"/>
      <w:numFmt w:val="bullet"/>
      <w:lvlText w:val=""/>
      <w:lvlJc w:val="left"/>
      <w:pPr>
        <w:ind w:left="6480" w:hanging="360"/>
      </w:pPr>
      <w:rPr>
        <w:rFonts w:ascii="Wingdings" w:hAnsi="Wingdings" w:hint="default"/>
      </w:rPr>
    </w:lvl>
  </w:abstractNum>
  <w:abstractNum w:abstractNumId="64" w15:restartNumberingAfterBreak="0">
    <w:nsid w:val="73AD7816"/>
    <w:multiLevelType w:val="hybridMultilevel"/>
    <w:tmpl w:val="5BB474AA"/>
    <w:lvl w:ilvl="0" w:tplc="74B2499C">
      <w:start w:val="1"/>
      <w:numFmt w:val="bullet"/>
      <w:lvlText w:val=""/>
      <w:lvlJc w:val="left"/>
      <w:pPr>
        <w:ind w:left="360" w:hanging="360"/>
      </w:pPr>
      <w:rPr>
        <w:rFonts w:ascii="Symbol" w:hAnsi="Symbol" w:hint="default"/>
      </w:rPr>
    </w:lvl>
    <w:lvl w:ilvl="1" w:tplc="7B9206BA">
      <w:start w:val="1"/>
      <w:numFmt w:val="bullet"/>
      <w:lvlText w:val=""/>
      <w:lvlJc w:val="left"/>
      <w:pPr>
        <w:ind w:left="1080" w:hanging="360"/>
      </w:pPr>
      <w:rPr>
        <w:rFonts w:ascii="Symbol" w:hAnsi="Symbol" w:hint="default"/>
      </w:rPr>
    </w:lvl>
    <w:lvl w:ilvl="2" w:tplc="7408B130">
      <w:start w:val="1"/>
      <w:numFmt w:val="bullet"/>
      <w:lvlText w:val=""/>
      <w:lvlJc w:val="left"/>
      <w:pPr>
        <w:ind w:left="1800" w:hanging="360"/>
      </w:pPr>
      <w:rPr>
        <w:rFonts w:ascii="Symbol" w:hAnsi="Symbol" w:hint="default"/>
      </w:rPr>
    </w:lvl>
    <w:lvl w:ilvl="3" w:tplc="156C4778" w:tentative="1">
      <w:start w:val="1"/>
      <w:numFmt w:val="bullet"/>
      <w:lvlText w:val=""/>
      <w:lvlJc w:val="left"/>
      <w:pPr>
        <w:ind w:left="2520" w:hanging="360"/>
      </w:pPr>
      <w:rPr>
        <w:rFonts w:ascii="Symbol" w:hAnsi="Symbol" w:hint="default"/>
      </w:rPr>
    </w:lvl>
    <w:lvl w:ilvl="4" w:tplc="591C1656" w:tentative="1">
      <w:start w:val="1"/>
      <w:numFmt w:val="bullet"/>
      <w:lvlText w:val="o"/>
      <w:lvlJc w:val="left"/>
      <w:pPr>
        <w:ind w:left="3240" w:hanging="360"/>
      </w:pPr>
      <w:rPr>
        <w:rFonts w:ascii="Courier New" w:hAnsi="Courier New" w:cs="Courier New" w:hint="default"/>
      </w:rPr>
    </w:lvl>
    <w:lvl w:ilvl="5" w:tplc="4BF20C18" w:tentative="1">
      <w:start w:val="1"/>
      <w:numFmt w:val="bullet"/>
      <w:lvlText w:val=""/>
      <w:lvlJc w:val="left"/>
      <w:pPr>
        <w:ind w:left="3960" w:hanging="360"/>
      </w:pPr>
      <w:rPr>
        <w:rFonts w:ascii="Wingdings" w:hAnsi="Wingdings" w:hint="default"/>
      </w:rPr>
    </w:lvl>
    <w:lvl w:ilvl="6" w:tplc="3D6CC4D0" w:tentative="1">
      <w:start w:val="1"/>
      <w:numFmt w:val="bullet"/>
      <w:lvlText w:val=""/>
      <w:lvlJc w:val="left"/>
      <w:pPr>
        <w:ind w:left="4680" w:hanging="360"/>
      </w:pPr>
      <w:rPr>
        <w:rFonts w:ascii="Symbol" w:hAnsi="Symbol" w:hint="default"/>
      </w:rPr>
    </w:lvl>
    <w:lvl w:ilvl="7" w:tplc="EF38F260" w:tentative="1">
      <w:start w:val="1"/>
      <w:numFmt w:val="bullet"/>
      <w:lvlText w:val="o"/>
      <w:lvlJc w:val="left"/>
      <w:pPr>
        <w:ind w:left="5400" w:hanging="360"/>
      </w:pPr>
      <w:rPr>
        <w:rFonts w:ascii="Courier New" w:hAnsi="Courier New" w:cs="Courier New" w:hint="default"/>
      </w:rPr>
    </w:lvl>
    <w:lvl w:ilvl="8" w:tplc="0292DF24" w:tentative="1">
      <w:start w:val="1"/>
      <w:numFmt w:val="bullet"/>
      <w:lvlText w:val=""/>
      <w:lvlJc w:val="left"/>
      <w:pPr>
        <w:ind w:left="6120" w:hanging="360"/>
      </w:pPr>
      <w:rPr>
        <w:rFonts w:ascii="Wingdings" w:hAnsi="Wingdings" w:hint="default"/>
      </w:rPr>
    </w:lvl>
  </w:abstractNum>
  <w:abstractNum w:abstractNumId="65" w15:restartNumberingAfterBreak="0">
    <w:nsid w:val="73F54AEB"/>
    <w:multiLevelType w:val="hybridMultilevel"/>
    <w:tmpl w:val="ECFE8D80"/>
    <w:lvl w:ilvl="0" w:tplc="37C031A8">
      <w:numFmt w:val="bullet"/>
      <w:lvlText w:val=""/>
      <w:lvlJc w:val="left"/>
      <w:pPr>
        <w:ind w:left="720" w:hanging="360"/>
      </w:pPr>
      <w:rPr>
        <w:rFonts w:ascii="Symbol" w:eastAsia="SimSun" w:hAnsi="Symbol" w:cs="Times New Roman" w:hint="default"/>
      </w:rPr>
    </w:lvl>
    <w:lvl w:ilvl="1" w:tplc="5EF2E29A" w:tentative="1">
      <w:start w:val="1"/>
      <w:numFmt w:val="bullet"/>
      <w:lvlText w:val="o"/>
      <w:lvlJc w:val="left"/>
      <w:pPr>
        <w:ind w:left="1440" w:hanging="360"/>
      </w:pPr>
      <w:rPr>
        <w:rFonts w:ascii="Courier New" w:hAnsi="Courier New" w:cs="Courier New" w:hint="default"/>
      </w:rPr>
    </w:lvl>
    <w:lvl w:ilvl="2" w:tplc="AD00571C" w:tentative="1">
      <w:start w:val="1"/>
      <w:numFmt w:val="bullet"/>
      <w:lvlText w:val=""/>
      <w:lvlJc w:val="left"/>
      <w:pPr>
        <w:ind w:left="2160" w:hanging="360"/>
      </w:pPr>
      <w:rPr>
        <w:rFonts w:ascii="Wingdings" w:hAnsi="Wingdings" w:hint="default"/>
      </w:rPr>
    </w:lvl>
    <w:lvl w:ilvl="3" w:tplc="21E24504" w:tentative="1">
      <w:start w:val="1"/>
      <w:numFmt w:val="bullet"/>
      <w:lvlText w:val=""/>
      <w:lvlJc w:val="left"/>
      <w:pPr>
        <w:ind w:left="2880" w:hanging="360"/>
      </w:pPr>
      <w:rPr>
        <w:rFonts w:ascii="Symbol" w:hAnsi="Symbol" w:hint="default"/>
      </w:rPr>
    </w:lvl>
    <w:lvl w:ilvl="4" w:tplc="23803312" w:tentative="1">
      <w:start w:val="1"/>
      <w:numFmt w:val="bullet"/>
      <w:lvlText w:val="o"/>
      <w:lvlJc w:val="left"/>
      <w:pPr>
        <w:ind w:left="3600" w:hanging="360"/>
      </w:pPr>
      <w:rPr>
        <w:rFonts w:ascii="Courier New" w:hAnsi="Courier New" w:cs="Courier New" w:hint="default"/>
      </w:rPr>
    </w:lvl>
    <w:lvl w:ilvl="5" w:tplc="A1F6F754" w:tentative="1">
      <w:start w:val="1"/>
      <w:numFmt w:val="bullet"/>
      <w:lvlText w:val=""/>
      <w:lvlJc w:val="left"/>
      <w:pPr>
        <w:ind w:left="4320" w:hanging="360"/>
      </w:pPr>
      <w:rPr>
        <w:rFonts w:ascii="Wingdings" w:hAnsi="Wingdings" w:hint="default"/>
      </w:rPr>
    </w:lvl>
    <w:lvl w:ilvl="6" w:tplc="FD9CCCCE" w:tentative="1">
      <w:start w:val="1"/>
      <w:numFmt w:val="bullet"/>
      <w:lvlText w:val=""/>
      <w:lvlJc w:val="left"/>
      <w:pPr>
        <w:ind w:left="5040" w:hanging="360"/>
      </w:pPr>
      <w:rPr>
        <w:rFonts w:ascii="Symbol" w:hAnsi="Symbol" w:hint="default"/>
      </w:rPr>
    </w:lvl>
    <w:lvl w:ilvl="7" w:tplc="9488ACBC" w:tentative="1">
      <w:start w:val="1"/>
      <w:numFmt w:val="bullet"/>
      <w:lvlText w:val="o"/>
      <w:lvlJc w:val="left"/>
      <w:pPr>
        <w:ind w:left="5760" w:hanging="360"/>
      </w:pPr>
      <w:rPr>
        <w:rFonts w:ascii="Courier New" w:hAnsi="Courier New" w:cs="Courier New" w:hint="default"/>
      </w:rPr>
    </w:lvl>
    <w:lvl w:ilvl="8" w:tplc="41EC49D2" w:tentative="1">
      <w:start w:val="1"/>
      <w:numFmt w:val="bullet"/>
      <w:lvlText w:val=""/>
      <w:lvlJc w:val="left"/>
      <w:pPr>
        <w:ind w:left="6480" w:hanging="360"/>
      </w:pPr>
      <w:rPr>
        <w:rFonts w:ascii="Wingdings" w:hAnsi="Wingdings" w:hint="default"/>
      </w:rPr>
    </w:lvl>
  </w:abstractNum>
  <w:abstractNum w:abstractNumId="66" w15:restartNumberingAfterBreak="0">
    <w:nsid w:val="7412306C"/>
    <w:multiLevelType w:val="hybridMultilevel"/>
    <w:tmpl w:val="A2A048EA"/>
    <w:lvl w:ilvl="0" w:tplc="89981E3C">
      <w:start w:val="1"/>
      <w:numFmt w:val="bullet"/>
      <w:lvlText w:val=""/>
      <w:lvlJc w:val="left"/>
      <w:pPr>
        <w:tabs>
          <w:tab w:val="num" w:pos="360"/>
        </w:tabs>
        <w:ind w:left="360" w:hanging="360"/>
      </w:pPr>
      <w:rPr>
        <w:rFonts w:ascii="Symbol" w:hAnsi="Symbol" w:cs="Symbol" w:hint="default"/>
        <w:color w:val="auto"/>
        <w:sz w:val="20"/>
        <w:szCs w:val="20"/>
      </w:rPr>
    </w:lvl>
    <w:lvl w:ilvl="1" w:tplc="472E167A">
      <w:start w:val="1"/>
      <w:numFmt w:val="bullet"/>
      <w:lvlText w:val="o"/>
      <w:lvlJc w:val="left"/>
      <w:pPr>
        <w:tabs>
          <w:tab w:val="num" w:pos="1440"/>
        </w:tabs>
        <w:ind w:left="1440" w:hanging="360"/>
      </w:pPr>
      <w:rPr>
        <w:rFonts w:ascii="Courier New" w:hAnsi="Courier New" w:cs="Courier New" w:hint="default"/>
      </w:rPr>
    </w:lvl>
    <w:lvl w:ilvl="2" w:tplc="87DEE610">
      <w:start w:val="1"/>
      <w:numFmt w:val="bullet"/>
      <w:lvlText w:val=""/>
      <w:lvlJc w:val="left"/>
      <w:pPr>
        <w:tabs>
          <w:tab w:val="num" w:pos="2160"/>
        </w:tabs>
        <w:ind w:left="2160" w:hanging="360"/>
      </w:pPr>
      <w:rPr>
        <w:rFonts w:ascii="Wingdings" w:hAnsi="Wingdings" w:cs="Wingdings" w:hint="default"/>
      </w:rPr>
    </w:lvl>
    <w:lvl w:ilvl="3" w:tplc="7F4C2F8A">
      <w:start w:val="1"/>
      <w:numFmt w:val="bullet"/>
      <w:lvlText w:val=""/>
      <w:lvlJc w:val="left"/>
      <w:pPr>
        <w:tabs>
          <w:tab w:val="num" w:pos="2880"/>
        </w:tabs>
        <w:ind w:left="2880" w:hanging="360"/>
      </w:pPr>
      <w:rPr>
        <w:rFonts w:ascii="Symbol" w:hAnsi="Symbol" w:cs="Symbol" w:hint="default"/>
      </w:rPr>
    </w:lvl>
    <w:lvl w:ilvl="4" w:tplc="275AF8BC">
      <w:start w:val="1"/>
      <w:numFmt w:val="bullet"/>
      <w:lvlText w:val="o"/>
      <w:lvlJc w:val="left"/>
      <w:pPr>
        <w:tabs>
          <w:tab w:val="num" w:pos="3600"/>
        </w:tabs>
        <w:ind w:left="3600" w:hanging="360"/>
      </w:pPr>
      <w:rPr>
        <w:rFonts w:ascii="Courier New" w:hAnsi="Courier New" w:cs="Courier New" w:hint="default"/>
      </w:rPr>
    </w:lvl>
    <w:lvl w:ilvl="5" w:tplc="FEDAA5FA">
      <w:start w:val="1"/>
      <w:numFmt w:val="bullet"/>
      <w:lvlText w:val=""/>
      <w:lvlJc w:val="left"/>
      <w:pPr>
        <w:tabs>
          <w:tab w:val="num" w:pos="4320"/>
        </w:tabs>
        <w:ind w:left="4320" w:hanging="360"/>
      </w:pPr>
      <w:rPr>
        <w:rFonts w:ascii="Wingdings" w:hAnsi="Wingdings" w:cs="Wingdings" w:hint="default"/>
      </w:rPr>
    </w:lvl>
    <w:lvl w:ilvl="6" w:tplc="F356E10A">
      <w:start w:val="1"/>
      <w:numFmt w:val="bullet"/>
      <w:lvlText w:val=""/>
      <w:lvlJc w:val="left"/>
      <w:pPr>
        <w:tabs>
          <w:tab w:val="num" w:pos="5040"/>
        </w:tabs>
        <w:ind w:left="5040" w:hanging="360"/>
      </w:pPr>
      <w:rPr>
        <w:rFonts w:ascii="Symbol" w:hAnsi="Symbol" w:cs="Symbol" w:hint="default"/>
      </w:rPr>
    </w:lvl>
    <w:lvl w:ilvl="7" w:tplc="B89EFC5C">
      <w:start w:val="1"/>
      <w:numFmt w:val="bullet"/>
      <w:lvlText w:val="o"/>
      <w:lvlJc w:val="left"/>
      <w:pPr>
        <w:tabs>
          <w:tab w:val="num" w:pos="5760"/>
        </w:tabs>
        <w:ind w:left="5760" w:hanging="360"/>
      </w:pPr>
      <w:rPr>
        <w:rFonts w:ascii="Courier New" w:hAnsi="Courier New" w:cs="Courier New" w:hint="default"/>
      </w:rPr>
    </w:lvl>
    <w:lvl w:ilvl="8" w:tplc="E1E6B40A">
      <w:start w:val="1"/>
      <w:numFmt w:val="bullet"/>
      <w:lvlText w:val=""/>
      <w:lvlJc w:val="left"/>
      <w:pPr>
        <w:tabs>
          <w:tab w:val="num" w:pos="6480"/>
        </w:tabs>
        <w:ind w:left="6480" w:hanging="360"/>
      </w:pPr>
      <w:rPr>
        <w:rFonts w:ascii="Wingdings" w:hAnsi="Wingdings" w:cs="Wingdings" w:hint="default"/>
      </w:rPr>
    </w:lvl>
  </w:abstractNum>
  <w:abstractNum w:abstractNumId="67" w15:restartNumberingAfterBreak="0">
    <w:nsid w:val="741B1210"/>
    <w:multiLevelType w:val="hybridMultilevel"/>
    <w:tmpl w:val="231EA512"/>
    <w:lvl w:ilvl="0" w:tplc="10DE75A6">
      <w:start w:val="1"/>
      <w:numFmt w:val="bullet"/>
      <w:lvlText w:val=""/>
      <w:lvlJc w:val="left"/>
      <w:pPr>
        <w:ind w:left="720" w:hanging="360"/>
      </w:pPr>
      <w:rPr>
        <w:rFonts w:ascii="Symbol" w:hAnsi="Symbol" w:hint="default"/>
      </w:rPr>
    </w:lvl>
    <w:lvl w:ilvl="1" w:tplc="FF20283E" w:tentative="1">
      <w:start w:val="1"/>
      <w:numFmt w:val="bullet"/>
      <w:lvlText w:val="o"/>
      <w:lvlJc w:val="left"/>
      <w:pPr>
        <w:ind w:left="1440" w:hanging="360"/>
      </w:pPr>
      <w:rPr>
        <w:rFonts w:ascii="Courier New" w:hAnsi="Courier New" w:cs="Courier New" w:hint="default"/>
      </w:rPr>
    </w:lvl>
    <w:lvl w:ilvl="2" w:tplc="22C068B0" w:tentative="1">
      <w:start w:val="1"/>
      <w:numFmt w:val="bullet"/>
      <w:lvlText w:val=""/>
      <w:lvlJc w:val="left"/>
      <w:pPr>
        <w:ind w:left="2160" w:hanging="360"/>
      </w:pPr>
      <w:rPr>
        <w:rFonts w:ascii="Wingdings" w:hAnsi="Wingdings" w:hint="default"/>
      </w:rPr>
    </w:lvl>
    <w:lvl w:ilvl="3" w:tplc="A7BE9038" w:tentative="1">
      <w:start w:val="1"/>
      <w:numFmt w:val="bullet"/>
      <w:lvlText w:val=""/>
      <w:lvlJc w:val="left"/>
      <w:pPr>
        <w:ind w:left="2880" w:hanging="360"/>
      </w:pPr>
      <w:rPr>
        <w:rFonts w:ascii="Symbol" w:hAnsi="Symbol" w:hint="default"/>
      </w:rPr>
    </w:lvl>
    <w:lvl w:ilvl="4" w:tplc="18F263E4" w:tentative="1">
      <w:start w:val="1"/>
      <w:numFmt w:val="bullet"/>
      <w:lvlText w:val="o"/>
      <w:lvlJc w:val="left"/>
      <w:pPr>
        <w:ind w:left="3600" w:hanging="360"/>
      </w:pPr>
      <w:rPr>
        <w:rFonts w:ascii="Courier New" w:hAnsi="Courier New" w:cs="Courier New" w:hint="default"/>
      </w:rPr>
    </w:lvl>
    <w:lvl w:ilvl="5" w:tplc="C0C6F858" w:tentative="1">
      <w:start w:val="1"/>
      <w:numFmt w:val="bullet"/>
      <w:lvlText w:val=""/>
      <w:lvlJc w:val="left"/>
      <w:pPr>
        <w:ind w:left="4320" w:hanging="360"/>
      </w:pPr>
      <w:rPr>
        <w:rFonts w:ascii="Wingdings" w:hAnsi="Wingdings" w:hint="default"/>
      </w:rPr>
    </w:lvl>
    <w:lvl w:ilvl="6" w:tplc="F60CD2F6" w:tentative="1">
      <w:start w:val="1"/>
      <w:numFmt w:val="bullet"/>
      <w:lvlText w:val=""/>
      <w:lvlJc w:val="left"/>
      <w:pPr>
        <w:ind w:left="5040" w:hanging="360"/>
      </w:pPr>
      <w:rPr>
        <w:rFonts w:ascii="Symbol" w:hAnsi="Symbol" w:hint="default"/>
      </w:rPr>
    </w:lvl>
    <w:lvl w:ilvl="7" w:tplc="CAF6BF50" w:tentative="1">
      <w:start w:val="1"/>
      <w:numFmt w:val="bullet"/>
      <w:lvlText w:val="o"/>
      <w:lvlJc w:val="left"/>
      <w:pPr>
        <w:ind w:left="5760" w:hanging="360"/>
      </w:pPr>
      <w:rPr>
        <w:rFonts w:ascii="Courier New" w:hAnsi="Courier New" w:cs="Courier New" w:hint="default"/>
      </w:rPr>
    </w:lvl>
    <w:lvl w:ilvl="8" w:tplc="13005C26" w:tentative="1">
      <w:start w:val="1"/>
      <w:numFmt w:val="bullet"/>
      <w:lvlText w:val=""/>
      <w:lvlJc w:val="left"/>
      <w:pPr>
        <w:ind w:left="6480" w:hanging="360"/>
      </w:pPr>
      <w:rPr>
        <w:rFonts w:ascii="Wingdings" w:hAnsi="Wingdings" w:hint="default"/>
      </w:rPr>
    </w:lvl>
  </w:abstractNum>
  <w:abstractNum w:abstractNumId="68" w15:restartNumberingAfterBreak="0">
    <w:nsid w:val="75923941"/>
    <w:multiLevelType w:val="hybridMultilevel"/>
    <w:tmpl w:val="021AF64E"/>
    <w:lvl w:ilvl="0" w:tplc="425C3650">
      <w:start w:val="1"/>
      <w:numFmt w:val="bullet"/>
      <w:lvlText w:val=""/>
      <w:lvlJc w:val="left"/>
      <w:pPr>
        <w:tabs>
          <w:tab w:val="num" w:pos="720"/>
        </w:tabs>
        <w:ind w:left="720" w:hanging="360"/>
      </w:pPr>
      <w:rPr>
        <w:rFonts w:ascii="Symbol" w:hAnsi="Symbol" w:cs="Symbol" w:hint="default"/>
        <w:color w:val="auto"/>
        <w:sz w:val="20"/>
        <w:szCs w:val="20"/>
      </w:rPr>
    </w:lvl>
    <w:lvl w:ilvl="1" w:tplc="E43A2B84">
      <w:start w:val="1"/>
      <w:numFmt w:val="bullet"/>
      <w:lvlText w:val="o"/>
      <w:lvlJc w:val="left"/>
      <w:pPr>
        <w:tabs>
          <w:tab w:val="num" w:pos="1440"/>
        </w:tabs>
        <w:ind w:left="1440" w:hanging="360"/>
      </w:pPr>
      <w:rPr>
        <w:rFonts w:ascii="Courier New" w:hAnsi="Courier New" w:cs="Courier New" w:hint="default"/>
      </w:rPr>
    </w:lvl>
    <w:lvl w:ilvl="2" w:tplc="C5DE4F70">
      <w:start w:val="1"/>
      <w:numFmt w:val="bullet"/>
      <w:lvlText w:val=""/>
      <w:lvlJc w:val="left"/>
      <w:pPr>
        <w:tabs>
          <w:tab w:val="num" w:pos="2160"/>
        </w:tabs>
        <w:ind w:left="2160" w:hanging="360"/>
      </w:pPr>
      <w:rPr>
        <w:rFonts w:ascii="Wingdings" w:hAnsi="Wingdings" w:cs="Wingdings" w:hint="default"/>
      </w:rPr>
    </w:lvl>
    <w:lvl w:ilvl="3" w:tplc="FDC864D8">
      <w:start w:val="1"/>
      <w:numFmt w:val="bullet"/>
      <w:lvlText w:val=""/>
      <w:lvlJc w:val="left"/>
      <w:pPr>
        <w:tabs>
          <w:tab w:val="num" w:pos="2880"/>
        </w:tabs>
        <w:ind w:left="2880" w:hanging="360"/>
      </w:pPr>
      <w:rPr>
        <w:rFonts w:ascii="Symbol" w:hAnsi="Symbol" w:cs="Symbol" w:hint="default"/>
      </w:rPr>
    </w:lvl>
    <w:lvl w:ilvl="4" w:tplc="51D8391A">
      <w:start w:val="1"/>
      <w:numFmt w:val="bullet"/>
      <w:lvlText w:val="o"/>
      <w:lvlJc w:val="left"/>
      <w:pPr>
        <w:tabs>
          <w:tab w:val="num" w:pos="3600"/>
        </w:tabs>
        <w:ind w:left="3600" w:hanging="360"/>
      </w:pPr>
      <w:rPr>
        <w:rFonts w:ascii="Courier New" w:hAnsi="Courier New" w:cs="Courier New" w:hint="default"/>
      </w:rPr>
    </w:lvl>
    <w:lvl w:ilvl="5" w:tplc="FCC84A10">
      <w:start w:val="1"/>
      <w:numFmt w:val="bullet"/>
      <w:lvlText w:val=""/>
      <w:lvlJc w:val="left"/>
      <w:pPr>
        <w:tabs>
          <w:tab w:val="num" w:pos="4320"/>
        </w:tabs>
        <w:ind w:left="4320" w:hanging="360"/>
      </w:pPr>
      <w:rPr>
        <w:rFonts w:ascii="Wingdings" w:hAnsi="Wingdings" w:cs="Wingdings" w:hint="default"/>
      </w:rPr>
    </w:lvl>
    <w:lvl w:ilvl="6" w:tplc="A862421E">
      <w:start w:val="1"/>
      <w:numFmt w:val="bullet"/>
      <w:lvlText w:val=""/>
      <w:lvlJc w:val="left"/>
      <w:pPr>
        <w:tabs>
          <w:tab w:val="num" w:pos="5040"/>
        </w:tabs>
        <w:ind w:left="5040" w:hanging="360"/>
      </w:pPr>
      <w:rPr>
        <w:rFonts w:ascii="Symbol" w:hAnsi="Symbol" w:cs="Symbol" w:hint="default"/>
      </w:rPr>
    </w:lvl>
    <w:lvl w:ilvl="7" w:tplc="E4F4F28E">
      <w:start w:val="1"/>
      <w:numFmt w:val="bullet"/>
      <w:lvlText w:val="o"/>
      <w:lvlJc w:val="left"/>
      <w:pPr>
        <w:tabs>
          <w:tab w:val="num" w:pos="5760"/>
        </w:tabs>
        <w:ind w:left="5760" w:hanging="360"/>
      </w:pPr>
      <w:rPr>
        <w:rFonts w:ascii="Courier New" w:hAnsi="Courier New" w:cs="Courier New" w:hint="default"/>
      </w:rPr>
    </w:lvl>
    <w:lvl w:ilvl="8" w:tplc="C0F6369A">
      <w:start w:val="1"/>
      <w:numFmt w:val="bullet"/>
      <w:lvlText w:val=""/>
      <w:lvlJc w:val="left"/>
      <w:pPr>
        <w:tabs>
          <w:tab w:val="num" w:pos="6480"/>
        </w:tabs>
        <w:ind w:left="6480" w:hanging="360"/>
      </w:pPr>
      <w:rPr>
        <w:rFonts w:ascii="Wingdings" w:hAnsi="Wingdings" w:cs="Wingdings" w:hint="default"/>
      </w:rPr>
    </w:lvl>
  </w:abstractNum>
  <w:abstractNum w:abstractNumId="69" w15:restartNumberingAfterBreak="0">
    <w:nsid w:val="75FC18EC"/>
    <w:multiLevelType w:val="hybridMultilevel"/>
    <w:tmpl w:val="941468D2"/>
    <w:lvl w:ilvl="0" w:tplc="C9DEF272">
      <w:numFmt w:val="bullet"/>
      <w:lvlText w:val="-"/>
      <w:lvlJc w:val="left"/>
      <w:pPr>
        <w:ind w:left="410" w:hanging="360"/>
      </w:pPr>
      <w:rPr>
        <w:rFonts w:ascii="Times New Roman" w:eastAsia="SimSun" w:hAnsi="Times New Roman" w:cs="Times New Roman" w:hint="default"/>
      </w:rPr>
    </w:lvl>
    <w:lvl w:ilvl="1" w:tplc="A222684A" w:tentative="1">
      <w:start w:val="1"/>
      <w:numFmt w:val="bullet"/>
      <w:lvlText w:val="o"/>
      <w:lvlJc w:val="left"/>
      <w:pPr>
        <w:ind w:left="1130" w:hanging="360"/>
      </w:pPr>
      <w:rPr>
        <w:rFonts w:ascii="Courier New" w:hAnsi="Courier New" w:cs="Courier New" w:hint="default"/>
      </w:rPr>
    </w:lvl>
    <w:lvl w:ilvl="2" w:tplc="77E87134" w:tentative="1">
      <w:start w:val="1"/>
      <w:numFmt w:val="bullet"/>
      <w:lvlText w:val=""/>
      <w:lvlJc w:val="left"/>
      <w:pPr>
        <w:ind w:left="1850" w:hanging="360"/>
      </w:pPr>
      <w:rPr>
        <w:rFonts w:ascii="Wingdings" w:hAnsi="Wingdings" w:hint="default"/>
      </w:rPr>
    </w:lvl>
    <w:lvl w:ilvl="3" w:tplc="4E64AC54" w:tentative="1">
      <w:start w:val="1"/>
      <w:numFmt w:val="bullet"/>
      <w:lvlText w:val=""/>
      <w:lvlJc w:val="left"/>
      <w:pPr>
        <w:ind w:left="2570" w:hanging="360"/>
      </w:pPr>
      <w:rPr>
        <w:rFonts w:ascii="Symbol" w:hAnsi="Symbol" w:hint="default"/>
      </w:rPr>
    </w:lvl>
    <w:lvl w:ilvl="4" w:tplc="AC68B4C6" w:tentative="1">
      <w:start w:val="1"/>
      <w:numFmt w:val="bullet"/>
      <w:lvlText w:val="o"/>
      <w:lvlJc w:val="left"/>
      <w:pPr>
        <w:ind w:left="3290" w:hanging="360"/>
      </w:pPr>
      <w:rPr>
        <w:rFonts w:ascii="Courier New" w:hAnsi="Courier New" w:cs="Courier New" w:hint="default"/>
      </w:rPr>
    </w:lvl>
    <w:lvl w:ilvl="5" w:tplc="C49C44F4" w:tentative="1">
      <w:start w:val="1"/>
      <w:numFmt w:val="bullet"/>
      <w:lvlText w:val=""/>
      <w:lvlJc w:val="left"/>
      <w:pPr>
        <w:ind w:left="4010" w:hanging="360"/>
      </w:pPr>
      <w:rPr>
        <w:rFonts w:ascii="Wingdings" w:hAnsi="Wingdings" w:hint="default"/>
      </w:rPr>
    </w:lvl>
    <w:lvl w:ilvl="6" w:tplc="AD9E1302" w:tentative="1">
      <w:start w:val="1"/>
      <w:numFmt w:val="bullet"/>
      <w:lvlText w:val=""/>
      <w:lvlJc w:val="left"/>
      <w:pPr>
        <w:ind w:left="4730" w:hanging="360"/>
      </w:pPr>
      <w:rPr>
        <w:rFonts w:ascii="Symbol" w:hAnsi="Symbol" w:hint="default"/>
      </w:rPr>
    </w:lvl>
    <w:lvl w:ilvl="7" w:tplc="724AEEB4" w:tentative="1">
      <w:start w:val="1"/>
      <w:numFmt w:val="bullet"/>
      <w:lvlText w:val="o"/>
      <w:lvlJc w:val="left"/>
      <w:pPr>
        <w:ind w:left="5450" w:hanging="360"/>
      </w:pPr>
      <w:rPr>
        <w:rFonts w:ascii="Courier New" w:hAnsi="Courier New" w:cs="Courier New" w:hint="default"/>
      </w:rPr>
    </w:lvl>
    <w:lvl w:ilvl="8" w:tplc="F0C8B4B8" w:tentative="1">
      <w:start w:val="1"/>
      <w:numFmt w:val="bullet"/>
      <w:lvlText w:val=""/>
      <w:lvlJc w:val="left"/>
      <w:pPr>
        <w:ind w:left="6170" w:hanging="360"/>
      </w:pPr>
      <w:rPr>
        <w:rFonts w:ascii="Wingdings" w:hAnsi="Wingdings" w:hint="default"/>
      </w:rPr>
    </w:lvl>
  </w:abstractNum>
  <w:abstractNum w:abstractNumId="70" w15:restartNumberingAfterBreak="0">
    <w:nsid w:val="78692555"/>
    <w:multiLevelType w:val="hybridMultilevel"/>
    <w:tmpl w:val="84981F06"/>
    <w:lvl w:ilvl="0" w:tplc="A050A640">
      <w:start w:val="5"/>
      <w:numFmt w:val="decimal"/>
      <w:lvlText w:val="%1."/>
      <w:lvlJc w:val="left"/>
      <w:pPr>
        <w:tabs>
          <w:tab w:val="num" w:pos="720"/>
        </w:tabs>
        <w:ind w:left="720" w:hanging="360"/>
      </w:pPr>
      <w:rPr>
        <w:rFonts w:hint="default"/>
      </w:rPr>
    </w:lvl>
    <w:lvl w:ilvl="1" w:tplc="78BE8E38">
      <w:start w:val="1"/>
      <w:numFmt w:val="lowerLetter"/>
      <w:lvlText w:val="%2."/>
      <w:lvlJc w:val="left"/>
      <w:pPr>
        <w:tabs>
          <w:tab w:val="num" w:pos="1440"/>
        </w:tabs>
        <w:ind w:left="1440" w:hanging="360"/>
      </w:pPr>
    </w:lvl>
    <w:lvl w:ilvl="2" w:tplc="7A847780">
      <w:start w:val="1"/>
      <w:numFmt w:val="lowerRoman"/>
      <w:lvlText w:val="%3."/>
      <w:lvlJc w:val="right"/>
      <w:pPr>
        <w:tabs>
          <w:tab w:val="num" w:pos="2160"/>
        </w:tabs>
        <w:ind w:left="2160" w:hanging="180"/>
      </w:pPr>
    </w:lvl>
    <w:lvl w:ilvl="3" w:tplc="DE08849E">
      <w:start w:val="1"/>
      <w:numFmt w:val="decimal"/>
      <w:lvlText w:val="%4."/>
      <w:lvlJc w:val="left"/>
      <w:pPr>
        <w:tabs>
          <w:tab w:val="num" w:pos="2880"/>
        </w:tabs>
        <w:ind w:left="2880" w:hanging="360"/>
      </w:pPr>
    </w:lvl>
    <w:lvl w:ilvl="4" w:tplc="00D2BBD8">
      <w:start w:val="1"/>
      <w:numFmt w:val="lowerLetter"/>
      <w:lvlText w:val="%5."/>
      <w:lvlJc w:val="left"/>
      <w:pPr>
        <w:tabs>
          <w:tab w:val="num" w:pos="3600"/>
        </w:tabs>
        <w:ind w:left="3600" w:hanging="360"/>
      </w:pPr>
    </w:lvl>
    <w:lvl w:ilvl="5" w:tplc="D1E28C38">
      <w:start w:val="1"/>
      <w:numFmt w:val="lowerRoman"/>
      <w:lvlText w:val="%6."/>
      <w:lvlJc w:val="right"/>
      <w:pPr>
        <w:tabs>
          <w:tab w:val="num" w:pos="4320"/>
        </w:tabs>
        <w:ind w:left="4320" w:hanging="180"/>
      </w:pPr>
    </w:lvl>
    <w:lvl w:ilvl="6" w:tplc="E2F8FB84">
      <w:start w:val="1"/>
      <w:numFmt w:val="decimal"/>
      <w:lvlText w:val="%7."/>
      <w:lvlJc w:val="left"/>
      <w:pPr>
        <w:tabs>
          <w:tab w:val="num" w:pos="5040"/>
        </w:tabs>
        <w:ind w:left="5040" w:hanging="360"/>
      </w:pPr>
    </w:lvl>
    <w:lvl w:ilvl="7" w:tplc="BF04A9CC">
      <w:start w:val="1"/>
      <w:numFmt w:val="lowerLetter"/>
      <w:lvlText w:val="%8."/>
      <w:lvlJc w:val="left"/>
      <w:pPr>
        <w:tabs>
          <w:tab w:val="num" w:pos="5760"/>
        </w:tabs>
        <w:ind w:left="5760" w:hanging="360"/>
      </w:pPr>
    </w:lvl>
    <w:lvl w:ilvl="8" w:tplc="AC92D6BE">
      <w:start w:val="1"/>
      <w:numFmt w:val="lowerRoman"/>
      <w:lvlText w:val="%9."/>
      <w:lvlJc w:val="right"/>
      <w:pPr>
        <w:tabs>
          <w:tab w:val="num" w:pos="6480"/>
        </w:tabs>
        <w:ind w:left="6480" w:hanging="180"/>
      </w:pPr>
    </w:lvl>
  </w:abstractNum>
  <w:abstractNum w:abstractNumId="71" w15:restartNumberingAfterBreak="0">
    <w:nsid w:val="7C89572F"/>
    <w:multiLevelType w:val="hybridMultilevel"/>
    <w:tmpl w:val="DB40B340"/>
    <w:lvl w:ilvl="0" w:tplc="33F244DE">
      <w:start w:val="1"/>
      <w:numFmt w:val="bullet"/>
      <w:lvlText w:val=""/>
      <w:lvlJc w:val="left"/>
      <w:pPr>
        <w:ind w:left="780" w:hanging="360"/>
      </w:pPr>
      <w:rPr>
        <w:rFonts w:ascii="Symbol" w:hAnsi="Symbol" w:hint="default"/>
      </w:rPr>
    </w:lvl>
    <w:lvl w:ilvl="1" w:tplc="66CABFC8" w:tentative="1">
      <w:start w:val="1"/>
      <w:numFmt w:val="bullet"/>
      <w:lvlText w:val="o"/>
      <w:lvlJc w:val="left"/>
      <w:pPr>
        <w:ind w:left="1500" w:hanging="360"/>
      </w:pPr>
      <w:rPr>
        <w:rFonts w:ascii="Courier New" w:hAnsi="Courier New" w:cs="Courier New" w:hint="default"/>
      </w:rPr>
    </w:lvl>
    <w:lvl w:ilvl="2" w:tplc="0ABC3258" w:tentative="1">
      <w:start w:val="1"/>
      <w:numFmt w:val="bullet"/>
      <w:lvlText w:val=""/>
      <w:lvlJc w:val="left"/>
      <w:pPr>
        <w:ind w:left="2220" w:hanging="360"/>
      </w:pPr>
      <w:rPr>
        <w:rFonts w:ascii="Wingdings" w:hAnsi="Wingdings" w:hint="default"/>
      </w:rPr>
    </w:lvl>
    <w:lvl w:ilvl="3" w:tplc="DFFC651A" w:tentative="1">
      <w:start w:val="1"/>
      <w:numFmt w:val="bullet"/>
      <w:lvlText w:val=""/>
      <w:lvlJc w:val="left"/>
      <w:pPr>
        <w:ind w:left="2940" w:hanging="360"/>
      </w:pPr>
      <w:rPr>
        <w:rFonts w:ascii="Symbol" w:hAnsi="Symbol" w:hint="default"/>
      </w:rPr>
    </w:lvl>
    <w:lvl w:ilvl="4" w:tplc="30D00572" w:tentative="1">
      <w:start w:val="1"/>
      <w:numFmt w:val="bullet"/>
      <w:lvlText w:val="o"/>
      <w:lvlJc w:val="left"/>
      <w:pPr>
        <w:ind w:left="3660" w:hanging="360"/>
      </w:pPr>
      <w:rPr>
        <w:rFonts w:ascii="Courier New" w:hAnsi="Courier New" w:cs="Courier New" w:hint="default"/>
      </w:rPr>
    </w:lvl>
    <w:lvl w:ilvl="5" w:tplc="1E5E4934" w:tentative="1">
      <w:start w:val="1"/>
      <w:numFmt w:val="bullet"/>
      <w:lvlText w:val=""/>
      <w:lvlJc w:val="left"/>
      <w:pPr>
        <w:ind w:left="4380" w:hanging="360"/>
      </w:pPr>
      <w:rPr>
        <w:rFonts w:ascii="Wingdings" w:hAnsi="Wingdings" w:hint="default"/>
      </w:rPr>
    </w:lvl>
    <w:lvl w:ilvl="6" w:tplc="C240CD70" w:tentative="1">
      <w:start w:val="1"/>
      <w:numFmt w:val="bullet"/>
      <w:lvlText w:val=""/>
      <w:lvlJc w:val="left"/>
      <w:pPr>
        <w:ind w:left="5100" w:hanging="360"/>
      </w:pPr>
      <w:rPr>
        <w:rFonts w:ascii="Symbol" w:hAnsi="Symbol" w:hint="default"/>
      </w:rPr>
    </w:lvl>
    <w:lvl w:ilvl="7" w:tplc="CDACF5F0" w:tentative="1">
      <w:start w:val="1"/>
      <w:numFmt w:val="bullet"/>
      <w:lvlText w:val="o"/>
      <w:lvlJc w:val="left"/>
      <w:pPr>
        <w:ind w:left="5820" w:hanging="360"/>
      </w:pPr>
      <w:rPr>
        <w:rFonts w:ascii="Courier New" w:hAnsi="Courier New" w:cs="Courier New" w:hint="default"/>
      </w:rPr>
    </w:lvl>
    <w:lvl w:ilvl="8" w:tplc="B34E4CD4" w:tentative="1">
      <w:start w:val="1"/>
      <w:numFmt w:val="bullet"/>
      <w:lvlText w:val=""/>
      <w:lvlJc w:val="left"/>
      <w:pPr>
        <w:ind w:left="6540" w:hanging="360"/>
      </w:pPr>
      <w:rPr>
        <w:rFonts w:ascii="Wingdings" w:hAnsi="Wingdings" w:hint="default"/>
      </w:rPr>
    </w:lvl>
  </w:abstractNum>
  <w:num w:numId="1">
    <w:abstractNumId w:val="32"/>
  </w:num>
  <w:num w:numId="2">
    <w:abstractNumId w:val="56"/>
  </w:num>
  <w:num w:numId="3">
    <w:abstractNumId w:val="37"/>
  </w:num>
  <w:num w:numId="4">
    <w:abstractNumId w:val="42"/>
  </w:num>
  <w:num w:numId="5">
    <w:abstractNumId w:val="68"/>
  </w:num>
  <w:num w:numId="6">
    <w:abstractNumId w:val="52"/>
  </w:num>
  <w:num w:numId="7">
    <w:abstractNumId w:val="70"/>
  </w:num>
  <w:num w:numId="8">
    <w:abstractNumId w:val="31"/>
  </w:num>
  <w:num w:numId="9">
    <w:abstractNumId w:val="27"/>
  </w:num>
  <w:num w:numId="10">
    <w:abstractNumId w:val="14"/>
  </w:num>
  <w:num w:numId="11">
    <w:abstractNumId w:val="59"/>
  </w:num>
  <w:num w:numId="12">
    <w:abstractNumId w:val="63"/>
  </w:num>
  <w:num w:numId="13">
    <w:abstractNumId w:val="34"/>
  </w:num>
  <w:num w:numId="14">
    <w:abstractNumId w:val="38"/>
  </w:num>
  <w:num w:numId="15">
    <w:abstractNumId w:val="40"/>
  </w:num>
  <w:num w:numId="16">
    <w:abstractNumId w:val="22"/>
  </w:num>
  <w:num w:numId="17">
    <w:abstractNumId w:val="33"/>
  </w:num>
  <w:num w:numId="18">
    <w:abstractNumId w:val="25"/>
  </w:num>
  <w:num w:numId="19">
    <w:abstractNumId w:val="61"/>
  </w:num>
  <w:num w:numId="20">
    <w:abstractNumId w:val="4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9"/>
  </w:num>
  <w:num w:numId="32">
    <w:abstractNumId w:val="57"/>
  </w:num>
  <w:num w:numId="33">
    <w:abstractNumId w:val="66"/>
  </w:num>
  <w:num w:numId="34">
    <w:abstractNumId w:val="39"/>
  </w:num>
  <w:num w:numId="35">
    <w:abstractNumId w:val="17"/>
  </w:num>
  <w:num w:numId="36">
    <w:abstractNumId w:val="53"/>
  </w:num>
  <w:num w:numId="37">
    <w:abstractNumId w:val="18"/>
  </w:num>
  <w:num w:numId="38">
    <w:abstractNumId w:val="11"/>
  </w:num>
  <w:num w:numId="39">
    <w:abstractNumId w:val="41"/>
  </w:num>
  <w:num w:numId="40">
    <w:abstractNumId w:val="10"/>
  </w:num>
  <w:num w:numId="41">
    <w:abstractNumId w:val="47"/>
  </w:num>
  <w:num w:numId="42">
    <w:abstractNumId w:val="28"/>
  </w:num>
  <w:num w:numId="43">
    <w:abstractNumId w:val="50"/>
  </w:num>
  <w:num w:numId="44">
    <w:abstractNumId w:val="45"/>
  </w:num>
  <w:num w:numId="45">
    <w:abstractNumId w:val="54"/>
  </w:num>
  <w:num w:numId="46">
    <w:abstractNumId w:val="21"/>
  </w:num>
  <w:num w:numId="47">
    <w:abstractNumId w:val="30"/>
  </w:num>
  <w:num w:numId="48">
    <w:abstractNumId w:val="58"/>
  </w:num>
  <w:num w:numId="49">
    <w:abstractNumId w:val="40"/>
  </w:num>
  <w:num w:numId="50">
    <w:abstractNumId w:val="43"/>
  </w:num>
  <w:num w:numId="51">
    <w:abstractNumId w:val="35"/>
  </w:num>
  <w:num w:numId="52">
    <w:abstractNumId w:val="49"/>
  </w:num>
  <w:num w:numId="53">
    <w:abstractNumId w:val="64"/>
  </w:num>
  <w:num w:numId="54">
    <w:abstractNumId w:val="46"/>
  </w:num>
  <w:num w:numId="55">
    <w:abstractNumId w:val="62"/>
  </w:num>
  <w:num w:numId="56">
    <w:abstractNumId w:val="44"/>
  </w:num>
  <w:num w:numId="57">
    <w:abstractNumId w:val="65"/>
  </w:num>
  <w:num w:numId="58">
    <w:abstractNumId w:val="51"/>
  </w:num>
  <w:num w:numId="59">
    <w:abstractNumId w:val="24"/>
  </w:num>
  <w:num w:numId="60">
    <w:abstractNumId w:val="20"/>
  </w:num>
  <w:num w:numId="61">
    <w:abstractNumId w:val="40"/>
  </w:num>
  <w:num w:numId="62">
    <w:abstractNumId w:val="55"/>
  </w:num>
  <w:num w:numId="63">
    <w:abstractNumId w:val="36"/>
  </w:num>
  <w:num w:numId="64">
    <w:abstractNumId w:val="69"/>
  </w:num>
  <w:num w:numId="65">
    <w:abstractNumId w:val="19"/>
  </w:num>
  <w:num w:numId="66">
    <w:abstractNumId w:val="23"/>
  </w:num>
  <w:num w:numId="67">
    <w:abstractNumId w:val="71"/>
  </w:num>
  <w:num w:numId="68">
    <w:abstractNumId w:val="60"/>
  </w:num>
  <w:num w:numId="69">
    <w:abstractNumId w:val="67"/>
  </w:num>
  <w:num w:numId="70">
    <w:abstractNumId w:val="15"/>
  </w:num>
  <w:num w:numId="71">
    <w:abstractNumId w:val="16"/>
  </w:num>
  <w:num w:numId="72">
    <w:abstractNumId w:val="13"/>
  </w:num>
  <w:num w:numId="73">
    <w:abstractNumId w:val="26"/>
  </w:num>
  <w:num w:numId="74">
    <w:abstractNumId w:val="12"/>
  </w:num>
  <w:num w:numId="75">
    <w:abstractNumId w:val="4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embedSystemFont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812D16"/>
    <w:rsid w:val="0000004B"/>
    <w:rsid w:val="00000D62"/>
    <w:rsid w:val="00000ECD"/>
    <w:rsid w:val="000014BC"/>
    <w:rsid w:val="00001506"/>
    <w:rsid w:val="00001587"/>
    <w:rsid w:val="000015E6"/>
    <w:rsid w:val="00001DB8"/>
    <w:rsid w:val="00001EE5"/>
    <w:rsid w:val="0000205E"/>
    <w:rsid w:val="0000278E"/>
    <w:rsid w:val="000029CE"/>
    <w:rsid w:val="00002A05"/>
    <w:rsid w:val="00002A24"/>
    <w:rsid w:val="00002A63"/>
    <w:rsid w:val="00002E73"/>
    <w:rsid w:val="0000362A"/>
    <w:rsid w:val="00003781"/>
    <w:rsid w:val="00003A88"/>
    <w:rsid w:val="00004679"/>
    <w:rsid w:val="000046CB"/>
    <w:rsid w:val="00005287"/>
    <w:rsid w:val="00005701"/>
    <w:rsid w:val="0000572F"/>
    <w:rsid w:val="000062F4"/>
    <w:rsid w:val="000064BB"/>
    <w:rsid w:val="00006ABC"/>
    <w:rsid w:val="00006D2F"/>
    <w:rsid w:val="0000736E"/>
    <w:rsid w:val="000073A9"/>
    <w:rsid w:val="000073FA"/>
    <w:rsid w:val="000074C6"/>
    <w:rsid w:val="00007528"/>
    <w:rsid w:val="0001048E"/>
    <w:rsid w:val="000108E2"/>
    <w:rsid w:val="00010B3A"/>
    <w:rsid w:val="00011230"/>
    <w:rsid w:val="0001164F"/>
    <w:rsid w:val="0001169D"/>
    <w:rsid w:val="0001221B"/>
    <w:rsid w:val="000122A4"/>
    <w:rsid w:val="00012497"/>
    <w:rsid w:val="00012669"/>
    <w:rsid w:val="00012B53"/>
    <w:rsid w:val="00013ED5"/>
    <w:rsid w:val="0001478C"/>
    <w:rsid w:val="00014869"/>
    <w:rsid w:val="00014A30"/>
    <w:rsid w:val="00014E87"/>
    <w:rsid w:val="00014FD5"/>
    <w:rsid w:val="000150D3"/>
    <w:rsid w:val="0001568D"/>
    <w:rsid w:val="00015C70"/>
    <w:rsid w:val="00015C7A"/>
    <w:rsid w:val="000166C1"/>
    <w:rsid w:val="00016706"/>
    <w:rsid w:val="000168E9"/>
    <w:rsid w:val="000171FB"/>
    <w:rsid w:val="00017BF6"/>
    <w:rsid w:val="00017D66"/>
    <w:rsid w:val="00017DDE"/>
    <w:rsid w:val="00017F33"/>
    <w:rsid w:val="00017F71"/>
    <w:rsid w:val="0002006B"/>
    <w:rsid w:val="00020219"/>
    <w:rsid w:val="00020AE8"/>
    <w:rsid w:val="00020DC2"/>
    <w:rsid w:val="0002105B"/>
    <w:rsid w:val="0002137E"/>
    <w:rsid w:val="00021686"/>
    <w:rsid w:val="00021AFF"/>
    <w:rsid w:val="00021B04"/>
    <w:rsid w:val="00022D43"/>
    <w:rsid w:val="000238D9"/>
    <w:rsid w:val="00024741"/>
    <w:rsid w:val="00025306"/>
    <w:rsid w:val="0002536B"/>
    <w:rsid w:val="00025ADA"/>
    <w:rsid w:val="00025EBE"/>
    <w:rsid w:val="00026713"/>
    <w:rsid w:val="000268D0"/>
    <w:rsid w:val="0002697A"/>
    <w:rsid w:val="00026BF2"/>
    <w:rsid w:val="00026F96"/>
    <w:rsid w:val="000271F6"/>
    <w:rsid w:val="00030445"/>
    <w:rsid w:val="000305BC"/>
    <w:rsid w:val="00030708"/>
    <w:rsid w:val="00030710"/>
    <w:rsid w:val="00030CEE"/>
    <w:rsid w:val="00030D05"/>
    <w:rsid w:val="00030DD4"/>
    <w:rsid w:val="00030ED8"/>
    <w:rsid w:val="00031056"/>
    <w:rsid w:val="00031597"/>
    <w:rsid w:val="000318C7"/>
    <w:rsid w:val="00031927"/>
    <w:rsid w:val="00031F19"/>
    <w:rsid w:val="0003250E"/>
    <w:rsid w:val="000326B6"/>
    <w:rsid w:val="000326C4"/>
    <w:rsid w:val="000327E8"/>
    <w:rsid w:val="0003295E"/>
    <w:rsid w:val="00032E5A"/>
    <w:rsid w:val="00033FDB"/>
    <w:rsid w:val="000344F6"/>
    <w:rsid w:val="000349CC"/>
    <w:rsid w:val="00034A39"/>
    <w:rsid w:val="000352CE"/>
    <w:rsid w:val="00035606"/>
    <w:rsid w:val="00035A79"/>
    <w:rsid w:val="00035FF5"/>
    <w:rsid w:val="0003635D"/>
    <w:rsid w:val="00036AC1"/>
    <w:rsid w:val="00036BC5"/>
    <w:rsid w:val="00036D7D"/>
    <w:rsid w:val="00036DEE"/>
    <w:rsid w:val="00037019"/>
    <w:rsid w:val="00037046"/>
    <w:rsid w:val="00037D5E"/>
    <w:rsid w:val="00040462"/>
    <w:rsid w:val="0004052A"/>
    <w:rsid w:val="000406BD"/>
    <w:rsid w:val="00040787"/>
    <w:rsid w:val="00040B6D"/>
    <w:rsid w:val="00040B8E"/>
    <w:rsid w:val="000410B0"/>
    <w:rsid w:val="0004145E"/>
    <w:rsid w:val="00042263"/>
    <w:rsid w:val="00042689"/>
    <w:rsid w:val="0004273C"/>
    <w:rsid w:val="00042870"/>
    <w:rsid w:val="000428DE"/>
    <w:rsid w:val="0004335C"/>
    <w:rsid w:val="00043505"/>
    <w:rsid w:val="00043536"/>
    <w:rsid w:val="00044042"/>
    <w:rsid w:val="0004513C"/>
    <w:rsid w:val="00045589"/>
    <w:rsid w:val="00045ED3"/>
    <w:rsid w:val="00046113"/>
    <w:rsid w:val="00046B3C"/>
    <w:rsid w:val="000474D2"/>
    <w:rsid w:val="00047696"/>
    <w:rsid w:val="000479C5"/>
    <w:rsid w:val="00047D86"/>
    <w:rsid w:val="00050A30"/>
    <w:rsid w:val="00050DFD"/>
    <w:rsid w:val="0005118A"/>
    <w:rsid w:val="00053809"/>
    <w:rsid w:val="00053914"/>
    <w:rsid w:val="00054119"/>
    <w:rsid w:val="00054756"/>
    <w:rsid w:val="00054DA8"/>
    <w:rsid w:val="000550BB"/>
    <w:rsid w:val="00055167"/>
    <w:rsid w:val="00055FBD"/>
    <w:rsid w:val="000560C5"/>
    <w:rsid w:val="0005631F"/>
    <w:rsid w:val="00056C49"/>
    <w:rsid w:val="00056FC0"/>
    <w:rsid w:val="00056FE0"/>
    <w:rsid w:val="0005725C"/>
    <w:rsid w:val="000572F9"/>
    <w:rsid w:val="00057AD4"/>
    <w:rsid w:val="00057F5F"/>
    <w:rsid w:val="00057FB3"/>
    <w:rsid w:val="000603C8"/>
    <w:rsid w:val="0006071C"/>
    <w:rsid w:val="000608A4"/>
    <w:rsid w:val="00060AA1"/>
    <w:rsid w:val="000613FA"/>
    <w:rsid w:val="000614DE"/>
    <w:rsid w:val="00061508"/>
    <w:rsid w:val="00062957"/>
    <w:rsid w:val="00062D9E"/>
    <w:rsid w:val="00062DFA"/>
    <w:rsid w:val="000631FD"/>
    <w:rsid w:val="00063634"/>
    <w:rsid w:val="00063C6A"/>
    <w:rsid w:val="00064396"/>
    <w:rsid w:val="000644F6"/>
    <w:rsid w:val="000646DB"/>
    <w:rsid w:val="000647D3"/>
    <w:rsid w:val="00064D90"/>
    <w:rsid w:val="00065874"/>
    <w:rsid w:val="0006630C"/>
    <w:rsid w:val="00066DBA"/>
    <w:rsid w:val="000671E3"/>
    <w:rsid w:val="000677E1"/>
    <w:rsid w:val="0006780E"/>
    <w:rsid w:val="00070343"/>
    <w:rsid w:val="00070CB6"/>
    <w:rsid w:val="0007114B"/>
    <w:rsid w:val="00071F8A"/>
    <w:rsid w:val="00072348"/>
    <w:rsid w:val="00072D1B"/>
    <w:rsid w:val="0007362F"/>
    <w:rsid w:val="00073641"/>
    <w:rsid w:val="000737FF"/>
    <w:rsid w:val="00073E04"/>
    <w:rsid w:val="000740B7"/>
    <w:rsid w:val="000743C4"/>
    <w:rsid w:val="00075843"/>
    <w:rsid w:val="000758A3"/>
    <w:rsid w:val="00075BFF"/>
    <w:rsid w:val="00075D87"/>
    <w:rsid w:val="00075F43"/>
    <w:rsid w:val="0007628D"/>
    <w:rsid w:val="00076445"/>
    <w:rsid w:val="00076543"/>
    <w:rsid w:val="00076CCA"/>
    <w:rsid w:val="00080010"/>
    <w:rsid w:val="00080102"/>
    <w:rsid w:val="00081DAB"/>
    <w:rsid w:val="000822EB"/>
    <w:rsid w:val="00082A16"/>
    <w:rsid w:val="00083469"/>
    <w:rsid w:val="00083796"/>
    <w:rsid w:val="00083949"/>
    <w:rsid w:val="00083C4E"/>
    <w:rsid w:val="0008435E"/>
    <w:rsid w:val="00084653"/>
    <w:rsid w:val="00084C10"/>
    <w:rsid w:val="00084C75"/>
    <w:rsid w:val="000851C3"/>
    <w:rsid w:val="000851CE"/>
    <w:rsid w:val="00085A53"/>
    <w:rsid w:val="00085B22"/>
    <w:rsid w:val="00086129"/>
    <w:rsid w:val="0008651C"/>
    <w:rsid w:val="000867FC"/>
    <w:rsid w:val="00086ABB"/>
    <w:rsid w:val="00087262"/>
    <w:rsid w:val="000872AE"/>
    <w:rsid w:val="00087469"/>
    <w:rsid w:val="0008786B"/>
    <w:rsid w:val="000878C1"/>
    <w:rsid w:val="00087F14"/>
    <w:rsid w:val="00087FF1"/>
    <w:rsid w:val="000904B1"/>
    <w:rsid w:val="0009064B"/>
    <w:rsid w:val="00091827"/>
    <w:rsid w:val="00092C5D"/>
    <w:rsid w:val="00093225"/>
    <w:rsid w:val="0009351E"/>
    <w:rsid w:val="000937CF"/>
    <w:rsid w:val="00093859"/>
    <w:rsid w:val="00093AEA"/>
    <w:rsid w:val="000943CE"/>
    <w:rsid w:val="0009479A"/>
    <w:rsid w:val="000953EE"/>
    <w:rsid w:val="00095957"/>
    <w:rsid w:val="00095CBE"/>
    <w:rsid w:val="00095D84"/>
    <w:rsid w:val="00095E44"/>
    <w:rsid w:val="000963D4"/>
    <w:rsid w:val="00096566"/>
    <w:rsid w:val="000965C5"/>
    <w:rsid w:val="00096974"/>
    <w:rsid w:val="00096B0E"/>
    <w:rsid w:val="00096C07"/>
    <w:rsid w:val="00096D8D"/>
    <w:rsid w:val="000973E2"/>
    <w:rsid w:val="0009755A"/>
    <w:rsid w:val="00097787"/>
    <w:rsid w:val="00097F7F"/>
    <w:rsid w:val="000A093B"/>
    <w:rsid w:val="000A0B26"/>
    <w:rsid w:val="000A1232"/>
    <w:rsid w:val="000A1955"/>
    <w:rsid w:val="000A1B88"/>
    <w:rsid w:val="000A1CDA"/>
    <w:rsid w:val="000A1F9F"/>
    <w:rsid w:val="000A3195"/>
    <w:rsid w:val="000A37C0"/>
    <w:rsid w:val="000A3937"/>
    <w:rsid w:val="000A4186"/>
    <w:rsid w:val="000A4673"/>
    <w:rsid w:val="000A4AC5"/>
    <w:rsid w:val="000A5519"/>
    <w:rsid w:val="000A5696"/>
    <w:rsid w:val="000A5E84"/>
    <w:rsid w:val="000A62A0"/>
    <w:rsid w:val="000A6534"/>
    <w:rsid w:val="000A6540"/>
    <w:rsid w:val="000A6628"/>
    <w:rsid w:val="000A6E2D"/>
    <w:rsid w:val="000A74F9"/>
    <w:rsid w:val="000A7632"/>
    <w:rsid w:val="000B003B"/>
    <w:rsid w:val="000B0097"/>
    <w:rsid w:val="000B0138"/>
    <w:rsid w:val="000B04C5"/>
    <w:rsid w:val="000B0EAA"/>
    <w:rsid w:val="000B101F"/>
    <w:rsid w:val="000B183B"/>
    <w:rsid w:val="000B1F25"/>
    <w:rsid w:val="000B1F4B"/>
    <w:rsid w:val="000B21B7"/>
    <w:rsid w:val="000B22BE"/>
    <w:rsid w:val="000B2306"/>
    <w:rsid w:val="000B2F07"/>
    <w:rsid w:val="000B2F27"/>
    <w:rsid w:val="000B2F58"/>
    <w:rsid w:val="000B3501"/>
    <w:rsid w:val="000B35BA"/>
    <w:rsid w:val="000B3687"/>
    <w:rsid w:val="000B37A8"/>
    <w:rsid w:val="000B39EF"/>
    <w:rsid w:val="000B3B90"/>
    <w:rsid w:val="000B4851"/>
    <w:rsid w:val="000B4F22"/>
    <w:rsid w:val="000B51D9"/>
    <w:rsid w:val="000B5689"/>
    <w:rsid w:val="000B614A"/>
    <w:rsid w:val="000B6233"/>
    <w:rsid w:val="000B73E1"/>
    <w:rsid w:val="000B76AC"/>
    <w:rsid w:val="000B7D9B"/>
    <w:rsid w:val="000B7FB4"/>
    <w:rsid w:val="000C0CAC"/>
    <w:rsid w:val="000C13CB"/>
    <w:rsid w:val="000C1A8D"/>
    <w:rsid w:val="000C22A5"/>
    <w:rsid w:val="000C308F"/>
    <w:rsid w:val="000C3496"/>
    <w:rsid w:val="000C34CB"/>
    <w:rsid w:val="000C3514"/>
    <w:rsid w:val="000C385D"/>
    <w:rsid w:val="000C387F"/>
    <w:rsid w:val="000C3996"/>
    <w:rsid w:val="000C3A0C"/>
    <w:rsid w:val="000C3D47"/>
    <w:rsid w:val="000C3D48"/>
    <w:rsid w:val="000C3EE3"/>
    <w:rsid w:val="000C3FB1"/>
    <w:rsid w:val="000C49D6"/>
    <w:rsid w:val="000C4AF3"/>
    <w:rsid w:val="000C4F5B"/>
    <w:rsid w:val="000C50D9"/>
    <w:rsid w:val="000C5105"/>
    <w:rsid w:val="000C5177"/>
    <w:rsid w:val="000C52B9"/>
    <w:rsid w:val="000C5697"/>
    <w:rsid w:val="000C5859"/>
    <w:rsid w:val="000C59D8"/>
    <w:rsid w:val="000C5A4E"/>
    <w:rsid w:val="000C635D"/>
    <w:rsid w:val="000C6386"/>
    <w:rsid w:val="000C6425"/>
    <w:rsid w:val="000C6527"/>
    <w:rsid w:val="000C7DBA"/>
    <w:rsid w:val="000C7F49"/>
    <w:rsid w:val="000D02CF"/>
    <w:rsid w:val="000D02D9"/>
    <w:rsid w:val="000D0445"/>
    <w:rsid w:val="000D1AEE"/>
    <w:rsid w:val="000D1D8C"/>
    <w:rsid w:val="000D1F4F"/>
    <w:rsid w:val="000D27EF"/>
    <w:rsid w:val="000D2825"/>
    <w:rsid w:val="000D2B45"/>
    <w:rsid w:val="000D3437"/>
    <w:rsid w:val="000D372D"/>
    <w:rsid w:val="000D3A58"/>
    <w:rsid w:val="000D3E45"/>
    <w:rsid w:val="000D474A"/>
    <w:rsid w:val="000D4770"/>
    <w:rsid w:val="000D4935"/>
    <w:rsid w:val="000D4D07"/>
    <w:rsid w:val="000D526A"/>
    <w:rsid w:val="000D6132"/>
    <w:rsid w:val="000D61E6"/>
    <w:rsid w:val="000D6397"/>
    <w:rsid w:val="000D639E"/>
    <w:rsid w:val="000D6771"/>
    <w:rsid w:val="000D7224"/>
    <w:rsid w:val="000D7426"/>
    <w:rsid w:val="000D7535"/>
    <w:rsid w:val="000D76E9"/>
    <w:rsid w:val="000D78FD"/>
    <w:rsid w:val="000D7F1C"/>
    <w:rsid w:val="000E0026"/>
    <w:rsid w:val="000E0C62"/>
    <w:rsid w:val="000E130C"/>
    <w:rsid w:val="000E1514"/>
    <w:rsid w:val="000E165D"/>
    <w:rsid w:val="000E1A93"/>
    <w:rsid w:val="000E1BAF"/>
    <w:rsid w:val="000E1CF4"/>
    <w:rsid w:val="000E2157"/>
    <w:rsid w:val="000E223E"/>
    <w:rsid w:val="000E224E"/>
    <w:rsid w:val="000E231D"/>
    <w:rsid w:val="000E235D"/>
    <w:rsid w:val="000E2491"/>
    <w:rsid w:val="000E24CD"/>
    <w:rsid w:val="000E2B2B"/>
    <w:rsid w:val="000E2B7A"/>
    <w:rsid w:val="000E2D8F"/>
    <w:rsid w:val="000E2EA9"/>
    <w:rsid w:val="000E3884"/>
    <w:rsid w:val="000E4133"/>
    <w:rsid w:val="000E424A"/>
    <w:rsid w:val="000E46A3"/>
    <w:rsid w:val="000E4E88"/>
    <w:rsid w:val="000E531C"/>
    <w:rsid w:val="000E5385"/>
    <w:rsid w:val="000E5726"/>
    <w:rsid w:val="000E58D5"/>
    <w:rsid w:val="000E5969"/>
    <w:rsid w:val="000E5C98"/>
    <w:rsid w:val="000E5D94"/>
    <w:rsid w:val="000E60BB"/>
    <w:rsid w:val="000E6A10"/>
    <w:rsid w:val="000E6C94"/>
    <w:rsid w:val="000E6E6C"/>
    <w:rsid w:val="000E6EB2"/>
    <w:rsid w:val="000E7852"/>
    <w:rsid w:val="000E7B12"/>
    <w:rsid w:val="000E7CFC"/>
    <w:rsid w:val="000F047D"/>
    <w:rsid w:val="000F0737"/>
    <w:rsid w:val="000F08F0"/>
    <w:rsid w:val="000F16E3"/>
    <w:rsid w:val="000F1BB2"/>
    <w:rsid w:val="000F2130"/>
    <w:rsid w:val="000F219A"/>
    <w:rsid w:val="000F23BC"/>
    <w:rsid w:val="000F2C14"/>
    <w:rsid w:val="000F3008"/>
    <w:rsid w:val="000F31A7"/>
    <w:rsid w:val="000F3EAE"/>
    <w:rsid w:val="000F3F94"/>
    <w:rsid w:val="000F47A6"/>
    <w:rsid w:val="000F4DE5"/>
    <w:rsid w:val="000F4F59"/>
    <w:rsid w:val="000F5474"/>
    <w:rsid w:val="000F54C6"/>
    <w:rsid w:val="000F5732"/>
    <w:rsid w:val="000F5CD1"/>
    <w:rsid w:val="000F609E"/>
    <w:rsid w:val="00100712"/>
    <w:rsid w:val="00100BC6"/>
    <w:rsid w:val="00100D0A"/>
    <w:rsid w:val="00102A55"/>
    <w:rsid w:val="00103501"/>
    <w:rsid w:val="00103A5D"/>
    <w:rsid w:val="00103B2D"/>
    <w:rsid w:val="00103B99"/>
    <w:rsid w:val="00103CD2"/>
    <w:rsid w:val="00104061"/>
    <w:rsid w:val="00104A59"/>
    <w:rsid w:val="0010506F"/>
    <w:rsid w:val="0010521A"/>
    <w:rsid w:val="0010545C"/>
    <w:rsid w:val="00106355"/>
    <w:rsid w:val="00106697"/>
    <w:rsid w:val="00106AC5"/>
    <w:rsid w:val="00106C73"/>
    <w:rsid w:val="00106C85"/>
    <w:rsid w:val="00107236"/>
    <w:rsid w:val="00107451"/>
    <w:rsid w:val="001077CE"/>
    <w:rsid w:val="001101A2"/>
    <w:rsid w:val="001103F6"/>
    <w:rsid w:val="001106F7"/>
    <w:rsid w:val="001108A9"/>
    <w:rsid w:val="00110E6B"/>
    <w:rsid w:val="0011121B"/>
    <w:rsid w:val="001119BE"/>
    <w:rsid w:val="00111B44"/>
    <w:rsid w:val="00111BC1"/>
    <w:rsid w:val="00111DC5"/>
    <w:rsid w:val="00112EDA"/>
    <w:rsid w:val="0011319A"/>
    <w:rsid w:val="0011324A"/>
    <w:rsid w:val="00114174"/>
    <w:rsid w:val="00114D69"/>
    <w:rsid w:val="0011512F"/>
    <w:rsid w:val="001153A4"/>
    <w:rsid w:val="00115974"/>
    <w:rsid w:val="00115E97"/>
    <w:rsid w:val="00116C6F"/>
    <w:rsid w:val="00116EB1"/>
    <w:rsid w:val="0011776A"/>
    <w:rsid w:val="00117C1D"/>
    <w:rsid w:val="00120088"/>
    <w:rsid w:val="0012032E"/>
    <w:rsid w:val="0012070F"/>
    <w:rsid w:val="00120A82"/>
    <w:rsid w:val="0012118D"/>
    <w:rsid w:val="0012184E"/>
    <w:rsid w:val="00121A4A"/>
    <w:rsid w:val="00121FD1"/>
    <w:rsid w:val="0012345A"/>
    <w:rsid w:val="00123486"/>
    <w:rsid w:val="00123688"/>
    <w:rsid w:val="00123C56"/>
    <w:rsid w:val="0012418C"/>
    <w:rsid w:val="00124D79"/>
    <w:rsid w:val="00125356"/>
    <w:rsid w:val="001263C8"/>
    <w:rsid w:val="00126724"/>
    <w:rsid w:val="00127305"/>
    <w:rsid w:val="001273C9"/>
    <w:rsid w:val="001277C3"/>
    <w:rsid w:val="00127F47"/>
    <w:rsid w:val="00130066"/>
    <w:rsid w:val="00130304"/>
    <w:rsid w:val="00130EE7"/>
    <w:rsid w:val="00130FBF"/>
    <w:rsid w:val="001313C7"/>
    <w:rsid w:val="0013188B"/>
    <w:rsid w:val="0013294A"/>
    <w:rsid w:val="00132B18"/>
    <w:rsid w:val="00132F0C"/>
    <w:rsid w:val="00133572"/>
    <w:rsid w:val="00133D47"/>
    <w:rsid w:val="0013434F"/>
    <w:rsid w:val="00134775"/>
    <w:rsid w:val="00134BC1"/>
    <w:rsid w:val="00134C35"/>
    <w:rsid w:val="00134D26"/>
    <w:rsid w:val="0013594D"/>
    <w:rsid w:val="00136B15"/>
    <w:rsid w:val="00136C13"/>
    <w:rsid w:val="00136C4D"/>
    <w:rsid w:val="00136D7A"/>
    <w:rsid w:val="00136F43"/>
    <w:rsid w:val="00136F83"/>
    <w:rsid w:val="00137136"/>
    <w:rsid w:val="00137728"/>
    <w:rsid w:val="0013781F"/>
    <w:rsid w:val="001401E4"/>
    <w:rsid w:val="00140213"/>
    <w:rsid w:val="00140217"/>
    <w:rsid w:val="00140546"/>
    <w:rsid w:val="00140831"/>
    <w:rsid w:val="00140D35"/>
    <w:rsid w:val="00141332"/>
    <w:rsid w:val="00141470"/>
    <w:rsid w:val="00141540"/>
    <w:rsid w:val="00141D02"/>
    <w:rsid w:val="00141F02"/>
    <w:rsid w:val="00142246"/>
    <w:rsid w:val="00142484"/>
    <w:rsid w:val="00142A22"/>
    <w:rsid w:val="0014336C"/>
    <w:rsid w:val="0014380D"/>
    <w:rsid w:val="00143D13"/>
    <w:rsid w:val="00144098"/>
    <w:rsid w:val="00144247"/>
    <w:rsid w:val="001442DF"/>
    <w:rsid w:val="001444DC"/>
    <w:rsid w:val="001449DF"/>
    <w:rsid w:val="001454B2"/>
    <w:rsid w:val="00145647"/>
    <w:rsid w:val="0014569B"/>
    <w:rsid w:val="00145A29"/>
    <w:rsid w:val="001460A8"/>
    <w:rsid w:val="0014618D"/>
    <w:rsid w:val="001464CD"/>
    <w:rsid w:val="00146EE7"/>
    <w:rsid w:val="00146F7C"/>
    <w:rsid w:val="001470E0"/>
    <w:rsid w:val="00147388"/>
    <w:rsid w:val="00147FA4"/>
    <w:rsid w:val="00150060"/>
    <w:rsid w:val="0015052C"/>
    <w:rsid w:val="00150676"/>
    <w:rsid w:val="00150C98"/>
    <w:rsid w:val="001514FB"/>
    <w:rsid w:val="00151A62"/>
    <w:rsid w:val="00151A9B"/>
    <w:rsid w:val="001530EA"/>
    <w:rsid w:val="0015454D"/>
    <w:rsid w:val="001546E8"/>
    <w:rsid w:val="00154791"/>
    <w:rsid w:val="00154C69"/>
    <w:rsid w:val="00154E6D"/>
    <w:rsid w:val="00154EAB"/>
    <w:rsid w:val="0015507C"/>
    <w:rsid w:val="0015704C"/>
    <w:rsid w:val="001575F1"/>
    <w:rsid w:val="00157E51"/>
    <w:rsid w:val="0016041A"/>
    <w:rsid w:val="00160CEC"/>
    <w:rsid w:val="00160DD2"/>
    <w:rsid w:val="00161701"/>
    <w:rsid w:val="00161B0E"/>
    <w:rsid w:val="00161B2F"/>
    <w:rsid w:val="00161C70"/>
    <w:rsid w:val="00161D64"/>
    <w:rsid w:val="00161E87"/>
    <w:rsid w:val="0016203F"/>
    <w:rsid w:val="00162377"/>
    <w:rsid w:val="00162609"/>
    <w:rsid w:val="00162F0E"/>
    <w:rsid w:val="00163268"/>
    <w:rsid w:val="00163299"/>
    <w:rsid w:val="001636B0"/>
    <w:rsid w:val="00163BC1"/>
    <w:rsid w:val="00163EB8"/>
    <w:rsid w:val="00163FB3"/>
    <w:rsid w:val="00164756"/>
    <w:rsid w:val="00164F15"/>
    <w:rsid w:val="00165135"/>
    <w:rsid w:val="0016566C"/>
    <w:rsid w:val="0016615A"/>
    <w:rsid w:val="001663F9"/>
    <w:rsid w:val="0016642C"/>
    <w:rsid w:val="001667B4"/>
    <w:rsid w:val="00166ED2"/>
    <w:rsid w:val="00166F99"/>
    <w:rsid w:val="001673D1"/>
    <w:rsid w:val="00167667"/>
    <w:rsid w:val="00170359"/>
    <w:rsid w:val="0017073E"/>
    <w:rsid w:val="001712AC"/>
    <w:rsid w:val="001714DC"/>
    <w:rsid w:val="00172067"/>
    <w:rsid w:val="00172135"/>
    <w:rsid w:val="0017273A"/>
    <w:rsid w:val="001727F0"/>
    <w:rsid w:val="00172B06"/>
    <w:rsid w:val="00172DD8"/>
    <w:rsid w:val="0017347E"/>
    <w:rsid w:val="00173A5C"/>
    <w:rsid w:val="00173BB6"/>
    <w:rsid w:val="00173D09"/>
    <w:rsid w:val="001744ED"/>
    <w:rsid w:val="00174B90"/>
    <w:rsid w:val="00174EFB"/>
    <w:rsid w:val="00175068"/>
    <w:rsid w:val="00175194"/>
    <w:rsid w:val="001752D8"/>
    <w:rsid w:val="001756FC"/>
    <w:rsid w:val="00175931"/>
    <w:rsid w:val="001769E5"/>
    <w:rsid w:val="00176B25"/>
    <w:rsid w:val="00176D14"/>
    <w:rsid w:val="001773AA"/>
    <w:rsid w:val="001774ED"/>
    <w:rsid w:val="0017783D"/>
    <w:rsid w:val="00177883"/>
    <w:rsid w:val="00177F4B"/>
    <w:rsid w:val="0018021D"/>
    <w:rsid w:val="001804D0"/>
    <w:rsid w:val="00181016"/>
    <w:rsid w:val="00181530"/>
    <w:rsid w:val="00181795"/>
    <w:rsid w:val="00181BB3"/>
    <w:rsid w:val="0018238B"/>
    <w:rsid w:val="0018263A"/>
    <w:rsid w:val="00182B0D"/>
    <w:rsid w:val="00182B5B"/>
    <w:rsid w:val="00182C3E"/>
    <w:rsid w:val="00183033"/>
    <w:rsid w:val="00183304"/>
    <w:rsid w:val="001833E0"/>
    <w:rsid w:val="00183419"/>
    <w:rsid w:val="00183805"/>
    <w:rsid w:val="0018394A"/>
    <w:rsid w:val="00183B5D"/>
    <w:rsid w:val="00184142"/>
    <w:rsid w:val="00184D43"/>
    <w:rsid w:val="00184D87"/>
    <w:rsid w:val="00184DCC"/>
    <w:rsid w:val="00186637"/>
    <w:rsid w:val="00186956"/>
    <w:rsid w:val="00186A9D"/>
    <w:rsid w:val="00186E80"/>
    <w:rsid w:val="001872DA"/>
    <w:rsid w:val="001874A6"/>
    <w:rsid w:val="0018765B"/>
    <w:rsid w:val="00190913"/>
    <w:rsid w:val="00190D64"/>
    <w:rsid w:val="00190F34"/>
    <w:rsid w:val="00190FFE"/>
    <w:rsid w:val="0019182F"/>
    <w:rsid w:val="00191FC3"/>
    <w:rsid w:val="001922D7"/>
    <w:rsid w:val="00192F79"/>
    <w:rsid w:val="00192F9A"/>
    <w:rsid w:val="0019337A"/>
    <w:rsid w:val="001933B4"/>
    <w:rsid w:val="0019397E"/>
    <w:rsid w:val="00193DD3"/>
    <w:rsid w:val="00194846"/>
    <w:rsid w:val="00194AAB"/>
    <w:rsid w:val="00194FF6"/>
    <w:rsid w:val="00195013"/>
    <w:rsid w:val="00195F65"/>
    <w:rsid w:val="00196917"/>
    <w:rsid w:val="001974A7"/>
    <w:rsid w:val="001975AB"/>
    <w:rsid w:val="00197815"/>
    <w:rsid w:val="00197ADB"/>
    <w:rsid w:val="00197E3A"/>
    <w:rsid w:val="001A0125"/>
    <w:rsid w:val="001A01C3"/>
    <w:rsid w:val="001A0499"/>
    <w:rsid w:val="001A0559"/>
    <w:rsid w:val="001A07E2"/>
    <w:rsid w:val="001A08E5"/>
    <w:rsid w:val="001A1203"/>
    <w:rsid w:val="001A1849"/>
    <w:rsid w:val="001A1F02"/>
    <w:rsid w:val="001A2018"/>
    <w:rsid w:val="001A310B"/>
    <w:rsid w:val="001A3555"/>
    <w:rsid w:val="001A3EBE"/>
    <w:rsid w:val="001A48B9"/>
    <w:rsid w:val="001A498B"/>
    <w:rsid w:val="001A4DFB"/>
    <w:rsid w:val="001A4EAD"/>
    <w:rsid w:val="001A56F1"/>
    <w:rsid w:val="001A59B5"/>
    <w:rsid w:val="001A6461"/>
    <w:rsid w:val="001A6649"/>
    <w:rsid w:val="001A6CF0"/>
    <w:rsid w:val="001A751C"/>
    <w:rsid w:val="001A7754"/>
    <w:rsid w:val="001A7A15"/>
    <w:rsid w:val="001A7EA3"/>
    <w:rsid w:val="001A7ED7"/>
    <w:rsid w:val="001B01C8"/>
    <w:rsid w:val="001B059A"/>
    <w:rsid w:val="001B0939"/>
    <w:rsid w:val="001B09D5"/>
    <w:rsid w:val="001B0B52"/>
    <w:rsid w:val="001B13F6"/>
    <w:rsid w:val="001B1747"/>
    <w:rsid w:val="001B1A8F"/>
    <w:rsid w:val="001B1F88"/>
    <w:rsid w:val="001B2195"/>
    <w:rsid w:val="001B26F6"/>
    <w:rsid w:val="001B2D44"/>
    <w:rsid w:val="001B3277"/>
    <w:rsid w:val="001B3657"/>
    <w:rsid w:val="001B3667"/>
    <w:rsid w:val="001B3DB6"/>
    <w:rsid w:val="001B4423"/>
    <w:rsid w:val="001B4CA7"/>
    <w:rsid w:val="001B4CDB"/>
    <w:rsid w:val="001B4D97"/>
    <w:rsid w:val="001B5392"/>
    <w:rsid w:val="001B565F"/>
    <w:rsid w:val="001B63ED"/>
    <w:rsid w:val="001B672D"/>
    <w:rsid w:val="001B6B77"/>
    <w:rsid w:val="001B752A"/>
    <w:rsid w:val="001B7648"/>
    <w:rsid w:val="001C0046"/>
    <w:rsid w:val="001C0878"/>
    <w:rsid w:val="001C0DDF"/>
    <w:rsid w:val="001C12FB"/>
    <w:rsid w:val="001C141A"/>
    <w:rsid w:val="001C1576"/>
    <w:rsid w:val="001C1C01"/>
    <w:rsid w:val="001C2216"/>
    <w:rsid w:val="001C2369"/>
    <w:rsid w:val="001C23AD"/>
    <w:rsid w:val="001C2502"/>
    <w:rsid w:val="001C2AEB"/>
    <w:rsid w:val="001C3211"/>
    <w:rsid w:val="001C33BA"/>
    <w:rsid w:val="001C35E9"/>
    <w:rsid w:val="001C36BD"/>
    <w:rsid w:val="001C3733"/>
    <w:rsid w:val="001C3919"/>
    <w:rsid w:val="001C3AD5"/>
    <w:rsid w:val="001C3EEA"/>
    <w:rsid w:val="001C3F64"/>
    <w:rsid w:val="001C42A6"/>
    <w:rsid w:val="001C49B3"/>
    <w:rsid w:val="001C5345"/>
    <w:rsid w:val="001C54DF"/>
    <w:rsid w:val="001C556E"/>
    <w:rsid w:val="001C56E4"/>
    <w:rsid w:val="001C5B30"/>
    <w:rsid w:val="001C6C1C"/>
    <w:rsid w:val="001C70A0"/>
    <w:rsid w:val="001C70C6"/>
    <w:rsid w:val="001C74AB"/>
    <w:rsid w:val="001C7613"/>
    <w:rsid w:val="001C779E"/>
    <w:rsid w:val="001C7815"/>
    <w:rsid w:val="001C79D2"/>
    <w:rsid w:val="001C7ABB"/>
    <w:rsid w:val="001D0046"/>
    <w:rsid w:val="001D0156"/>
    <w:rsid w:val="001D0378"/>
    <w:rsid w:val="001D0809"/>
    <w:rsid w:val="001D10C2"/>
    <w:rsid w:val="001D1531"/>
    <w:rsid w:val="001D1759"/>
    <w:rsid w:val="001D1CD8"/>
    <w:rsid w:val="001D258A"/>
    <w:rsid w:val="001D29B1"/>
    <w:rsid w:val="001D2D05"/>
    <w:rsid w:val="001D2EF7"/>
    <w:rsid w:val="001D36A8"/>
    <w:rsid w:val="001D3C05"/>
    <w:rsid w:val="001D3C32"/>
    <w:rsid w:val="001D40CA"/>
    <w:rsid w:val="001D42E1"/>
    <w:rsid w:val="001D4B38"/>
    <w:rsid w:val="001D5FD4"/>
    <w:rsid w:val="001D5FEA"/>
    <w:rsid w:val="001D615C"/>
    <w:rsid w:val="001D626F"/>
    <w:rsid w:val="001D651F"/>
    <w:rsid w:val="001D6634"/>
    <w:rsid w:val="001D693E"/>
    <w:rsid w:val="001D6983"/>
    <w:rsid w:val="001D69A6"/>
    <w:rsid w:val="001D6AF4"/>
    <w:rsid w:val="001D7DC6"/>
    <w:rsid w:val="001E0CC1"/>
    <w:rsid w:val="001E1046"/>
    <w:rsid w:val="001E1C10"/>
    <w:rsid w:val="001E20B2"/>
    <w:rsid w:val="001E20ED"/>
    <w:rsid w:val="001E261E"/>
    <w:rsid w:val="001E27DD"/>
    <w:rsid w:val="001E2C39"/>
    <w:rsid w:val="001E2E84"/>
    <w:rsid w:val="001E334F"/>
    <w:rsid w:val="001E3468"/>
    <w:rsid w:val="001E35F5"/>
    <w:rsid w:val="001E3B01"/>
    <w:rsid w:val="001E3CC0"/>
    <w:rsid w:val="001E4267"/>
    <w:rsid w:val="001E4E65"/>
    <w:rsid w:val="001E4FE3"/>
    <w:rsid w:val="001E5120"/>
    <w:rsid w:val="001E5340"/>
    <w:rsid w:val="001E580D"/>
    <w:rsid w:val="001E596A"/>
    <w:rsid w:val="001E5BCF"/>
    <w:rsid w:val="001E61F2"/>
    <w:rsid w:val="001E643A"/>
    <w:rsid w:val="001E6659"/>
    <w:rsid w:val="001E6F07"/>
    <w:rsid w:val="001E7717"/>
    <w:rsid w:val="001E77C3"/>
    <w:rsid w:val="001E7EB9"/>
    <w:rsid w:val="001F021E"/>
    <w:rsid w:val="001F0336"/>
    <w:rsid w:val="001F07AC"/>
    <w:rsid w:val="001F090B"/>
    <w:rsid w:val="001F095C"/>
    <w:rsid w:val="001F0C44"/>
    <w:rsid w:val="001F0C62"/>
    <w:rsid w:val="001F180A"/>
    <w:rsid w:val="001F1813"/>
    <w:rsid w:val="001F1856"/>
    <w:rsid w:val="001F199A"/>
    <w:rsid w:val="001F1A28"/>
    <w:rsid w:val="001F1ABA"/>
    <w:rsid w:val="001F1AD0"/>
    <w:rsid w:val="001F1FBB"/>
    <w:rsid w:val="001F2205"/>
    <w:rsid w:val="001F2984"/>
    <w:rsid w:val="001F2C5E"/>
    <w:rsid w:val="001F2F19"/>
    <w:rsid w:val="001F31F4"/>
    <w:rsid w:val="001F32AF"/>
    <w:rsid w:val="001F3335"/>
    <w:rsid w:val="001F35E8"/>
    <w:rsid w:val="001F369E"/>
    <w:rsid w:val="001F4014"/>
    <w:rsid w:val="001F42DB"/>
    <w:rsid w:val="001F445E"/>
    <w:rsid w:val="001F5A4A"/>
    <w:rsid w:val="001F5C2B"/>
    <w:rsid w:val="001F5C64"/>
    <w:rsid w:val="001F5CE7"/>
    <w:rsid w:val="001F6950"/>
    <w:rsid w:val="001F731B"/>
    <w:rsid w:val="001F7545"/>
    <w:rsid w:val="001F7549"/>
    <w:rsid w:val="001F7C76"/>
    <w:rsid w:val="00200406"/>
    <w:rsid w:val="002009AF"/>
    <w:rsid w:val="00201187"/>
    <w:rsid w:val="00201213"/>
    <w:rsid w:val="00201593"/>
    <w:rsid w:val="002015C3"/>
    <w:rsid w:val="00201621"/>
    <w:rsid w:val="0020165E"/>
    <w:rsid w:val="002021C5"/>
    <w:rsid w:val="002029A8"/>
    <w:rsid w:val="00202E50"/>
    <w:rsid w:val="00203203"/>
    <w:rsid w:val="002039DA"/>
    <w:rsid w:val="00203E18"/>
    <w:rsid w:val="0020484E"/>
    <w:rsid w:val="00204884"/>
    <w:rsid w:val="00204B2B"/>
    <w:rsid w:val="0020517D"/>
    <w:rsid w:val="00205180"/>
    <w:rsid w:val="0020524E"/>
    <w:rsid w:val="00206620"/>
    <w:rsid w:val="002067EB"/>
    <w:rsid w:val="002068C6"/>
    <w:rsid w:val="00206C93"/>
    <w:rsid w:val="002073DD"/>
    <w:rsid w:val="002075B4"/>
    <w:rsid w:val="002075F8"/>
    <w:rsid w:val="00207A6E"/>
    <w:rsid w:val="00207E2F"/>
    <w:rsid w:val="00207F81"/>
    <w:rsid w:val="002108DD"/>
    <w:rsid w:val="002109F4"/>
    <w:rsid w:val="00211033"/>
    <w:rsid w:val="002112BD"/>
    <w:rsid w:val="00211B54"/>
    <w:rsid w:val="00211ED4"/>
    <w:rsid w:val="00211FDA"/>
    <w:rsid w:val="0021226C"/>
    <w:rsid w:val="0021245B"/>
    <w:rsid w:val="002128C6"/>
    <w:rsid w:val="002129BD"/>
    <w:rsid w:val="00212EEB"/>
    <w:rsid w:val="002130B6"/>
    <w:rsid w:val="0021344B"/>
    <w:rsid w:val="0021352D"/>
    <w:rsid w:val="00213C80"/>
    <w:rsid w:val="00213E09"/>
    <w:rsid w:val="00213EC4"/>
    <w:rsid w:val="00213FE3"/>
    <w:rsid w:val="002142F8"/>
    <w:rsid w:val="00214914"/>
    <w:rsid w:val="00214976"/>
    <w:rsid w:val="0021498C"/>
    <w:rsid w:val="00214AA3"/>
    <w:rsid w:val="00215011"/>
    <w:rsid w:val="00215D1D"/>
    <w:rsid w:val="002160C2"/>
    <w:rsid w:val="00216694"/>
    <w:rsid w:val="002166B8"/>
    <w:rsid w:val="0021671A"/>
    <w:rsid w:val="00216FAA"/>
    <w:rsid w:val="00217B91"/>
    <w:rsid w:val="00217D64"/>
    <w:rsid w:val="00220BDE"/>
    <w:rsid w:val="00220FE4"/>
    <w:rsid w:val="00221126"/>
    <w:rsid w:val="002214D7"/>
    <w:rsid w:val="00221A7B"/>
    <w:rsid w:val="00221B93"/>
    <w:rsid w:val="00222399"/>
    <w:rsid w:val="00222957"/>
    <w:rsid w:val="00222A79"/>
    <w:rsid w:val="00222BB9"/>
    <w:rsid w:val="00223101"/>
    <w:rsid w:val="00223272"/>
    <w:rsid w:val="00223622"/>
    <w:rsid w:val="002237BA"/>
    <w:rsid w:val="00223AC3"/>
    <w:rsid w:val="00223F47"/>
    <w:rsid w:val="00224509"/>
    <w:rsid w:val="002246E5"/>
    <w:rsid w:val="00224D9A"/>
    <w:rsid w:val="002252C8"/>
    <w:rsid w:val="0022542A"/>
    <w:rsid w:val="002258D6"/>
    <w:rsid w:val="00225DEE"/>
    <w:rsid w:val="002268AC"/>
    <w:rsid w:val="00226987"/>
    <w:rsid w:val="00226AE7"/>
    <w:rsid w:val="002274FB"/>
    <w:rsid w:val="00227748"/>
    <w:rsid w:val="0022781C"/>
    <w:rsid w:val="0022793C"/>
    <w:rsid w:val="00227973"/>
    <w:rsid w:val="00227EB3"/>
    <w:rsid w:val="00230807"/>
    <w:rsid w:val="002309CB"/>
    <w:rsid w:val="002309D2"/>
    <w:rsid w:val="00230BE6"/>
    <w:rsid w:val="00232A01"/>
    <w:rsid w:val="0023308F"/>
    <w:rsid w:val="0023315B"/>
    <w:rsid w:val="0023391B"/>
    <w:rsid w:val="00233981"/>
    <w:rsid w:val="002339C3"/>
    <w:rsid w:val="00233BE6"/>
    <w:rsid w:val="00233E41"/>
    <w:rsid w:val="00233EC8"/>
    <w:rsid w:val="002346F3"/>
    <w:rsid w:val="002347FE"/>
    <w:rsid w:val="00234C31"/>
    <w:rsid w:val="00236077"/>
    <w:rsid w:val="00236078"/>
    <w:rsid w:val="002360A4"/>
    <w:rsid w:val="002364FD"/>
    <w:rsid w:val="0023682A"/>
    <w:rsid w:val="00236846"/>
    <w:rsid w:val="002368CE"/>
    <w:rsid w:val="00236C96"/>
    <w:rsid w:val="00236F1E"/>
    <w:rsid w:val="00237254"/>
    <w:rsid w:val="002375D6"/>
    <w:rsid w:val="00240B2B"/>
    <w:rsid w:val="00240CD6"/>
    <w:rsid w:val="00240F15"/>
    <w:rsid w:val="00241424"/>
    <w:rsid w:val="0024178D"/>
    <w:rsid w:val="002418BD"/>
    <w:rsid w:val="00242BDC"/>
    <w:rsid w:val="00243206"/>
    <w:rsid w:val="002432D5"/>
    <w:rsid w:val="002438BD"/>
    <w:rsid w:val="0024392B"/>
    <w:rsid w:val="00243C01"/>
    <w:rsid w:val="0024437F"/>
    <w:rsid w:val="0024440A"/>
    <w:rsid w:val="00244812"/>
    <w:rsid w:val="00244B53"/>
    <w:rsid w:val="00244D96"/>
    <w:rsid w:val="002450C6"/>
    <w:rsid w:val="002456ED"/>
    <w:rsid w:val="00245DCF"/>
    <w:rsid w:val="00246384"/>
    <w:rsid w:val="00246505"/>
    <w:rsid w:val="00246C65"/>
    <w:rsid w:val="002470A2"/>
    <w:rsid w:val="00247246"/>
    <w:rsid w:val="00247736"/>
    <w:rsid w:val="00247B2E"/>
    <w:rsid w:val="00247EEE"/>
    <w:rsid w:val="002509C8"/>
    <w:rsid w:val="00250C24"/>
    <w:rsid w:val="00251236"/>
    <w:rsid w:val="0025139A"/>
    <w:rsid w:val="00251FC6"/>
    <w:rsid w:val="00252274"/>
    <w:rsid w:val="00252331"/>
    <w:rsid w:val="002523E8"/>
    <w:rsid w:val="00252564"/>
    <w:rsid w:val="00252EAF"/>
    <w:rsid w:val="00252F51"/>
    <w:rsid w:val="00253F60"/>
    <w:rsid w:val="00254240"/>
    <w:rsid w:val="002542A8"/>
    <w:rsid w:val="00254CE3"/>
    <w:rsid w:val="00254D05"/>
    <w:rsid w:val="00254F97"/>
    <w:rsid w:val="002555CB"/>
    <w:rsid w:val="002559A1"/>
    <w:rsid w:val="00256E30"/>
    <w:rsid w:val="00257486"/>
    <w:rsid w:val="00257A52"/>
    <w:rsid w:val="00257D31"/>
    <w:rsid w:val="00260A11"/>
    <w:rsid w:val="00260C8B"/>
    <w:rsid w:val="002611F8"/>
    <w:rsid w:val="0026169A"/>
    <w:rsid w:val="00261C4E"/>
    <w:rsid w:val="00261FCF"/>
    <w:rsid w:val="0026229A"/>
    <w:rsid w:val="002622E4"/>
    <w:rsid w:val="00262357"/>
    <w:rsid w:val="00262763"/>
    <w:rsid w:val="0026286D"/>
    <w:rsid w:val="002628B5"/>
    <w:rsid w:val="00262CE0"/>
    <w:rsid w:val="00262E7D"/>
    <w:rsid w:val="002635C9"/>
    <w:rsid w:val="002642D6"/>
    <w:rsid w:val="00264BEA"/>
    <w:rsid w:val="00264E70"/>
    <w:rsid w:val="00264EB7"/>
    <w:rsid w:val="00265132"/>
    <w:rsid w:val="002653E3"/>
    <w:rsid w:val="00265B4E"/>
    <w:rsid w:val="002666FD"/>
    <w:rsid w:val="00266834"/>
    <w:rsid w:val="00266D22"/>
    <w:rsid w:val="00267A02"/>
    <w:rsid w:val="00267B5A"/>
    <w:rsid w:val="00267F92"/>
    <w:rsid w:val="00270391"/>
    <w:rsid w:val="0027080D"/>
    <w:rsid w:val="00270B94"/>
    <w:rsid w:val="00271032"/>
    <w:rsid w:val="0027122E"/>
    <w:rsid w:val="00271969"/>
    <w:rsid w:val="0027198F"/>
    <w:rsid w:val="00272977"/>
    <w:rsid w:val="00273A55"/>
    <w:rsid w:val="00273D85"/>
    <w:rsid w:val="00273E3E"/>
    <w:rsid w:val="00274147"/>
    <w:rsid w:val="002741B2"/>
    <w:rsid w:val="002748A9"/>
    <w:rsid w:val="002748BA"/>
    <w:rsid w:val="00274D75"/>
    <w:rsid w:val="00275189"/>
    <w:rsid w:val="002752C8"/>
    <w:rsid w:val="002756DC"/>
    <w:rsid w:val="00275DD2"/>
    <w:rsid w:val="00276437"/>
    <w:rsid w:val="00276A1C"/>
    <w:rsid w:val="002774B0"/>
    <w:rsid w:val="00277A72"/>
    <w:rsid w:val="00277EE8"/>
    <w:rsid w:val="0028063F"/>
    <w:rsid w:val="00280740"/>
    <w:rsid w:val="00280CF8"/>
    <w:rsid w:val="002813A5"/>
    <w:rsid w:val="002814B8"/>
    <w:rsid w:val="002816FB"/>
    <w:rsid w:val="00281AF1"/>
    <w:rsid w:val="00282E5F"/>
    <w:rsid w:val="00282EAE"/>
    <w:rsid w:val="002832C6"/>
    <w:rsid w:val="00283B02"/>
    <w:rsid w:val="00283C5D"/>
    <w:rsid w:val="0028425D"/>
    <w:rsid w:val="00284363"/>
    <w:rsid w:val="00284416"/>
    <w:rsid w:val="002844B0"/>
    <w:rsid w:val="00284751"/>
    <w:rsid w:val="002858D0"/>
    <w:rsid w:val="00286322"/>
    <w:rsid w:val="0028635C"/>
    <w:rsid w:val="00286446"/>
    <w:rsid w:val="00286534"/>
    <w:rsid w:val="00286B35"/>
    <w:rsid w:val="00286E7B"/>
    <w:rsid w:val="0028787D"/>
    <w:rsid w:val="00287FEB"/>
    <w:rsid w:val="002902CB"/>
    <w:rsid w:val="0029165C"/>
    <w:rsid w:val="00291BA3"/>
    <w:rsid w:val="00291F5B"/>
    <w:rsid w:val="00292F87"/>
    <w:rsid w:val="002937F1"/>
    <w:rsid w:val="00293F81"/>
    <w:rsid w:val="0029424A"/>
    <w:rsid w:val="00294523"/>
    <w:rsid w:val="00294D5E"/>
    <w:rsid w:val="00294F16"/>
    <w:rsid w:val="00295BB6"/>
    <w:rsid w:val="00296261"/>
    <w:rsid w:val="00296C1F"/>
    <w:rsid w:val="00297A53"/>
    <w:rsid w:val="00297F2E"/>
    <w:rsid w:val="002A0228"/>
    <w:rsid w:val="002A0485"/>
    <w:rsid w:val="002A0B7E"/>
    <w:rsid w:val="002A0D79"/>
    <w:rsid w:val="002A10C7"/>
    <w:rsid w:val="002A12D7"/>
    <w:rsid w:val="002A15D8"/>
    <w:rsid w:val="002A1944"/>
    <w:rsid w:val="002A2359"/>
    <w:rsid w:val="002A2500"/>
    <w:rsid w:val="002A2748"/>
    <w:rsid w:val="002A2990"/>
    <w:rsid w:val="002A2D43"/>
    <w:rsid w:val="002A3E5C"/>
    <w:rsid w:val="002A3EC2"/>
    <w:rsid w:val="002A3ED4"/>
    <w:rsid w:val="002A41E6"/>
    <w:rsid w:val="002A4219"/>
    <w:rsid w:val="002A44C8"/>
    <w:rsid w:val="002A4562"/>
    <w:rsid w:val="002A499E"/>
    <w:rsid w:val="002A52C0"/>
    <w:rsid w:val="002A52E9"/>
    <w:rsid w:val="002A5658"/>
    <w:rsid w:val="002A5E48"/>
    <w:rsid w:val="002A621D"/>
    <w:rsid w:val="002A6525"/>
    <w:rsid w:val="002A6685"/>
    <w:rsid w:val="002A6F27"/>
    <w:rsid w:val="002A72F1"/>
    <w:rsid w:val="002A7D11"/>
    <w:rsid w:val="002B02B5"/>
    <w:rsid w:val="002B02CF"/>
    <w:rsid w:val="002B02FE"/>
    <w:rsid w:val="002B0455"/>
    <w:rsid w:val="002B138E"/>
    <w:rsid w:val="002B1CAA"/>
    <w:rsid w:val="002B22E8"/>
    <w:rsid w:val="002B266D"/>
    <w:rsid w:val="002B269B"/>
    <w:rsid w:val="002B27EB"/>
    <w:rsid w:val="002B2920"/>
    <w:rsid w:val="002B2BEE"/>
    <w:rsid w:val="002B2E1C"/>
    <w:rsid w:val="002B30B2"/>
    <w:rsid w:val="002B35C5"/>
    <w:rsid w:val="002B3935"/>
    <w:rsid w:val="002B406A"/>
    <w:rsid w:val="002B41D4"/>
    <w:rsid w:val="002B428B"/>
    <w:rsid w:val="002B4681"/>
    <w:rsid w:val="002B4768"/>
    <w:rsid w:val="002B48FF"/>
    <w:rsid w:val="002B5107"/>
    <w:rsid w:val="002B53FA"/>
    <w:rsid w:val="002B543F"/>
    <w:rsid w:val="002B56F9"/>
    <w:rsid w:val="002B6559"/>
    <w:rsid w:val="002B744F"/>
    <w:rsid w:val="002B7507"/>
    <w:rsid w:val="002B7771"/>
    <w:rsid w:val="002B7C2D"/>
    <w:rsid w:val="002B7C95"/>
    <w:rsid w:val="002B7D73"/>
    <w:rsid w:val="002C0496"/>
    <w:rsid w:val="002C06E3"/>
    <w:rsid w:val="002C0801"/>
    <w:rsid w:val="002C09C7"/>
    <w:rsid w:val="002C0BC5"/>
    <w:rsid w:val="002C16F3"/>
    <w:rsid w:val="002C2212"/>
    <w:rsid w:val="002C26B5"/>
    <w:rsid w:val="002C30BB"/>
    <w:rsid w:val="002C33B3"/>
    <w:rsid w:val="002C34FF"/>
    <w:rsid w:val="002C3821"/>
    <w:rsid w:val="002C38D6"/>
    <w:rsid w:val="002C3940"/>
    <w:rsid w:val="002C3F00"/>
    <w:rsid w:val="002C402F"/>
    <w:rsid w:val="002C403D"/>
    <w:rsid w:val="002C44B0"/>
    <w:rsid w:val="002C4B3E"/>
    <w:rsid w:val="002C4D50"/>
    <w:rsid w:val="002C4E07"/>
    <w:rsid w:val="002C4E1F"/>
    <w:rsid w:val="002C4E50"/>
    <w:rsid w:val="002C563C"/>
    <w:rsid w:val="002C5B5C"/>
    <w:rsid w:val="002C5C21"/>
    <w:rsid w:val="002C5F20"/>
    <w:rsid w:val="002C5FDB"/>
    <w:rsid w:val="002C61CC"/>
    <w:rsid w:val="002C6FAB"/>
    <w:rsid w:val="002C701B"/>
    <w:rsid w:val="002C7701"/>
    <w:rsid w:val="002C7ABA"/>
    <w:rsid w:val="002C7BF5"/>
    <w:rsid w:val="002C7F75"/>
    <w:rsid w:val="002D002F"/>
    <w:rsid w:val="002D0586"/>
    <w:rsid w:val="002D07AF"/>
    <w:rsid w:val="002D0A63"/>
    <w:rsid w:val="002D0D83"/>
    <w:rsid w:val="002D1023"/>
    <w:rsid w:val="002D1208"/>
    <w:rsid w:val="002D1459"/>
    <w:rsid w:val="002D1470"/>
    <w:rsid w:val="002D197F"/>
    <w:rsid w:val="002D1BFA"/>
    <w:rsid w:val="002D21CF"/>
    <w:rsid w:val="002D2558"/>
    <w:rsid w:val="002D2B5A"/>
    <w:rsid w:val="002D3028"/>
    <w:rsid w:val="002D343B"/>
    <w:rsid w:val="002D3C4C"/>
    <w:rsid w:val="002D44AB"/>
    <w:rsid w:val="002D44EA"/>
    <w:rsid w:val="002D4705"/>
    <w:rsid w:val="002D4BA8"/>
    <w:rsid w:val="002D522F"/>
    <w:rsid w:val="002D5B65"/>
    <w:rsid w:val="002D62F9"/>
    <w:rsid w:val="002D6396"/>
    <w:rsid w:val="002D6570"/>
    <w:rsid w:val="002D6655"/>
    <w:rsid w:val="002D66A6"/>
    <w:rsid w:val="002D7778"/>
    <w:rsid w:val="002D7A73"/>
    <w:rsid w:val="002D7A90"/>
    <w:rsid w:val="002D7CD6"/>
    <w:rsid w:val="002D7D99"/>
    <w:rsid w:val="002D7E5E"/>
    <w:rsid w:val="002E0469"/>
    <w:rsid w:val="002E07EF"/>
    <w:rsid w:val="002E0BBA"/>
    <w:rsid w:val="002E0D06"/>
    <w:rsid w:val="002E14C4"/>
    <w:rsid w:val="002E1810"/>
    <w:rsid w:val="002E1FBE"/>
    <w:rsid w:val="002E2D27"/>
    <w:rsid w:val="002E30ED"/>
    <w:rsid w:val="002E315F"/>
    <w:rsid w:val="002E3DD5"/>
    <w:rsid w:val="002E3E1F"/>
    <w:rsid w:val="002E451C"/>
    <w:rsid w:val="002E4E94"/>
    <w:rsid w:val="002E51B7"/>
    <w:rsid w:val="002E52A6"/>
    <w:rsid w:val="002E537C"/>
    <w:rsid w:val="002E5596"/>
    <w:rsid w:val="002E563A"/>
    <w:rsid w:val="002E5713"/>
    <w:rsid w:val="002E66CF"/>
    <w:rsid w:val="002E6827"/>
    <w:rsid w:val="002E6CCD"/>
    <w:rsid w:val="002E6EC4"/>
    <w:rsid w:val="002E7297"/>
    <w:rsid w:val="002E7298"/>
    <w:rsid w:val="002E7FB2"/>
    <w:rsid w:val="002F0286"/>
    <w:rsid w:val="002F0872"/>
    <w:rsid w:val="002F0E05"/>
    <w:rsid w:val="002F0F4B"/>
    <w:rsid w:val="002F185B"/>
    <w:rsid w:val="002F1A63"/>
    <w:rsid w:val="002F1F28"/>
    <w:rsid w:val="002F25E0"/>
    <w:rsid w:val="002F2616"/>
    <w:rsid w:val="002F2810"/>
    <w:rsid w:val="002F3747"/>
    <w:rsid w:val="002F3D6E"/>
    <w:rsid w:val="002F4144"/>
    <w:rsid w:val="002F43CA"/>
    <w:rsid w:val="002F440A"/>
    <w:rsid w:val="002F4D73"/>
    <w:rsid w:val="002F57AA"/>
    <w:rsid w:val="002F5D83"/>
    <w:rsid w:val="002F6348"/>
    <w:rsid w:val="002F67A5"/>
    <w:rsid w:val="002F691E"/>
    <w:rsid w:val="002F714C"/>
    <w:rsid w:val="002F72EA"/>
    <w:rsid w:val="002F7461"/>
    <w:rsid w:val="002F77BF"/>
    <w:rsid w:val="002F7842"/>
    <w:rsid w:val="002F7E7C"/>
    <w:rsid w:val="002F7EE3"/>
    <w:rsid w:val="003003CE"/>
    <w:rsid w:val="003004A2"/>
    <w:rsid w:val="00300A32"/>
    <w:rsid w:val="00300CE5"/>
    <w:rsid w:val="00301688"/>
    <w:rsid w:val="003019B0"/>
    <w:rsid w:val="0030227C"/>
    <w:rsid w:val="00302326"/>
    <w:rsid w:val="003024FC"/>
    <w:rsid w:val="00302B20"/>
    <w:rsid w:val="00302D71"/>
    <w:rsid w:val="003030F2"/>
    <w:rsid w:val="00303980"/>
    <w:rsid w:val="00303DD5"/>
    <w:rsid w:val="00304634"/>
    <w:rsid w:val="00304DAB"/>
    <w:rsid w:val="00305432"/>
    <w:rsid w:val="00305CF7"/>
    <w:rsid w:val="0030640A"/>
    <w:rsid w:val="00306513"/>
    <w:rsid w:val="00306960"/>
    <w:rsid w:val="00306BC0"/>
    <w:rsid w:val="00306DCC"/>
    <w:rsid w:val="00307750"/>
    <w:rsid w:val="003079D4"/>
    <w:rsid w:val="00307B74"/>
    <w:rsid w:val="00307C36"/>
    <w:rsid w:val="00307EBC"/>
    <w:rsid w:val="0031050D"/>
    <w:rsid w:val="0031063F"/>
    <w:rsid w:val="00310764"/>
    <w:rsid w:val="00310A54"/>
    <w:rsid w:val="003110F7"/>
    <w:rsid w:val="00311A32"/>
    <w:rsid w:val="0031265F"/>
    <w:rsid w:val="003138FA"/>
    <w:rsid w:val="00313F6D"/>
    <w:rsid w:val="00314668"/>
    <w:rsid w:val="003149B3"/>
    <w:rsid w:val="003149F9"/>
    <w:rsid w:val="00314DBB"/>
    <w:rsid w:val="00315073"/>
    <w:rsid w:val="00315443"/>
    <w:rsid w:val="00315455"/>
    <w:rsid w:val="0031545E"/>
    <w:rsid w:val="00315DD7"/>
    <w:rsid w:val="00315E95"/>
    <w:rsid w:val="00316165"/>
    <w:rsid w:val="0031634F"/>
    <w:rsid w:val="0031647B"/>
    <w:rsid w:val="003164A8"/>
    <w:rsid w:val="00316583"/>
    <w:rsid w:val="0031676E"/>
    <w:rsid w:val="00317287"/>
    <w:rsid w:val="00317345"/>
    <w:rsid w:val="00317520"/>
    <w:rsid w:val="003177E3"/>
    <w:rsid w:val="00320203"/>
    <w:rsid w:val="003209B5"/>
    <w:rsid w:val="00320ABE"/>
    <w:rsid w:val="00320CA6"/>
    <w:rsid w:val="00320D13"/>
    <w:rsid w:val="0032138D"/>
    <w:rsid w:val="00321705"/>
    <w:rsid w:val="00322002"/>
    <w:rsid w:val="003220C6"/>
    <w:rsid w:val="003223C5"/>
    <w:rsid w:val="00322628"/>
    <w:rsid w:val="00322851"/>
    <w:rsid w:val="00322E88"/>
    <w:rsid w:val="0032346B"/>
    <w:rsid w:val="00323871"/>
    <w:rsid w:val="00323A1B"/>
    <w:rsid w:val="00323D2B"/>
    <w:rsid w:val="00323E6A"/>
    <w:rsid w:val="003246EA"/>
    <w:rsid w:val="003247B0"/>
    <w:rsid w:val="003248EC"/>
    <w:rsid w:val="00325080"/>
    <w:rsid w:val="003255D0"/>
    <w:rsid w:val="003256B5"/>
    <w:rsid w:val="00325A49"/>
    <w:rsid w:val="00325C9B"/>
    <w:rsid w:val="00325E81"/>
    <w:rsid w:val="00326036"/>
    <w:rsid w:val="003262B7"/>
    <w:rsid w:val="003266A0"/>
    <w:rsid w:val="00326948"/>
    <w:rsid w:val="0032699A"/>
    <w:rsid w:val="00326BE0"/>
    <w:rsid w:val="00327169"/>
    <w:rsid w:val="003278C8"/>
    <w:rsid w:val="00327B26"/>
    <w:rsid w:val="00330118"/>
    <w:rsid w:val="003302F2"/>
    <w:rsid w:val="00330761"/>
    <w:rsid w:val="0033116F"/>
    <w:rsid w:val="003315DE"/>
    <w:rsid w:val="00331965"/>
    <w:rsid w:val="00331C8D"/>
    <w:rsid w:val="00331F13"/>
    <w:rsid w:val="003320DB"/>
    <w:rsid w:val="00332170"/>
    <w:rsid w:val="003322EB"/>
    <w:rsid w:val="00332827"/>
    <w:rsid w:val="00332BB1"/>
    <w:rsid w:val="00332C8A"/>
    <w:rsid w:val="00332D3A"/>
    <w:rsid w:val="00333522"/>
    <w:rsid w:val="003336AA"/>
    <w:rsid w:val="0033486D"/>
    <w:rsid w:val="00335459"/>
    <w:rsid w:val="0033597F"/>
    <w:rsid w:val="00335D80"/>
    <w:rsid w:val="00335E44"/>
    <w:rsid w:val="003367C4"/>
    <w:rsid w:val="00336CD3"/>
    <w:rsid w:val="00336D8E"/>
    <w:rsid w:val="00336F3F"/>
    <w:rsid w:val="003376B3"/>
    <w:rsid w:val="00337796"/>
    <w:rsid w:val="003378FB"/>
    <w:rsid w:val="00340593"/>
    <w:rsid w:val="00341C21"/>
    <w:rsid w:val="00341C49"/>
    <w:rsid w:val="00341C5B"/>
    <w:rsid w:val="00342024"/>
    <w:rsid w:val="00342987"/>
    <w:rsid w:val="00342E9C"/>
    <w:rsid w:val="00343599"/>
    <w:rsid w:val="00343858"/>
    <w:rsid w:val="00343F14"/>
    <w:rsid w:val="00344A93"/>
    <w:rsid w:val="00344BA3"/>
    <w:rsid w:val="003452F8"/>
    <w:rsid w:val="00345559"/>
    <w:rsid w:val="003456F2"/>
    <w:rsid w:val="00345AFF"/>
    <w:rsid w:val="00345BCC"/>
    <w:rsid w:val="00345F74"/>
    <w:rsid w:val="00345F9C"/>
    <w:rsid w:val="00346CF4"/>
    <w:rsid w:val="003475B4"/>
    <w:rsid w:val="0034771A"/>
    <w:rsid w:val="00347729"/>
    <w:rsid w:val="0034776A"/>
    <w:rsid w:val="00347776"/>
    <w:rsid w:val="00350D0D"/>
    <w:rsid w:val="00350D0F"/>
    <w:rsid w:val="003519AA"/>
    <w:rsid w:val="00351A91"/>
    <w:rsid w:val="003520BC"/>
    <w:rsid w:val="003520C4"/>
    <w:rsid w:val="003521DF"/>
    <w:rsid w:val="00352BCD"/>
    <w:rsid w:val="00352CCF"/>
    <w:rsid w:val="00352D10"/>
    <w:rsid w:val="00352EFF"/>
    <w:rsid w:val="00353254"/>
    <w:rsid w:val="003533AE"/>
    <w:rsid w:val="00353404"/>
    <w:rsid w:val="00353417"/>
    <w:rsid w:val="00353A9E"/>
    <w:rsid w:val="00353C2F"/>
    <w:rsid w:val="00354A64"/>
    <w:rsid w:val="00354AA0"/>
    <w:rsid w:val="00354B74"/>
    <w:rsid w:val="00354E68"/>
    <w:rsid w:val="00355449"/>
    <w:rsid w:val="00355E14"/>
    <w:rsid w:val="00356402"/>
    <w:rsid w:val="0035687E"/>
    <w:rsid w:val="00356BD1"/>
    <w:rsid w:val="00357098"/>
    <w:rsid w:val="003577E0"/>
    <w:rsid w:val="003577F4"/>
    <w:rsid w:val="003600CB"/>
    <w:rsid w:val="00360610"/>
    <w:rsid w:val="00361280"/>
    <w:rsid w:val="003615F1"/>
    <w:rsid w:val="00361A6E"/>
    <w:rsid w:val="00362408"/>
    <w:rsid w:val="00362A31"/>
    <w:rsid w:val="003630FC"/>
    <w:rsid w:val="0036361E"/>
    <w:rsid w:val="00363934"/>
    <w:rsid w:val="00363AE2"/>
    <w:rsid w:val="00363C32"/>
    <w:rsid w:val="00363C84"/>
    <w:rsid w:val="00363D7F"/>
    <w:rsid w:val="00363FDD"/>
    <w:rsid w:val="003640FD"/>
    <w:rsid w:val="00364AC7"/>
    <w:rsid w:val="00364F85"/>
    <w:rsid w:val="00364FF8"/>
    <w:rsid w:val="00365057"/>
    <w:rsid w:val="003650AF"/>
    <w:rsid w:val="003655A8"/>
    <w:rsid w:val="0036600C"/>
    <w:rsid w:val="003669A9"/>
    <w:rsid w:val="00367454"/>
    <w:rsid w:val="003674AD"/>
    <w:rsid w:val="003675A9"/>
    <w:rsid w:val="00367BAF"/>
    <w:rsid w:val="00367C66"/>
    <w:rsid w:val="003700B2"/>
    <w:rsid w:val="00370A8D"/>
    <w:rsid w:val="003712A2"/>
    <w:rsid w:val="00371DAB"/>
    <w:rsid w:val="0037233D"/>
    <w:rsid w:val="00372514"/>
    <w:rsid w:val="00372A70"/>
    <w:rsid w:val="0037308B"/>
    <w:rsid w:val="003736EF"/>
    <w:rsid w:val="003737A5"/>
    <w:rsid w:val="003737E3"/>
    <w:rsid w:val="0037392C"/>
    <w:rsid w:val="003747BF"/>
    <w:rsid w:val="00374A34"/>
    <w:rsid w:val="00374BD6"/>
    <w:rsid w:val="00374C93"/>
    <w:rsid w:val="00374CB1"/>
    <w:rsid w:val="00375299"/>
    <w:rsid w:val="003754BB"/>
    <w:rsid w:val="00375754"/>
    <w:rsid w:val="00376901"/>
    <w:rsid w:val="003773BF"/>
    <w:rsid w:val="0038054D"/>
    <w:rsid w:val="00380984"/>
    <w:rsid w:val="00380A1A"/>
    <w:rsid w:val="00380D80"/>
    <w:rsid w:val="003811E9"/>
    <w:rsid w:val="0038195A"/>
    <w:rsid w:val="00381BF1"/>
    <w:rsid w:val="00381E4E"/>
    <w:rsid w:val="003820DD"/>
    <w:rsid w:val="0038217D"/>
    <w:rsid w:val="0038227B"/>
    <w:rsid w:val="00383145"/>
    <w:rsid w:val="003832C8"/>
    <w:rsid w:val="003833B8"/>
    <w:rsid w:val="00383670"/>
    <w:rsid w:val="0038465A"/>
    <w:rsid w:val="00384A8C"/>
    <w:rsid w:val="00384DEB"/>
    <w:rsid w:val="00385112"/>
    <w:rsid w:val="003865F0"/>
    <w:rsid w:val="00386F81"/>
    <w:rsid w:val="003871B6"/>
    <w:rsid w:val="0038761D"/>
    <w:rsid w:val="00387EF2"/>
    <w:rsid w:val="003900C3"/>
    <w:rsid w:val="003906F8"/>
    <w:rsid w:val="00390746"/>
    <w:rsid w:val="00390BCE"/>
    <w:rsid w:val="00390CEB"/>
    <w:rsid w:val="0039156D"/>
    <w:rsid w:val="00391D7D"/>
    <w:rsid w:val="00392FF5"/>
    <w:rsid w:val="0039339C"/>
    <w:rsid w:val="003935EE"/>
    <w:rsid w:val="00393B3B"/>
    <w:rsid w:val="00394004"/>
    <w:rsid w:val="0039407A"/>
    <w:rsid w:val="0039408A"/>
    <w:rsid w:val="0039469A"/>
    <w:rsid w:val="00394B92"/>
    <w:rsid w:val="003952D8"/>
    <w:rsid w:val="00395309"/>
    <w:rsid w:val="003958FA"/>
    <w:rsid w:val="00395C29"/>
    <w:rsid w:val="00396021"/>
    <w:rsid w:val="00396071"/>
    <w:rsid w:val="0039673D"/>
    <w:rsid w:val="00396AAA"/>
    <w:rsid w:val="00396CE7"/>
    <w:rsid w:val="00396F2B"/>
    <w:rsid w:val="003971A5"/>
    <w:rsid w:val="003975DA"/>
    <w:rsid w:val="00397857"/>
    <w:rsid w:val="00397893"/>
    <w:rsid w:val="00397A67"/>
    <w:rsid w:val="00397B4F"/>
    <w:rsid w:val="00397CD5"/>
    <w:rsid w:val="003A0DC8"/>
    <w:rsid w:val="003A10C6"/>
    <w:rsid w:val="003A1379"/>
    <w:rsid w:val="003A1429"/>
    <w:rsid w:val="003A18E3"/>
    <w:rsid w:val="003A192A"/>
    <w:rsid w:val="003A2407"/>
    <w:rsid w:val="003A272B"/>
    <w:rsid w:val="003A2896"/>
    <w:rsid w:val="003A2CF0"/>
    <w:rsid w:val="003A2CF5"/>
    <w:rsid w:val="003A31DA"/>
    <w:rsid w:val="003A33D3"/>
    <w:rsid w:val="003A347B"/>
    <w:rsid w:val="003A351E"/>
    <w:rsid w:val="003A3880"/>
    <w:rsid w:val="003A3EEC"/>
    <w:rsid w:val="003A47FB"/>
    <w:rsid w:val="003A4C28"/>
    <w:rsid w:val="003A4FC3"/>
    <w:rsid w:val="003A58C5"/>
    <w:rsid w:val="003A58FF"/>
    <w:rsid w:val="003A5AD5"/>
    <w:rsid w:val="003A5BC5"/>
    <w:rsid w:val="003A5D55"/>
    <w:rsid w:val="003A5D77"/>
    <w:rsid w:val="003A5F12"/>
    <w:rsid w:val="003A61B8"/>
    <w:rsid w:val="003A621F"/>
    <w:rsid w:val="003A63B8"/>
    <w:rsid w:val="003A6468"/>
    <w:rsid w:val="003A6C33"/>
    <w:rsid w:val="003A75E6"/>
    <w:rsid w:val="003A7A12"/>
    <w:rsid w:val="003B0122"/>
    <w:rsid w:val="003B0643"/>
    <w:rsid w:val="003B0FE1"/>
    <w:rsid w:val="003B1046"/>
    <w:rsid w:val="003B10D7"/>
    <w:rsid w:val="003B11B5"/>
    <w:rsid w:val="003B13C5"/>
    <w:rsid w:val="003B14B0"/>
    <w:rsid w:val="003B17C4"/>
    <w:rsid w:val="003B1A87"/>
    <w:rsid w:val="003B1EE2"/>
    <w:rsid w:val="003B217B"/>
    <w:rsid w:val="003B255B"/>
    <w:rsid w:val="003B27A9"/>
    <w:rsid w:val="003B2854"/>
    <w:rsid w:val="003B29BE"/>
    <w:rsid w:val="003B2EDB"/>
    <w:rsid w:val="003B2FE5"/>
    <w:rsid w:val="003B313D"/>
    <w:rsid w:val="003B32AD"/>
    <w:rsid w:val="003B3317"/>
    <w:rsid w:val="003B3752"/>
    <w:rsid w:val="003B3919"/>
    <w:rsid w:val="003B4265"/>
    <w:rsid w:val="003B5036"/>
    <w:rsid w:val="003B50FC"/>
    <w:rsid w:val="003B52D4"/>
    <w:rsid w:val="003B578A"/>
    <w:rsid w:val="003B5F3B"/>
    <w:rsid w:val="003B6277"/>
    <w:rsid w:val="003B635C"/>
    <w:rsid w:val="003B7699"/>
    <w:rsid w:val="003B7AF6"/>
    <w:rsid w:val="003B7B2B"/>
    <w:rsid w:val="003B7C81"/>
    <w:rsid w:val="003C057E"/>
    <w:rsid w:val="003C1CA5"/>
    <w:rsid w:val="003C1EC7"/>
    <w:rsid w:val="003C2D25"/>
    <w:rsid w:val="003C3CBD"/>
    <w:rsid w:val="003C3D8E"/>
    <w:rsid w:val="003C40BF"/>
    <w:rsid w:val="003C48BA"/>
    <w:rsid w:val="003C56DB"/>
    <w:rsid w:val="003C5B14"/>
    <w:rsid w:val="003C60B0"/>
    <w:rsid w:val="003C60E2"/>
    <w:rsid w:val="003C64A0"/>
    <w:rsid w:val="003C676B"/>
    <w:rsid w:val="003C6D14"/>
    <w:rsid w:val="003C6F0B"/>
    <w:rsid w:val="003C7BA3"/>
    <w:rsid w:val="003D036A"/>
    <w:rsid w:val="003D050E"/>
    <w:rsid w:val="003D06F5"/>
    <w:rsid w:val="003D1374"/>
    <w:rsid w:val="003D1EF6"/>
    <w:rsid w:val="003D2038"/>
    <w:rsid w:val="003D25BF"/>
    <w:rsid w:val="003D3177"/>
    <w:rsid w:val="003D33E0"/>
    <w:rsid w:val="003D374D"/>
    <w:rsid w:val="003D3AE0"/>
    <w:rsid w:val="003D3D30"/>
    <w:rsid w:val="003D3E53"/>
    <w:rsid w:val="003D4372"/>
    <w:rsid w:val="003D4A7E"/>
    <w:rsid w:val="003D4E9C"/>
    <w:rsid w:val="003D50FA"/>
    <w:rsid w:val="003D5437"/>
    <w:rsid w:val="003D5FC0"/>
    <w:rsid w:val="003D6696"/>
    <w:rsid w:val="003D7530"/>
    <w:rsid w:val="003D7B62"/>
    <w:rsid w:val="003E0367"/>
    <w:rsid w:val="003E07EE"/>
    <w:rsid w:val="003E096A"/>
    <w:rsid w:val="003E0A1E"/>
    <w:rsid w:val="003E0C6A"/>
    <w:rsid w:val="003E0D78"/>
    <w:rsid w:val="003E1B42"/>
    <w:rsid w:val="003E1CB1"/>
    <w:rsid w:val="003E2751"/>
    <w:rsid w:val="003E318C"/>
    <w:rsid w:val="003E3360"/>
    <w:rsid w:val="003E35C9"/>
    <w:rsid w:val="003E3689"/>
    <w:rsid w:val="003E37FF"/>
    <w:rsid w:val="003E3A1D"/>
    <w:rsid w:val="003E3B00"/>
    <w:rsid w:val="003E4B3C"/>
    <w:rsid w:val="003E5EC6"/>
    <w:rsid w:val="003E62AD"/>
    <w:rsid w:val="003E67BA"/>
    <w:rsid w:val="003E6C24"/>
    <w:rsid w:val="003E6C7A"/>
    <w:rsid w:val="003E6CA0"/>
    <w:rsid w:val="003E6EA8"/>
    <w:rsid w:val="003E7071"/>
    <w:rsid w:val="003E7499"/>
    <w:rsid w:val="003E778F"/>
    <w:rsid w:val="003E7B25"/>
    <w:rsid w:val="003F062F"/>
    <w:rsid w:val="003F079D"/>
    <w:rsid w:val="003F1034"/>
    <w:rsid w:val="003F132A"/>
    <w:rsid w:val="003F1776"/>
    <w:rsid w:val="003F1CB4"/>
    <w:rsid w:val="003F1DAD"/>
    <w:rsid w:val="003F211F"/>
    <w:rsid w:val="003F27B3"/>
    <w:rsid w:val="003F2A83"/>
    <w:rsid w:val="003F2FB9"/>
    <w:rsid w:val="003F2FDE"/>
    <w:rsid w:val="003F307C"/>
    <w:rsid w:val="003F3095"/>
    <w:rsid w:val="003F330B"/>
    <w:rsid w:val="003F336D"/>
    <w:rsid w:val="003F36A2"/>
    <w:rsid w:val="003F3887"/>
    <w:rsid w:val="003F4030"/>
    <w:rsid w:val="003F472F"/>
    <w:rsid w:val="003F4A48"/>
    <w:rsid w:val="003F4E1B"/>
    <w:rsid w:val="003F4EF4"/>
    <w:rsid w:val="003F53CC"/>
    <w:rsid w:val="003F57C8"/>
    <w:rsid w:val="003F61D1"/>
    <w:rsid w:val="003F63D5"/>
    <w:rsid w:val="003F66CF"/>
    <w:rsid w:val="003F6A32"/>
    <w:rsid w:val="003F6A6E"/>
    <w:rsid w:val="003F6A82"/>
    <w:rsid w:val="003F6FDF"/>
    <w:rsid w:val="00400681"/>
    <w:rsid w:val="00400C98"/>
    <w:rsid w:val="00400D2E"/>
    <w:rsid w:val="00401076"/>
    <w:rsid w:val="00401223"/>
    <w:rsid w:val="00401317"/>
    <w:rsid w:val="004013D9"/>
    <w:rsid w:val="004016F5"/>
    <w:rsid w:val="00402472"/>
    <w:rsid w:val="00402D6E"/>
    <w:rsid w:val="004030E7"/>
    <w:rsid w:val="0040405B"/>
    <w:rsid w:val="004045AA"/>
    <w:rsid w:val="004046C0"/>
    <w:rsid w:val="004048C3"/>
    <w:rsid w:val="00404A8F"/>
    <w:rsid w:val="0040549A"/>
    <w:rsid w:val="00405957"/>
    <w:rsid w:val="00405CC9"/>
    <w:rsid w:val="00405F8A"/>
    <w:rsid w:val="00406A3E"/>
    <w:rsid w:val="00406D8C"/>
    <w:rsid w:val="0040740B"/>
    <w:rsid w:val="00407724"/>
    <w:rsid w:val="004077EF"/>
    <w:rsid w:val="00407AB4"/>
    <w:rsid w:val="00407D65"/>
    <w:rsid w:val="00407D67"/>
    <w:rsid w:val="0041002F"/>
    <w:rsid w:val="00410207"/>
    <w:rsid w:val="00410533"/>
    <w:rsid w:val="00410AE8"/>
    <w:rsid w:val="00410F79"/>
    <w:rsid w:val="004110EB"/>
    <w:rsid w:val="00411692"/>
    <w:rsid w:val="00411869"/>
    <w:rsid w:val="0041189E"/>
    <w:rsid w:val="00411FED"/>
    <w:rsid w:val="004120FA"/>
    <w:rsid w:val="00412381"/>
    <w:rsid w:val="00412F3F"/>
    <w:rsid w:val="004132A2"/>
    <w:rsid w:val="004136AB"/>
    <w:rsid w:val="004138DE"/>
    <w:rsid w:val="00413B0F"/>
    <w:rsid w:val="00414315"/>
    <w:rsid w:val="00414B2F"/>
    <w:rsid w:val="00414CB2"/>
    <w:rsid w:val="00415289"/>
    <w:rsid w:val="00415305"/>
    <w:rsid w:val="00415798"/>
    <w:rsid w:val="00415BF0"/>
    <w:rsid w:val="00415E58"/>
    <w:rsid w:val="00415F35"/>
    <w:rsid w:val="004160BC"/>
    <w:rsid w:val="00416231"/>
    <w:rsid w:val="004167F4"/>
    <w:rsid w:val="00416C1D"/>
    <w:rsid w:val="004172D9"/>
    <w:rsid w:val="0041751C"/>
    <w:rsid w:val="004178E5"/>
    <w:rsid w:val="00420287"/>
    <w:rsid w:val="004208AB"/>
    <w:rsid w:val="004208F1"/>
    <w:rsid w:val="00420A6E"/>
    <w:rsid w:val="00420CDD"/>
    <w:rsid w:val="00421157"/>
    <w:rsid w:val="00421530"/>
    <w:rsid w:val="0042160E"/>
    <w:rsid w:val="004219D2"/>
    <w:rsid w:val="004219EF"/>
    <w:rsid w:val="004223B0"/>
    <w:rsid w:val="004225C0"/>
    <w:rsid w:val="0042313F"/>
    <w:rsid w:val="004237F9"/>
    <w:rsid w:val="00423F03"/>
    <w:rsid w:val="004247AB"/>
    <w:rsid w:val="00424BB8"/>
    <w:rsid w:val="00425193"/>
    <w:rsid w:val="00425459"/>
    <w:rsid w:val="00426438"/>
    <w:rsid w:val="00426CD9"/>
    <w:rsid w:val="00426E9E"/>
    <w:rsid w:val="004270F0"/>
    <w:rsid w:val="00427F73"/>
    <w:rsid w:val="00430485"/>
    <w:rsid w:val="00430CB1"/>
    <w:rsid w:val="00430FEB"/>
    <w:rsid w:val="004310EE"/>
    <w:rsid w:val="00431EF0"/>
    <w:rsid w:val="0043200F"/>
    <w:rsid w:val="004325DF"/>
    <w:rsid w:val="00432D60"/>
    <w:rsid w:val="00432E9B"/>
    <w:rsid w:val="004331F8"/>
    <w:rsid w:val="00433677"/>
    <w:rsid w:val="0043399D"/>
    <w:rsid w:val="00433D3E"/>
    <w:rsid w:val="004340D5"/>
    <w:rsid w:val="004347F2"/>
    <w:rsid w:val="0043485B"/>
    <w:rsid w:val="00434880"/>
    <w:rsid w:val="00434C0E"/>
    <w:rsid w:val="00434D43"/>
    <w:rsid w:val="0043526D"/>
    <w:rsid w:val="004354AF"/>
    <w:rsid w:val="00435706"/>
    <w:rsid w:val="00436810"/>
    <w:rsid w:val="00436D7F"/>
    <w:rsid w:val="004377CB"/>
    <w:rsid w:val="00437C54"/>
    <w:rsid w:val="00437C64"/>
    <w:rsid w:val="00441D0D"/>
    <w:rsid w:val="00442B24"/>
    <w:rsid w:val="00442B3A"/>
    <w:rsid w:val="00443228"/>
    <w:rsid w:val="00443CC6"/>
    <w:rsid w:val="00443D61"/>
    <w:rsid w:val="00443F73"/>
    <w:rsid w:val="00444345"/>
    <w:rsid w:val="00444371"/>
    <w:rsid w:val="00444A1C"/>
    <w:rsid w:val="00444B97"/>
    <w:rsid w:val="00445559"/>
    <w:rsid w:val="0044589F"/>
    <w:rsid w:val="00445918"/>
    <w:rsid w:val="00445A74"/>
    <w:rsid w:val="004460E9"/>
    <w:rsid w:val="00446648"/>
    <w:rsid w:val="00446655"/>
    <w:rsid w:val="004466CA"/>
    <w:rsid w:val="00446C8F"/>
    <w:rsid w:val="00446EFC"/>
    <w:rsid w:val="00447052"/>
    <w:rsid w:val="00447776"/>
    <w:rsid w:val="00447B6F"/>
    <w:rsid w:val="00447F1A"/>
    <w:rsid w:val="00450189"/>
    <w:rsid w:val="00450BEE"/>
    <w:rsid w:val="0045173E"/>
    <w:rsid w:val="00451F65"/>
    <w:rsid w:val="004523EB"/>
    <w:rsid w:val="0045296E"/>
    <w:rsid w:val="00452C06"/>
    <w:rsid w:val="00452D6E"/>
    <w:rsid w:val="00453042"/>
    <w:rsid w:val="004532D9"/>
    <w:rsid w:val="004533BC"/>
    <w:rsid w:val="004538AB"/>
    <w:rsid w:val="00453C11"/>
    <w:rsid w:val="00453EC8"/>
    <w:rsid w:val="00453FEC"/>
    <w:rsid w:val="00454DF0"/>
    <w:rsid w:val="004552CD"/>
    <w:rsid w:val="00455416"/>
    <w:rsid w:val="004557B0"/>
    <w:rsid w:val="00455BDD"/>
    <w:rsid w:val="004561FD"/>
    <w:rsid w:val="004565D1"/>
    <w:rsid w:val="00456737"/>
    <w:rsid w:val="00456926"/>
    <w:rsid w:val="00457946"/>
    <w:rsid w:val="00457D8B"/>
    <w:rsid w:val="00460572"/>
    <w:rsid w:val="004607CB"/>
    <w:rsid w:val="00460A17"/>
    <w:rsid w:val="00460B2B"/>
    <w:rsid w:val="00460F13"/>
    <w:rsid w:val="00460F7C"/>
    <w:rsid w:val="0046105C"/>
    <w:rsid w:val="004617D6"/>
    <w:rsid w:val="00461A17"/>
    <w:rsid w:val="00461BC7"/>
    <w:rsid w:val="00463012"/>
    <w:rsid w:val="00463336"/>
    <w:rsid w:val="00463BA0"/>
    <w:rsid w:val="00463C7F"/>
    <w:rsid w:val="00463DB3"/>
    <w:rsid w:val="00463ECE"/>
    <w:rsid w:val="004640FE"/>
    <w:rsid w:val="0046417F"/>
    <w:rsid w:val="0046427A"/>
    <w:rsid w:val="00464A9A"/>
    <w:rsid w:val="00465133"/>
    <w:rsid w:val="004654BD"/>
    <w:rsid w:val="00465638"/>
    <w:rsid w:val="004659F8"/>
    <w:rsid w:val="00465A23"/>
    <w:rsid w:val="0046661F"/>
    <w:rsid w:val="004672B3"/>
    <w:rsid w:val="00467D31"/>
    <w:rsid w:val="004702B5"/>
    <w:rsid w:val="00470CB5"/>
    <w:rsid w:val="004710ED"/>
    <w:rsid w:val="00471650"/>
    <w:rsid w:val="00471707"/>
    <w:rsid w:val="00471EAB"/>
    <w:rsid w:val="004723EE"/>
    <w:rsid w:val="004727A0"/>
    <w:rsid w:val="004731BF"/>
    <w:rsid w:val="00473DCA"/>
    <w:rsid w:val="004740D0"/>
    <w:rsid w:val="0047442B"/>
    <w:rsid w:val="004744B2"/>
    <w:rsid w:val="0047473B"/>
    <w:rsid w:val="00474A12"/>
    <w:rsid w:val="00474B9B"/>
    <w:rsid w:val="00474FFE"/>
    <w:rsid w:val="004751C1"/>
    <w:rsid w:val="00475296"/>
    <w:rsid w:val="00475A92"/>
    <w:rsid w:val="00476058"/>
    <w:rsid w:val="0047642D"/>
    <w:rsid w:val="00476479"/>
    <w:rsid w:val="0047741E"/>
    <w:rsid w:val="00477511"/>
    <w:rsid w:val="00477601"/>
    <w:rsid w:val="00477BB9"/>
    <w:rsid w:val="00477DE3"/>
    <w:rsid w:val="00477F3A"/>
    <w:rsid w:val="004809B7"/>
    <w:rsid w:val="00481682"/>
    <w:rsid w:val="0048224A"/>
    <w:rsid w:val="004822B8"/>
    <w:rsid w:val="0048277A"/>
    <w:rsid w:val="00482C6B"/>
    <w:rsid w:val="00483352"/>
    <w:rsid w:val="004834C3"/>
    <w:rsid w:val="004838A2"/>
    <w:rsid w:val="00483A27"/>
    <w:rsid w:val="00484245"/>
    <w:rsid w:val="00484D3F"/>
    <w:rsid w:val="00484FE8"/>
    <w:rsid w:val="004852F1"/>
    <w:rsid w:val="004859C6"/>
    <w:rsid w:val="00485B56"/>
    <w:rsid w:val="0048646D"/>
    <w:rsid w:val="004864D8"/>
    <w:rsid w:val="0048664F"/>
    <w:rsid w:val="00486EC2"/>
    <w:rsid w:val="0048704B"/>
    <w:rsid w:val="00487101"/>
    <w:rsid w:val="00487366"/>
    <w:rsid w:val="004873E4"/>
    <w:rsid w:val="004877FC"/>
    <w:rsid w:val="004878E4"/>
    <w:rsid w:val="00487EC4"/>
    <w:rsid w:val="00490108"/>
    <w:rsid w:val="0049072C"/>
    <w:rsid w:val="00490FD1"/>
    <w:rsid w:val="00491009"/>
    <w:rsid w:val="00491AC2"/>
    <w:rsid w:val="00491AD2"/>
    <w:rsid w:val="00491B9F"/>
    <w:rsid w:val="00491C45"/>
    <w:rsid w:val="00491DE1"/>
    <w:rsid w:val="0049271F"/>
    <w:rsid w:val="00492ABB"/>
    <w:rsid w:val="00493204"/>
    <w:rsid w:val="004935C0"/>
    <w:rsid w:val="00493B43"/>
    <w:rsid w:val="00493BB9"/>
    <w:rsid w:val="00493CB2"/>
    <w:rsid w:val="00493D3C"/>
    <w:rsid w:val="0049484E"/>
    <w:rsid w:val="00494EB1"/>
    <w:rsid w:val="004954CD"/>
    <w:rsid w:val="00496199"/>
    <w:rsid w:val="00496414"/>
    <w:rsid w:val="00496A7C"/>
    <w:rsid w:val="0049757E"/>
    <w:rsid w:val="00497A38"/>
    <w:rsid w:val="00497B6C"/>
    <w:rsid w:val="004A0B06"/>
    <w:rsid w:val="004A1002"/>
    <w:rsid w:val="004A1591"/>
    <w:rsid w:val="004A1910"/>
    <w:rsid w:val="004A1A45"/>
    <w:rsid w:val="004A1A4B"/>
    <w:rsid w:val="004A1DE8"/>
    <w:rsid w:val="004A2025"/>
    <w:rsid w:val="004A26B9"/>
    <w:rsid w:val="004A298C"/>
    <w:rsid w:val="004A2D95"/>
    <w:rsid w:val="004A380D"/>
    <w:rsid w:val="004A3E7C"/>
    <w:rsid w:val="004A4415"/>
    <w:rsid w:val="004A45BD"/>
    <w:rsid w:val="004A4656"/>
    <w:rsid w:val="004A4848"/>
    <w:rsid w:val="004A4AF7"/>
    <w:rsid w:val="004A4C02"/>
    <w:rsid w:val="004A4C4C"/>
    <w:rsid w:val="004A55A1"/>
    <w:rsid w:val="004A617A"/>
    <w:rsid w:val="004A629D"/>
    <w:rsid w:val="004A6394"/>
    <w:rsid w:val="004A6569"/>
    <w:rsid w:val="004A6B95"/>
    <w:rsid w:val="004A77B0"/>
    <w:rsid w:val="004A77BC"/>
    <w:rsid w:val="004A7CCF"/>
    <w:rsid w:val="004B03D1"/>
    <w:rsid w:val="004B06E2"/>
    <w:rsid w:val="004B0917"/>
    <w:rsid w:val="004B0BA4"/>
    <w:rsid w:val="004B0EF9"/>
    <w:rsid w:val="004B143F"/>
    <w:rsid w:val="004B1949"/>
    <w:rsid w:val="004B1CED"/>
    <w:rsid w:val="004B239D"/>
    <w:rsid w:val="004B281B"/>
    <w:rsid w:val="004B287E"/>
    <w:rsid w:val="004B34A7"/>
    <w:rsid w:val="004B39AF"/>
    <w:rsid w:val="004B3B06"/>
    <w:rsid w:val="004B4643"/>
    <w:rsid w:val="004B4F6C"/>
    <w:rsid w:val="004B51F1"/>
    <w:rsid w:val="004B5686"/>
    <w:rsid w:val="004B5786"/>
    <w:rsid w:val="004B5CC0"/>
    <w:rsid w:val="004B6133"/>
    <w:rsid w:val="004B6648"/>
    <w:rsid w:val="004B68AC"/>
    <w:rsid w:val="004B696C"/>
    <w:rsid w:val="004B6FE3"/>
    <w:rsid w:val="004B761B"/>
    <w:rsid w:val="004B7781"/>
    <w:rsid w:val="004B7816"/>
    <w:rsid w:val="004B7A28"/>
    <w:rsid w:val="004B7F67"/>
    <w:rsid w:val="004C0124"/>
    <w:rsid w:val="004C0158"/>
    <w:rsid w:val="004C09EA"/>
    <w:rsid w:val="004C11BA"/>
    <w:rsid w:val="004C1994"/>
    <w:rsid w:val="004C2199"/>
    <w:rsid w:val="004C2745"/>
    <w:rsid w:val="004C2DEE"/>
    <w:rsid w:val="004C3E10"/>
    <w:rsid w:val="004C42DF"/>
    <w:rsid w:val="004C49E5"/>
    <w:rsid w:val="004C4A00"/>
    <w:rsid w:val="004C4FC4"/>
    <w:rsid w:val="004C5577"/>
    <w:rsid w:val="004C55FC"/>
    <w:rsid w:val="004C57CC"/>
    <w:rsid w:val="004C5FCF"/>
    <w:rsid w:val="004C79B2"/>
    <w:rsid w:val="004D008A"/>
    <w:rsid w:val="004D04C5"/>
    <w:rsid w:val="004D059B"/>
    <w:rsid w:val="004D12AE"/>
    <w:rsid w:val="004D142C"/>
    <w:rsid w:val="004D1BAB"/>
    <w:rsid w:val="004D1D85"/>
    <w:rsid w:val="004D2920"/>
    <w:rsid w:val="004D36B3"/>
    <w:rsid w:val="004D3DD2"/>
    <w:rsid w:val="004D4080"/>
    <w:rsid w:val="004D4486"/>
    <w:rsid w:val="004D4A32"/>
    <w:rsid w:val="004D4C06"/>
    <w:rsid w:val="004D4EFB"/>
    <w:rsid w:val="004D506B"/>
    <w:rsid w:val="004D5223"/>
    <w:rsid w:val="004D549D"/>
    <w:rsid w:val="004D5A85"/>
    <w:rsid w:val="004D5B63"/>
    <w:rsid w:val="004D5DD7"/>
    <w:rsid w:val="004D6D12"/>
    <w:rsid w:val="004D6D55"/>
    <w:rsid w:val="004E0563"/>
    <w:rsid w:val="004E05FD"/>
    <w:rsid w:val="004E09A6"/>
    <w:rsid w:val="004E1581"/>
    <w:rsid w:val="004E1952"/>
    <w:rsid w:val="004E1A0D"/>
    <w:rsid w:val="004E23F5"/>
    <w:rsid w:val="004E3066"/>
    <w:rsid w:val="004E39EE"/>
    <w:rsid w:val="004E3F38"/>
    <w:rsid w:val="004E4368"/>
    <w:rsid w:val="004E4558"/>
    <w:rsid w:val="004E47A4"/>
    <w:rsid w:val="004E4A76"/>
    <w:rsid w:val="004E4BB1"/>
    <w:rsid w:val="004E4CC7"/>
    <w:rsid w:val="004E5DD9"/>
    <w:rsid w:val="004E5E91"/>
    <w:rsid w:val="004E63E5"/>
    <w:rsid w:val="004E64EB"/>
    <w:rsid w:val="004E651E"/>
    <w:rsid w:val="004E67EC"/>
    <w:rsid w:val="004E6B76"/>
    <w:rsid w:val="004E6C22"/>
    <w:rsid w:val="004E7898"/>
    <w:rsid w:val="004E7ADE"/>
    <w:rsid w:val="004E7D35"/>
    <w:rsid w:val="004F00F5"/>
    <w:rsid w:val="004F0259"/>
    <w:rsid w:val="004F0618"/>
    <w:rsid w:val="004F062E"/>
    <w:rsid w:val="004F0813"/>
    <w:rsid w:val="004F0B1C"/>
    <w:rsid w:val="004F0C7D"/>
    <w:rsid w:val="004F1912"/>
    <w:rsid w:val="004F1B00"/>
    <w:rsid w:val="004F243C"/>
    <w:rsid w:val="004F2A1E"/>
    <w:rsid w:val="004F2CAC"/>
    <w:rsid w:val="004F3540"/>
    <w:rsid w:val="004F36A0"/>
    <w:rsid w:val="004F38EF"/>
    <w:rsid w:val="004F394F"/>
    <w:rsid w:val="004F3C7D"/>
    <w:rsid w:val="004F407E"/>
    <w:rsid w:val="004F48E6"/>
    <w:rsid w:val="004F506C"/>
    <w:rsid w:val="004F52DB"/>
    <w:rsid w:val="004F5435"/>
    <w:rsid w:val="004F5624"/>
    <w:rsid w:val="004F5AF0"/>
    <w:rsid w:val="004F5DA4"/>
    <w:rsid w:val="004F62B2"/>
    <w:rsid w:val="004F636A"/>
    <w:rsid w:val="004F6424"/>
    <w:rsid w:val="004F6542"/>
    <w:rsid w:val="004F6F1C"/>
    <w:rsid w:val="004F74AF"/>
    <w:rsid w:val="004F7558"/>
    <w:rsid w:val="004F7F85"/>
    <w:rsid w:val="00500852"/>
    <w:rsid w:val="005011F4"/>
    <w:rsid w:val="005012E3"/>
    <w:rsid w:val="0050180F"/>
    <w:rsid w:val="00502244"/>
    <w:rsid w:val="0050232C"/>
    <w:rsid w:val="0050295E"/>
    <w:rsid w:val="005029F4"/>
    <w:rsid w:val="00502BCF"/>
    <w:rsid w:val="00502E59"/>
    <w:rsid w:val="00502F33"/>
    <w:rsid w:val="005031D1"/>
    <w:rsid w:val="00503685"/>
    <w:rsid w:val="005040CD"/>
    <w:rsid w:val="00505229"/>
    <w:rsid w:val="0050678F"/>
    <w:rsid w:val="00506CEC"/>
    <w:rsid w:val="005078CA"/>
    <w:rsid w:val="00507A0A"/>
    <w:rsid w:val="00507BFE"/>
    <w:rsid w:val="00507CC2"/>
    <w:rsid w:val="00507E5F"/>
    <w:rsid w:val="00507F98"/>
    <w:rsid w:val="0051031C"/>
    <w:rsid w:val="005104F2"/>
    <w:rsid w:val="005108A3"/>
    <w:rsid w:val="00510AF1"/>
    <w:rsid w:val="00510F6E"/>
    <w:rsid w:val="0051143B"/>
    <w:rsid w:val="005118AE"/>
    <w:rsid w:val="00511C32"/>
    <w:rsid w:val="00511C41"/>
    <w:rsid w:val="00512D2E"/>
    <w:rsid w:val="00513932"/>
    <w:rsid w:val="00513C82"/>
    <w:rsid w:val="00514080"/>
    <w:rsid w:val="00514920"/>
    <w:rsid w:val="005154D0"/>
    <w:rsid w:val="0051587A"/>
    <w:rsid w:val="005158FA"/>
    <w:rsid w:val="00515994"/>
    <w:rsid w:val="00515A2B"/>
    <w:rsid w:val="005169AD"/>
    <w:rsid w:val="00516ECD"/>
    <w:rsid w:val="00517861"/>
    <w:rsid w:val="00520006"/>
    <w:rsid w:val="005208A0"/>
    <w:rsid w:val="005208B9"/>
    <w:rsid w:val="00520A6D"/>
    <w:rsid w:val="00520C0B"/>
    <w:rsid w:val="00520F38"/>
    <w:rsid w:val="005214C8"/>
    <w:rsid w:val="005216BB"/>
    <w:rsid w:val="0052218C"/>
    <w:rsid w:val="005221F0"/>
    <w:rsid w:val="005227E4"/>
    <w:rsid w:val="0052290D"/>
    <w:rsid w:val="005233B6"/>
    <w:rsid w:val="00523EBF"/>
    <w:rsid w:val="00524807"/>
    <w:rsid w:val="00524BDD"/>
    <w:rsid w:val="00525C16"/>
    <w:rsid w:val="00525FB2"/>
    <w:rsid w:val="00525FF9"/>
    <w:rsid w:val="0052640C"/>
    <w:rsid w:val="00526525"/>
    <w:rsid w:val="005265B5"/>
    <w:rsid w:val="005266AD"/>
    <w:rsid w:val="00526A30"/>
    <w:rsid w:val="00527373"/>
    <w:rsid w:val="005275D8"/>
    <w:rsid w:val="00527DC5"/>
    <w:rsid w:val="00527F63"/>
    <w:rsid w:val="00527FCF"/>
    <w:rsid w:val="0053076B"/>
    <w:rsid w:val="0053086D"/>
    <w:rsid w:val="00530A81"/>
    <w:rsid w:val="00531330"/>
    <w:rsid w:val="005314DC"/>
    <w:rsid w:val="0053162C"/>
    <w:rsid w:val="0053191D"/>
    <w:rsid w:val="00531A89"/>
    <w:rsid w:val="00532390"/>
    <w:rsid w:val="00532C41"/>
    <w:rsid w:val="00532CB8"/>
    <w:rsid w:val="00532D3F"/>
    <w:rsid w:val="00533249"/>
    <w:rsid w:val="0053361A"/>
    <w:rsid w:val="0053386D"/>
    <w:rsid w:val="00533894"/>
    <w:rsid w:val="00534042"/>
    <w:rsid w:val="005346B1"/>
    <w:rsid w:val="00534700"/>
    <w:rsid w:val="00534B3B"/>
    <w:rsid w:val="00534BA9"/>
    <w:rsid w:val="005352CF"/>
    <w:rsid w:val="005352F2"/>
    <w:rsid w:val="005353B1"/>
    <w:rsid w:val="0053564B"/>
    <w:rsid w:val="00535F2D"/>
    <w:rsid w:val="005364D0"/>
    <w:rsid w:val="00536839"/>
    <w:rsid w:val="005368EE"/>
    <w:rsid w:val="00536B59"/>
    <w:rsid w:val="00536B68"/>
    <w:rsid w:val="00537603"/>
    <w:rsid w:val="0053791F"/>
    <w:rsid w:val="00537B88"/>
    <w:rsid w:val="00540484"/>
    <w:rsid w:val="00540634"/>
    <w:rsid w:val="00540E7A"/>
    <w:rsid w:val="005410C0"/>
    <w:rsid w:val="00541956"/>
    <w:rsid w:val="0054205F"/>
    <w:rsid w:val="00542613"/>
    <w:rsid w:val="00542B9A"/>
    <w:rsid w:val="00542DFD"/>
    <w:rsid w:val="00543C4B"/>
    <w:rsid w:val="00543CDC"/>
    <w:rsid w:val="005441E7"/>
    <w:rsid w:val="0054445C"/>
    <w:rsid w:val="00544582"/>
    <w:rsid w:val="00544ABF"/>
    <w:rsid w:val="00544C38"/>
    <w:rsid w:val="00544E02"/>
    <w:rsid w:val="0054501B"/>
    <w:rsid w:val="005457E9"/>
    <w:rsid w:val="005458F5"/>
    <w:rsid w:val="00545C7C"/>
    <w:rsid w:val="005460F7"/>
    <w:rsid w:val="00546323"/>
    <w:rsid w:val="00547092"/>
    <w:rsid w:val="00547538"/>
    <w:rsid w:val="005509C0"/>
    <w:rsid w:val="00550C02"/>
    <w:rsid w:val="00550C48"/>
    <w:rsid w:val="00550F57"/>
    <w:rsid w:val="005514BB"/>
    <w:rsid w:val="00551B87"/>
    <w:rsid w:val="00551CFA"/>
    <w:rsid w:val="00551D41"/>
    <w:rsid w:val="00551F2D"/>
    <w:rsid w:val="00552452"/>
    <w:rsid w:val="005529A5"/>
    <w:rsid w:val="00552B7E"/>
    <w:rsid w:val="00552F5F"/>
    <w:rsid w:val="00553377"/>
    <w:rsid w:val="005539A4"/>
    <w:rsid w:val="00553B62"/>
    <w:rsid w:val="00553BFA"/>
    <w:rsid w:val="00554559"/>
    <w:rsid w:val="005546C7"/>
    <w:rsid w:val="005549A3"/>
    <w:rsid w:val="00554C44"/>
    <w:rsid w:val="00554D05"/>
    <w:rsid w:val="005552D2"/>
    <w:rsid w:val="0055558B"/>
    <w:rsid w:val="00555DFF"/>
    <w:rsid w:val="00555E5A"/>
    <w:rsid w:val="00555E7A"/>
    <w:rsid w:val="005565FA"/>
    <w:rsid w:val="005606D0"/>
    <w:rsid w:val="0056077E"/>
    <w:rsid w:val="0056085C"/>
    <w:rsid w:val="00560A1C"/>
    <w:rsid w:val="00560EDA"/>
    <w:rsid w:val="0056106C"/>
    <w:rsid w:val="005611AC"/>
    <w:rsid w:val="005612B8"/>
    <w:rsid w:val="005612D5"/>
    <w:rsid w:val="0056172A"/>
    <w:rsid w:val="00562193"/>
    <w:rsid w:val="0056228B"/>
    <w:rsid w:val="005629EE"/>
    <w:rsid w:val="00562ABE"/>
    <w:rsid w:val="005634B1"/>
    <w:rsid w:val="005643E8"/>
    <w:rsid w:val="005648FA"/>
    <w:rsid w:val="00564D50"/>
    <w:rsid w:val="00564EB9"/>
    <w:rsid w:val="00565309"/>
    <w:rsid w:val="00565CA2"/>
    <w:rsid w:val="00565F5F"/>
    <w:rsid w:val="00567346"/>
    <w:rsid w:val="005674A6"/>
    <w:rsid w:val="005675E6"/>
    <w:rsid w:val="00567609"/>
    <w:rsid w:val="0056792B"/>
    <w:rsid w:val="00567B0B"/>
    <w:rsid w:val="00567D02"/>
    <w:rsid w:val="00570552"/>
    <w:rsid w:val="00570570"/>
    <w:rsid w:val="00570B43"/>
    <w:rsid w:val="00570FA6"/>
    <w:rsid w:val="00571303"/>
    <w:rsid w:val="00572CB6"/>
    <w:rsid w:val="00573050"/>
    <w:rsid w:val="00573627"/>
    <w:rsid w:val="0057371B"/>
    <w:rsid w:val="005738A7"/>
    <w:rsid w:val="005738EC"/>
    <w:rsid w:val="00573B9A"/>
    <w:rsid w:val="005740FE"/>
    <w:rsid w:val="005750FC"/>
    <w:rsid w:val="00575317"/>
    <w:rsid w:val="00575A40"/>
    <w:rsid w:val="00575EB8"/>
    <w:rsid w:val="00576633"/>
    <w:rsid w:val="00576EDF"/>
    <w:rsid w:val="00576F9E"/>
    <w:rsid w:val="00577069"/>
    <w:rsid w:val="005772BB"/>
    <w:rsid w:val="005779F6"/>
    <w:rsid w:val="00577B20"/>
    <w:rsid w:val="00577E78"/>
    <w:rsid w:val="0058011A"/>
    <w:rsid w:val="0058022F"/>
    <w:rsid w:val="00580929"/>
    <w:rsid w:val="00580A4A"/>
    <w:rsid w:val="00581A9C"/>
    <w:rsid w:val="00581CA2"/>
    <w:rsid w:val="00582A9B"/>
    <w:rsid w:val="00582BE3"/>
    <w:rsid w:val="00582DB7"/>
    <w:rsid w:val="00582EFB"/>
    <w:rsid w:val="00582EFC"/>
    <w:rsid w:val="005830DE"/>
    <w:rsid w:val="005832AB"/>
    <w:rsid w:val="005834E9"/>
    <w:rsid w:val="00583D95"/>
    <w:rsid w:val="00583DFB"/>
    <w:rsid w:val="00583ED2"/>
    <w:rsid w:val="00584066"/>
    <w:rsid w:val="0058418B"/>
    <w:rsid w:val="005842E7"/>
    <w:rsid w:val="0058437C"/>
    <w:rsid w:val="0058471B"/>
    <w:rsid w:val="005847BE"/>
    <w:rsid w:val="005849DF"/>
    <w:rsid w:val="00584F8B"/>
    <w:rsid w:val="00585430"/>
    <w:rsid w:val="005860E8"/>
    <w:rsid w:val="0058618B"/>
    <w:rsid w:val="00586D46"/>
    <w:rsid w:val="00586DDF"/>
    <w:rsid w:val="00587553"/>
    <w:rsid w:val="0058767F"/>
    <w:rsid w:val="005878FE"/>
    <w:rsid w:val="00587D06"/>
    <w:rsid w:val="00587E4E"/>
    <w:rsid w:val="00590342"/>
    <w:rsid w:val="00590752"/>
    <w:rsid w:val="00590C68"/>
    <w:rsid w:val="00590FCB"/>
    <w:rsid w:val="00591FC0"/>
    <w:rsid w:val="00592A5D"/>
    <w:rsid w:val="005935F4"/>
    <w:rsid w:val="005937F8"/>
    <w:rsid w:val="00593E0A"/>
    <w:rsid w:val="00594081"/>
    <w:rsid w:val="005942CA"/>
    <w:rsid w:val="00594D85"/>
    <w:rsid w:val="0059583B"/>
    <w:rsid w:val="00595C46"/>
    <w:rsid w:val="00596920"/>
    <w:rsid w:val="005969AD"/>
    <w:rsid w:val="00596A2A"/>
    <w:rsid w:val="00596CB3"/>
    <w:rsid w:val="005970FC"/>
    <w:rsid w:val="005975F4"/>
    <w:rsid w:val="005A041D"/>
    <w:rsid w:val="005A0CF6"/>
    <w:rsid w:val="005A0E67"/>
    <w:rsid w:val="005A0F7C"/>
    <w:rsid w:val="005A12AC"/>
    <w:rsid w:val="005A12B0"/>
    <w:rsid w:val="005A167F"/>
    <w:rsid w:val="005A18B8"/>
    <w:rsid w:val="005A193C"/>
    <w:rsid w:val="005A21A3"/>
    <w:rsid w:val="005A2935"/>
    <w:rsid w:val="005A29BB"/>
    <w:rsid w:val="005A340A"/>
    <w:rsid w:val="005A346E"/>
    <w:rsid w:val="005A3718"/>
    <w:rsid w:val="005A386D"/>
    <w:rsid w:val="005A3D7D"/>
    <w:rsid w:val="005A3F22"/>
    <w:rsid w:val="005A41E4"/>
    <w:rsid w:val="005A497A"/>
    <w:rsid w:val="005A5050"/>
    <w:rsid w:val="005A513C"/>
    <w:rsid w:val="005A546A"/>
    <w:rsid w:val="005A5A72"/>
    <w:rsid w:val="005A6021"/>
    <w:rsid w:val="005A603D"/>
    <w:rsid w:val="005A6730"/>
    <w:rsid w:val="005A6838"/>
    <w:rsid w:val="005A696C"/>
    <w:rsid w:val="005A6BFF"/>
    <w:rsid w:val="005A73CF"/>
    <w:rsid w:val="005A7CCE"/>
    <w:rsid w:val="005B21D5"/>
    <w:rsid w:val="005B2226"/>
    <w:rsid w:val="005B2FFB"/>
    <w:rsid w:val="005B33E1"/>
    <w:rsid w:val="005B3EA5"/>
    <w:rsid w:val="005B3F6F"/>
    <w:rsid w:val="005B4A6D"/>
    <w:rsid w:val="005B50E1"/>
    <w:rsid w:val="005B520C"/>
    <w:rsid w:val="005B5416"/>
    <w:rsid w:val="005B5E49"/>
    <w:rsid w:val="005B5ED1"/>
    <w:rsid w:val="005B60EF"/>
    <w:rsid w:val="005B6179"/>
    <w:rsid w:val="005B64D9"/>
    <w:rsid w:val="005B6683"/>
    <w:rsid w:val="005B6ADB"/>
    <w:rsid w:val="005B72C2"/>
    <w:rsid w:val="005B798B"/>
    <w:rsid w:val="005B7CE7"/>
    <w:rsid w:val="005C06D9"/>
    <w:rsid w:val="005C1374"/>
    <w:rsid w:val="005C1915"/>
    <w:rsid w:val="005C1A67"/>
    <w:rsid w:val="005C1AE4"/>
    <w:rsid w:val="005C1BA8"/>
    <w:rsid w:val="005C1FAE"/>
    <w:rsid w:val="005C22A6"/>
    <w:rsid w:val="005C2D74"/>
    <w:rsid w:val="005C340A"/>
    <w:rsid w:val="005C3799"/>
    <w:rsid w:val="005C386D"/>
    <w:rsid w:val="005C39E8"/>
    <w:rsid w:val="005C3E46"/>
    <w:rsid w:val="005C509E"/>
    <w:rsid w:val="005C522E"/>
    <w:rsid w:val="005C5517"/>
    <w:rsid w:val="005C5660"/>
    <w:rsid w:val="005C690C"/>
    <w:rsid w:val="005C6BF8"/>
    <w:rsid w:val="005C6ED5"/>
    <w:rsid w:val="005C724C"/>
    <w:rsid w:val="005C77D7"/>
    <w:rsid w:val="005C7A33"/>
    <w:rsid w:val="005C7C4D"/>
    <w:rsid w:val="005D0126"/>
    <w:rsid w:val="005D0331"/>
    <w:rsid w:val="005D0C3D"/>
    <w:rsid w:val="005D1221"/>
    <w:rsid w:val="005D15DC"/>
    <w:rsid w:val="005D1B55"/>
    <w:rsid w:val="005D1C50"/>
    <w:rsid w:val="005D1E57"/>
    <w:rsid w:val="005D23CE"/>
    <w:rsid w:val="005D2609"/>
    <w:rsid w:val="005D2A17"/>
    <w:rsid w:val="005D34CB"/>
    <w:rsid w:val="005D3547"/>
    <w:rsid w:val="005D377D"/>
    <w:rsid w:val="005D3E8E"/>
    <w:rsid w:val="005D464A"/>
    <w:rsid w:val="005D4A06"/>
    <w:rsid w:val="005D4B68"/>
    <w:rsid w:val="005D5280"/>
    <w:rsid w:val="005D53F2"/>
    <w:rsid w:val="005D560C"/>
    <w:rsid w:val="005D58D6"/>
    <w:rsid w:val="005D5F9B"/>
    <w:rsid w:val="005D6242"/>
    <w:rsid w:val="005D62A8"/>
    <w:rsid w:val="005D64C3"/>
    <w:rsid w:val="005D665D"/>
    <w:rsid w:val="005D67A3"/>
    <w:rsid w:val="005D68BB"/>
    <w:rsid w:val="005D6B96"/>
    <w:rsid w:val="005D7444"/>
    <w:rsid w:val="005D7855"/>
    <w:rsid w:val="005D7B70"/>
    <w:rsid w:val="005D7F97"/>
    <w:rsid w:val="005E11C1"/>
    <w:rsid w:val="005E1765"/>
    <w:rsid w:val="005E1791"/>
    <w:rsid w:val="005E1F79"/>
    <w:rsid w:val="005E20C3"/>
    <w:rsid w:val="005E2563"/>
    <w:rsid w:val="005E2631"/>
    <w:rsid w:val="005E3038"/>
    <w:rsid w:val="005E312D"/>
    <w:rsid w:val="005E3209"/>
    <w:rsid w:val="005E3435"/>
    <w:rsid w:val="005E394C"/>
    <w:rsid w:val="005E396F"/>
    <w:rsid w:val="005E42BF"/>
    <w:rsid w:val="005E440A"/>
    <w:rsid w:val="005E45B4"/>
    <w:rsid w:val="005E45DE"/>
    <w:rsid w:val="005E4A2C"/>
    <w:rsid w:val="005E4B5D"/>
    <w:rsid w:val="005E4E70"/>
    <w:rsid w:val="005E4F8F"/>
    <w:rsid w:val="005E540A"/>
    <w:rsid w:val="005E5540"/>
    <w:rsid w:val="005E5776"/>
    <w:rsid w:val="005E5B24"/>
    <w:rsid w:val="005E5FB9"/>
    <w:rsid w:val="005E62F3"/>
    <w:rsid w:val="005E639D"/>
    <w:rsid w:val="005E65BB"/>
    <w:rsid w:val="005E6DB7"/>
    <w:rsid w:val="005E7AD9"/>
    <w:rsid w:val="005E7C2A"/>
    <w:rsid w:val="005E7E90"/>
    <w:rsid w:val="005F0853"/>
    <w:rsid w:val="005F0D01"/>
    <w:rsid w:val="005F0DA0"/>
    <w:rsid w:val="005F1061"/>
    <w:rsid w:val="005F10A9"/>
    <w:rsid w:val="005F19CF"/>
    <w:rsid w:val="005F2218"/>
    <w:rsid w:val="005F29FD"/>
    <w:rsid w:val="005F2BF3"/>
    <w:rsid w:val="005F31E9"/>
    <w:rsid w:val="005F3FBA"/>
    <w:rsid w:val="005F4914"/>
    <w:rsid w:val="005F5003"/>
    <w:rsid w:val="005F5707"/>
    <w:rsid w:val="005F590B"/>
    <w:rsid w:val="005F5F81"/>
    <w:rsid w:val="005F62B7"/>
    <w:rsid w:val="005F6869"/>
    <w:rsid w:val="005F6A45"/>
    <w:rsid w:val="005F6BB9"/>
    <w:rsid w:val="005F6CFC"/>
    <w:rsid w:val="005F6E49"/>
    <w:rsid w:val="005F75BA"/>
    <w:rsid w:val="005F7C17"/>
    <w:rsid w:val="005F7EC6"/>
    <w:rsid w:val="00600048"/>
    <w:rsid w:val="00601566"/>
    <w:rsid w:val="0060223E"/>
    <w:rsid w:val="0060249A"/>
    <w:rsid w:val="006027CE"/>
    <w:rsid w:val="00602D2F"/>
    <w:rsid w:val="00603148"/>
    <w:rsid w:val="006034E7"/>
    <w:rsid w:val="00603621"/>
    <w:rsid w:val="00603C4A"/>
    <w:rsid w:val="00603D7F"/>
    <w:rsid w:val="00603F51"/>
    <w:rsid w:val="006044CD"/>
    <w:rsid w:val="00604F78"/>
    <w:rsid w:val="006057A9"/>
    <w:rsid w:val="0060595B"/>
    <w:rsid w:val="0060622C"/>
    <w:rsid w:val="006069CA"/>
    <w:rsid w:val="00606FC7"/>
    <w:rsid w:val="006079C9"/>
    <w:rsid w:val="00610456"/>
    <w:rsid w:val="00610E0B"/>
    <w:rsid w:val="00611473"/>
    <w:rsid w:val="0061166C"/>
    <w:rsid w:val="00611A08"/>
    <w:rsid w:val="00611B36"/>
    <w:rsid w:val="006123D6"/>
    <w:rsid w:val="00612F72"/>
    <w:rsid w:val="0061348A"/>
    <w:rsid w:val="0061367E"/>
    <w:rsid w:val="00613A34"/>
    <w:rsid w:val="00613E1E"/>
    <w:rsid w:val="00614153"/>
    <w:rsid w:val="00614366"/>
    <w:rsid w:val="006150E1"/>
    <w:rsid w:val="0061571B"/>
    <w:rsid w:val="00615862"/>
    <w:rsid w:val="00615ADA"/>
    <w:rsid w:val="00616776"/>
    <w:rsid w:val="00616A92"/>
    <w:rsid w:val="00616D1D"/>
    <w:rsid w:val="00617439"/>
    <w:rsid w:val="00617872"/>
    <w:rsid w:val="00617D35"/>
    <w:rsid w:val="0062046E"/>
    <w:rsid w:val="0062070C"/>
    <w:rsid w:val="0062140B"/>
    <w:rsid w:val="00621514"/>
    <w:rsid w:val="00621B5B"/>
    <w:rsid w:val="00621F1B"/>
    <w:rsid w:val="006221CD"/>
    <w:rsid w:val="00622507"/>
    <w:rsid w:val="00622A02"/>
    <w:rsid w:val="006233F4"/>
    <w:rsid w:val="00623C93"/>
    <w:rsid w:val="00623CB8"/>
    <w:rsid w:val="00624026"/>
    <w:rsid w:val="00624114"/>
    <w:rsid w:val="006246AB"/>
    <w:rsid w:val="006246D7"/>
    <w:rsid w:val="00624D1A"/>
    <w:rsid w:val="006251CF"/>
    <w:rsid w:val="006256E6"/>
    <w:rsid w:val="006258A4"/>
    <w:rsid w:val="00626088"/>
    <w:rsid w:val="00626283"/>
    <w:rsid w:val="006266A9"/>
    <w:rsid w:val="0062674D"/>
    <w:rsid w:val="00626853"/>
    <w:rsid w:val="006268AB"/>
    <w:rsid w:val="00626A99"/>
    <w:rsid w:val="00626B72"/>
    <w:rsid w:val="00626EFE"/>
    <w:rsid w:val="00627190"/>
    <w:rsid w:val="00627B09"/>
    <w:rsid w:val="006300F1"/>
    <w:rsid w:val="00630426"/>
    <w:rsid w:val="006307BA"/>
    <w:rsid w:val="00630CC7"/>
    <w:rsid w:val="00630DB4"/>
    <w:rsid w:val="006316C1"/>
    <w:rsid w:val="00631ED4"/>
    <w:rsid w:val="0063202D"/>
    <w:rsid w:val="00632211"/>
    <w:rsid w:val="0063288C"/>
    <w:rsid w:val="00632D63"/>
    <w:rsid w:val="00632FDB"/>
    <w:rsid w:val="00633131"/>
    <w:rsid w:val="006331E6"/>
    <w:rsid w:val="00633B2A"/>
    <w:rsid w:val="00633BC7"/>
    <w:rsid w:val="0063408D"/>
    <w:rsid w:val="0063438E"/>
    <w:rsid w:val="00634ED3"/>
    <w:rsid w:val="0063509A"/>
    <w:rsid w:val="0063517E"/>
    <w:rsid w:val="006353FC"/>
    <w:rsid w:val="0063559C"/>
    <w:rsid w:val="006355C9"/>
    <w:rsid w:val="00635860"/>
    <w:rsid w:val="006359C0"/>
    <w:rsid w:val="00635E9C"/>
    <w:rsid w:val="00636693"/>
    <w:rsid w:val="00637203"/>
    <w:rsid w:val="00637B41"/>
    <w:rsid w:val="00637FF1"/>
    <w:rsid w:val="00640518"/>
    <w:rsid w:val="00640644"/>
    <w:rsid w:val="00640F95"/>
    <w:rsid w:val="006414EE"/>
    <w:rsid w:val="00641DC6"/>
    <w:rsid w:val="00641E9D"/>
    <w:rsid w:val="00642135"/>
    <w:rsid w:val="006424D4"/>
    <w:rsid w:val="00642524"/>
    <w:rsid w:val="006427AA"/>
    <w:rsid w:val="00642D0A"/>
    <w:rsid w:val="00643069"/>
    <w:rsid w:val="00643478"/>
    <w:rsid w:val="006438EC"/>
    <w:rsid w:val="00643B84"/>
    <w:rsid w:val="00643E4C"/>
    <w:rsid w:val="00643FD6"/>
    <w:rsid w:val="00644FFA"/>
    <w:rsid w:val="00645054"/>
    <w:rsid w:val="006452DC"/>
    <w:rsid w:val="006455CC"/>
    <w:rsid w:val="006466A0"/>
    <w:rsid w:val="006466B4"/>
    <w:rsid w:val="00646C8F"/>
    <w:rsid w:val="00646FE1"/>
    <w:rsid w:val="006474CF"/>
    <w:rsid w:val="00647922"/>
    <w:rsid w:val="00647C51"/>
    <w:rsid w:val="00650178"/>
    <w:rsid w:val="0065119F"/>
    <w:rsid w:val="00651522"/>
    <w:rsid w:val="00652264"/>
    <w:rsid w:val="00652515"/>
    <w:rsid w:val="0065294E"/>
    <w:rsid w:val="00652B5B"/>
    <w:rsid w:val="00652FCF"/>
    <w:rsid w:val="00653933"/>
    <w:rsid w:val="00653FCD"/>
    <w:rsid w:val="00654488"/>
    <w:rsid w:val="00654556"/>
    <w:rsid w:val="00654621"/>
    <w:rsid w:val="0065491E"/>
    <w:rsid w:val="00655087"/>
    <w:rsid w:val="0065514A"/>
    <w:rsid w:val="0065525E"/>
    <w:rsid w:val="00655363"/>
    <w:rsid w:val="0065561C"/>
    <w:rsid w:val="00655C2F"/>
    <w:rsid w:val="0065615A"/>
    <w:rsid w:val="0065685E"/>
    <w:rsid w:val="00656D68"/>
    <w:rsid w:val="006573A4"/>
    <w:rsid w:val="006604B7"/>
    <w:rsid w:val="00660AC6"/>
    <w:rsid w:val="00660BAE"/>
    <w:rsid w:val="00660FDD"/>
    <w:rsid w:val="00661140"/>
    <w:rsid w:val="0066168C"/>
    <w:rsid w:val="006617E0"/>
    <w:rsid w:val="00661D39"/>
    <w:rsid w:val="00661FD6"/>
    <w:rsid w:val="00662160"/>
    <w:rsid w:val="00662298"/>
    <w:rsid w:val="00662608"/>
    <w:rsid w:val="006628D3"/>
    <w:rsid w:val="00662E71"/>
    <w:rsid w:val="00663784"/>
    <w:rsid w:val="0066383F"/>
    <w:rsid w:val="00663CE1"/>
    <w:rsid w:val="006643C0"/>
    <w:rsid w:val="006647E3"/>
    <w:rsid w:val="0066490B"/>
    <w:rsid w:val="00665494"/>
    <w:rsid w:val="00665500"/>
    <w:rsid w:val="00665564"/>
    <w:rsid w:val="00666422"/>
    <w:rsid w:val="006666F8"/>
    <w:rsid w:val="00666BE0"/>
    <w:rsid w:val="00666CD3"/>
    <w:rsid w:val="00666F88"/>
    <w:rsid w:val="00667EF2"/>
    <w:rsid w:val="006702BD"/>
    <w:rsid w:val="006704B9"/>
    <w:rsid w:val="00670D6A"/>
    <w:rsid w:val="006710DD"/>
    <w:rsid w:val="0067151A"/>
    <w:rsid w:val="00671622"/>
    <w:rsid w:val="00671ABF"/>
    <w:rsid w:val="006725C8"/>
    <w:rsid w:val="006727DD"/>
    <w:rsid w:val="006729E9"/>
    <w:rsid w:val="00672DF4"/>
    <w:rsid w:val="00673200"/>
    <w:rsid w:val="00673783"/>
    <w:rsid w:val="00673FB9"/>
    <w:rsid w:val="0067417C"/>
    <w:rsid w:val="0067455A"/>
    <w:rsid w:val="00674890"/>
    <w:rsid w:val="0067495F"/>
    <w:rsid w:val="00674C36"/>
    <w:rsid w:val="0067501E"/>
    <w:rsid w:val="006752FB"/>
    <w:rsid w:val="0067583D"/>
    <w:rsid w:val="00675B91"/>
    <w:rsid w:val="0067658A"/>
    <w:rsid w:val="006765A7"/>
    <w:rsid w:val="00676628"/>
    <w:rsid w:val="00676951"/>
    <w:rsid w:val="00676EFE"/>
    <w:rsid w:val="006773D2"/>
    <w:rsid w:val="00677B55"/>
    <w:rsid w:val="006801A5"/>
    <w:rsid w:val="00680258"/>
    <w:rsid w:val="006804F5"/>
    <w:rsid w:val="00680581"/>
    <w:rsid w:val="00680887"/>
    <w:rsid w:val="00680976"/>
    <w:rsid w:val="00681301"/>
    <w:rsid w:val="00681A41"/>
    <w:rsid w:val="00681D72"/>
    <w:rsid w:val="006821B2"/>
    <w:rsid w:val="0068281C"/>
    <w:rsid w:val="006838C0"/>
    <w:rsid w:val="006839E6"/>
    <w:rsid w:val="00683AA7"/>
    <w:rsid w:val="00683FA1"/>
    <w:rsid w:val="00684ABE"/>
    <w:rsid w:val="006851E8"/>
    <w:rsid w:val="00685479"/>
    <w:rsid w:val="00685560"/>
    <w:rsid w:val="006856F8"/>
    <w:rsid w:val="006858FB"/>
    <w:rsid w:val="00685901"/>
    <w:rsid w:val="00685BB9"/>
    <w:rsid w:val="00686527"/>
    <w:rsid w:val="0068679C"/>
    <w:rsid w:val="00686C03"/>
    <w:rsid w:val="00686C33"/>
    <w:rsid w:val="006878A4"/>
    <w:rsid w:val="00690009"/>
    <w:rsid w:val="00690127"/>
    <w:rsid w:val="00690825"/>
    <w:rsid w:val="00690C5B"/>
    <w:rsid w:val="0069106A"/>
    <w:rsid w:val="00691176"/>
    <w:rsid w:val="00691184"/>
    <w:rsid w:val="00691329"/>
    <w:rsid w:val="00691636"/>
    <w:rsid w:val="0069184D"/>
    <w:rsid w:val="00691BFF"/>
    <w:rsid w:val="00692292"/>
    <w:rsid w:val="006925BD"/>
    <w:rsid w:val="00692892"/>
    <w:rsid w:val="00692B09"/>
    <w:rsid w:val="00692D06"/>
    <w:rsid w:val="00693144"/>
    <w:rsid w:val="006936CE"/>
    <w:rsid w:val="00693BA7"/>
    <w:rsid w:val="00693C70"/>
    <w:rsid w:val="00693DFA"/>
    <w:rsid w:val="006944E1"/>
    <w:rsid w:val="00694580"/>
    <w:rsid w:val="006947C4"/>
    <w:rsid w:val="00694B75"/>
    <w:rsid w:val="0069530E"/>
    <w:rsid w:val="0069534E"/>
    <w:rsid w:val="006953C1"/>
    <w:rsid w:val="00695508"/>
    <w:rsid w:val="00695569"/>
    <w:rsid w:val="006962AE"/>
    <w:rsid w:val="006966EC"/>
    <w:rsid w:val="00696A12"/>
    <w:rsid w:val="00696A97"/>
    <w:rsid w:val="00696EB2"/>
    <w:rsid w:val="00697391"/>
    <w:rsid w:val="00697C9E"/>
    <w:rsid w:val="006A0328"/>
    <w:rsid w:val="006A0627"/>
    <w:rsid w:val="006A08A5"/>
    <w:rsid w:val="006A08B3"/>
    <w:rsid w:val="006A0F0A"/>
    <w:rsid w:val="006A1202"/>
    <w:rsid w:val="006A16E9"/>
    <w:rsid w:val="006A1892"/>
    <w:rsid w:val="006A1A6B"/>
    <w:rsid w:val="006A1DAE"/>
    <w:rsid w:val="006A1DED"/>
    <w:rsid w:val="006A1E1A"/>
    <w:rsid w:val="006A1E32"/>
    <w:rsid w:val="006A1F89"/>
    <w:rsid w:val="006A2FFE"/>
    <w:rsid w:val="006A3526"/>
    <w:rsid w:val="006A3E26"/>
    <w:rsid w:val="006A4931"/>
    <w:rsid w:val="006A4A29"/>
    <w:rsid w:val="006A4DB7"/>
    <w:rsid w:val="006A4DFA"/>
    <w:rsid w:val="006A5450"/>
    <w:rsid w:val="006A555F"/>
    <w:rsid w:val="006A58B0"/>
    <w:rsid w:val="006A5968"/>
    <w:rsid w:val="006A5B89"/>
    <w:rsid w:val="006A5C6B"/>
    <w:rsid w:val="006A6025"/>
    <w:rsid w:val="006A6CA8"/>
    <w:rsid w:val="006A7613"/>
    <w:rsid w:val="006B0199"/>
    <w:rsid w:val="006B07FC"/>
    <w:rsid w:val="006B08A1"/>
    <w:rsid w:val="006B0A32"/>
    <w:rsid w:val="006B0B37"/>
    <w:rsid w:val="006B0BD8"/>
    <w:rsid w:val="006B228F"/>
    <w:rsid w:val="006B3303"/>
    <w:rsid w:val="006B3348"/>
    <w:rsid w:val="006B3617"/>
    <w:rsid w:val="006B47DB"/>
    <w:rsid w:val="006B4C30"/>
    <w:rsid w:val="006B4C81"/>
    <w:rsid w:val="006B4E89"/>
    <w:rsid w:val="006B4ECE"/>
    <w:rsid w:val="006B5011"/>
    <w:rsid w:val="006B57AF"/>
    <w:rsid w:val="006B58B9"/>
    <w:rsid w:val="006B58DA"/>
    <w:rsid w:val="006B5E6B"/>
    <w:rsid w:val="006B616F"/>
    <w:rsid w:val="006B62AC"/>
    <w:rsid w:val="006B704C"/>
    <w:rsid w:val="006B7D45"/>
    <w:rsid w:val="006B7DBD"/>
    <w:rsid w:val="006B7F61"/>
    <w:rsid w:val="006C005B"/>
    <w:rsid w:val="006C0251"/>
    <w:rsid w:val="006C0431"/>
    <w:rsid w:val="006C1119"/>
    <w:rsid w:val="006C1A83"/>
    <w:rsid w:val="006C1C21"/>
    <w:rsid w:val="006C1DF6"/>
    <w:rsid w:val="006C2555"/>
    <w:rsid w:val="006C2B9A"/>
    <w:rsid w:val="006C2C4B"/>
    <w:rsid w:val="006C2ED5"/>
    <w:rsid w:val="006C332B"/>
    <w:rsid w:val="006C3950"/>
    <w:rsid w:val="006C39BB"/>
    <w:rsid w:val="006C3E91"/>
    <w:rsid w:val="006C4126"/>
    <w:rsid w:val="006C4304"/>
    <w:rsid w:val="006C4477"/>
    <w:rsid w:val="006C4502"/>
    <w:rsid w:val="006C49C7"/>
    <w:rsid w:val="006C4A55"/>
    <w:rsid w:val="006C4D88"/>
    <w:rsid w:val="006C4DD6"/>
    <w:rsid w:val="006C54FB"/>
    <w:rsid w:val="006C5C8F"/>
    <w:rsid w:val="006C5E43"/>
    <w:rsid w:val="006C64B1"/>
    <w:rsid w:val="006C662B"/>
    <w:rsid w:val="006C67C1"/>
    <w:rsid w:val="006C789B"/>
    <w:rsid w:val="006C7925"/>
    <w:rsid w:val="006C7FEC"/>
    <w:rsid w:val="006D075C"/>
    <w:rsid w:val="006D0F83"/>
    <w:rsid w:val="006D2749"/>
    <w:rsid w:val="006D31A9"/>
    <w:rsid w:val="006D3749"/>
    <w:rsid w:val="006D3A25"/>
    <w:rsid w:val="006D3CF4"/>
    <w:rsid w:val="006D3F0D"/>
    <w:rsid w:val="006D40B1"/>
    <w:rsid w:val="006D4221"/>
    <w:rsid w:val="006D53BE"/>
    <w:rsid w:val="006D5BCC"/>
    <w:rsid w:val="006D5E91"/>
    <w:rsid w:val="006D60D4"/>
    <w:rsid w:val="006D6288"/>
    <w:rsid w:val="006D673F"/>
    <w:rsid w:val="006D67B5"/>
    <w:rsid w:val="006D72B7"/>
    <w:rsid w:val="006E009B"/>
    <w:rsid w:val="006E04F4"/>
    <w:rsid w:val="006E075E"/>
    <w:rsid w:val="006E0A3E"/>
    <w:rsid w:val="006E0EAA"/>
    <w:rsid w:val="006E0F2B"/>
    <w:rsid w:val="006E1064"/>
    <w:rsid w:val="006E1329"/>
    <w:rsid w:val="006E14E6"/>
    <w:rsid w:val="006E1AEE"/>
    <w:rsid w:val="006E1BF6"/>
    <w:rsid w:val="006E1E88"/>
    <w:rsid w:val="006E24E5"/>
    <w:rsid w:val="006E250C"/>
    <w:rsid w:val="006E2510"/>
    <w:rsid w:val="006E3B9C"/>
    <w:rsid w:val="006E3E19"/>
    <w:rsid w:val="006E3E76"/>
    <w:rsid w:val="006E406C"/>
    <w:rsid w:val="006E437C"/>
    <w:rsid w:val="006E4834"/>
    <w:rsid w:val="006E49D7"/>
    <w:rsid w:val="006E50CD"/>
    <w:rsid w:val="006E51A2"/>
    <w:rsid w:val="006E527E"/>
    <w:rsid w:val="006E5CFC"/>
    <w:rsid w:val="006E62FD"/>
    <w:rsid w:val="006E6707"/>
    <w:rsid w:val="006E6728"/>
    <w:rsid w:val="006E6C8B"/>
    <w:rsid w:val="006E7047"/>
    <w:rsid w:val="006E7916"/>
    <w:rsid w:val="006F0263"/>
    <w:rsid w:val="006F0464"/>
    <w:rsid w:val="006F0DE2"/>
    <w:rsid w:val="006F0E76"/>
    <w:rsid w:val="006F1816"/>
    <w:rsid w:val="006F1882"/>
    <w:rsid w:val="006F18FA"/>
    <w:rsid w:val="006F1A2F"/>
    <w:rsid w:val="006F1BDE"/>
    <w:rsid w:val="006F2082"/>
    <w:rsid w:val="006F2EAE"/>
    <w:rsid w:val="006F3495"/>
    <w:rsid w:val="006F3626"/>
    <w:rsid w:val="006F365A"/>
    <w:rsid w:val="006F3A56"/>
    <w:rsid w:val="006F3C04"/>
    <w:rsid w:val="006F3E79"/>
    <w:rsid w:val="006F3F5E"/>
    <w:rsid w:val="006F417D"/>
    <w:rsid w:val="006F4430"/>
    <w:rsid w:val="006F4BB5"/>
    <w:rsid w:val="006F4CFC"/>
    <w:rsid w:val="006F5A64"/>
    <w:rsid w:val="006F5C83"/>
    <w:rsid w:val="006F5F54"/>
    <w:rsid w:val="006F60B1"/>
    <w:rsid w:val="006F6489"/>
    <w:rsid w:val="006F67CC"/>
    <w:rsid w:val="006F6B4C"/>
    <w:rsid w:val="006F7226"/>
    <w:rsid w:val="006F7523"/>
    <w:rsid w:val="006F768B"/>
    <w:rsid w:val="006F7CC4"/>
    <w:rsid w:val="00700B0C"/>
    <w:rsid w:val="007018CA"/>
    <w:rsid w:val="00701C2D"/>
    <w:rsid w:val="00701D25"/>
    <w:rsid w:val="00702003"/>
    <w:rsid w:val="00702162"/>
    <w:rsid w:val="007023DA"/>
    <w:rsid w:val="00702E45"/>
    <w:rsid w:val="00702F22"/>
    <w:rsid w:val="00703930"/>
    <w:rsid w:val="0070417D"/>
    <w:rsid w:val="0070428F"/>
    <w:rsid w:val="00704E2F"/>
    <w:rsid w:val="00704F55"/>
    <w:rsid w:val="00704FBB"/>
    <w:rsid w:val="00705034"/>
    <w:rsid w:val="0070509B"/>
    <w:rsid w:val="00705A52"/>
    <w:rsid w:val="0070608A"/>
    <w:rsid w:val="0070610E"/>
    <w:rsid w:val="007065E5"/>
    <w:rsid w:val="007069D9"/>
    <w:rsid w:val="00706AFA"/>
    <w:rsid w:val="00707198"/>
    <w:rsid w:val="00707714"/>
    <w:rsid w:val="00707759"/>
    <w:rsid w:val="007079B7"/>
    <w:rsid w:val="00707A75"/>
    <w:rsid w:val="00707AB8"/>
    <w:rsid w:val="00707F4B"/>
    <w:rsid w:val="00710081"/>
    <w:rsid w:val="0071079B"/>
    <w:rsid w:val="007109B6"/>
    <w:rsid w:val="00710B0D"/>
    <w:rsid w:val="00710F5D"/>
    <w:rsid w:val="00711515"/>
    <w:rsid w:val="0071152F"/>
    <w:rsid w:val="0071169E"/>
    <w:rsid w:val="00712461"/>
    <w:rsid w:val="007124AC"/>
    <w:rsid w:val="0071253A"/>
    <w:rsid w:val="00712552"/>
    <w:rsid w:val="00713C2C"/>
    <w:rsid w:val="00713CA6"/>
    <w:rsid w:val="00713CB5"/>
    <w:rsid w:val="0071444C"/>
    <w:rsid w:val="00714703"/>
    <w:rsid w:val="00714E32"/>
    <w:rsid w:val="00714F19"/>
    <w:rsid w:val="00714FC1"/>
    <w:rsid w:val="00715393"/>
    <w:rsid w:val="0071558B"/>
    <w:rsid w:val="007155CC"/>
    <w:rsid w:val="00715724"/>
    <w:rsid w:val="00715E0D"/>
    <w:rsid w:val="007160A3"/>
    <w:rsid w:val="00716CBE"/>
    <w:rsid w:val="007178AD"/>
    <w:rsid w:val="00717E14"/>
    <w:rsid w:val="007205D7"/>
    <w:rsid w:val="00720A85"/>
    <w:rsid w:val="00720AC6"/>
    <w:rsid w:val="00720AEA"/>
    <w:rsid w:val="00720CF5"/>
    <w:rsid w:val="00720E6C"/>
    <w:rsid w:val="00721189"/>
    <w:rsid w:val="00721897"/>
    <w:rsid w:val="00721CE7"/>
    <w:rsid w:val="00721FD7"/>
    <w:rsid w:val="007221C3"/>
    <w:rsid w:val="00722F2C"/>
    <w:rsid w:val="007231E6"/>
    <w:rsid w:val="0072320D"/>
    <w:rsid w:val="00723525"/>
    <w:rsid w:val="00724199"/>
    <w:rsid w:val="0072483C"/>
    <w:rsid w:val="0072490F"/>
    <w:rsid w:val="00724DB6"/>
    <w:rsid w:val="00725104"/>
    <w:rsid w:val="007254D1"/>
    <w:rsid w:val="00725B32"/>
    <w:rsid w:val="00725B3C"/>
    <w:rsid w:val="00726014"/>
    <w:rsid w:val="007262E5"/>
    <w:rsid w:val="00726351"/>
    <w:rsid w:val="007264D7"/>
    <w:rsid w:val="00726CC2"/>
    <w:rsid w:val="00726DFA"/>
    <w:rsid w:val="0073016B"/>
    <w:rsid w:val="0073031A"/>
    <w:rsid w:val="0073047B"/>
    <w:rsid w:val="00730E89"/>
    <w:rsid w:val="0073129C"/>
    <w:rsid w:val="00732205"/>
    <w:rsid w:val="0073234B"/>
    <w:rsid w:val="00732489"/>
    <w:rsid w:val="007324CE"/>
    <w:rsid w:val="00733638"/>
    <w:rsid w:val="00733D54"/>
    <w:rsid w:val="00733EE1"/>
    <w:rsid w:val="007342BC"/>
    <w:rsid w:val="0073488E"/>
    <w:rsid w:val="00736A4F"/>
    <w:rsid w:val="00736F18"/>
    <w:rsid w:val="00737383"/>
    <w:rsid w:val="00737430"/>
    <w:rsid w:val="00737690"/>
    <w:rsid w:val="00737753"/>
    <w:rsid w:val="00740CE9"/>
    <w:rsid w:val="00741B06"/>
    <w:rsid w:val="007428E3"/>
    <w:rsid w:val="00742CBB"/>
    <w:rsid w:val="007431E9"/>
    <w:rsid w:val="0074390A"/>
    <w:rsid w:val="0074394E"/>
    <w:rsid w:val="00743AE6"/>
    <w:rsid w:val="00743BA0"/>
    <w:rsid w:val="00743C07"/>
    <w:rsid w:val="0074420C"/>
    <w:rsid w:val="007443FC"/>
    <w:rsid w:val="00744A05"/>
    <w:rsid w:val="00744B45"/>
    <w:rsid w:val="007451ED"/>
    <w:rsid w:val="007456FA"/>
    <w:rsid w:val="007458D2"/>
    <w:rsid w:val="007459D6"/>
    <w:rsid w:val="00745C20"/>
    <w:rsid w:val="0074626A"/>
    <w:rsid w:val="00746FD3"/>
    <w:rsid w:val="007474FC"/>
    <w:rsid w:val="007475FC"/>
    <w:rsid w:val="007478D6"/>
    <w:rsid w:val="00750AAC"/>
    <w:rsid w:val="00750D0A"/>
    <w:rsid w:val="00750FF1"/>
    <w:rsid w:val="0075178A"/>
    <w:rsid w:val="00751A62"/>
    <w:rsid w:val="00751D93"/>
    <w:rsid w:val="00752300"/>
    <w:rsid w:val="007525C0"/>
    <w:rsid w:val="00752902"/>
    <w:rsid w:val="00752F02"/>
    <w:rsid w:val="007533A7"/>
    <w:rsid w:val="00753C01"/>
    <w:rsid w:val="00753C20"/>
    <w:rsid w:val="00754197"/>
    <w:rsid w:val="007546F8"/>
    <w:rsid w:val="00754715"/>
    <w:rsid w:val="00754989"/>
    <w:rsid w:val="00754E6F"/>
    <w:rsid w:val="00755898"/>
    <w:rsid w:val="00755AD2"/>
    <w:rsid w:val="00755BAB"/>
    <w:rsid w:val="00755E12"/>
    <w:rsid w:val="007560C0"/>
    <w:rsid w:val="00756510"/>
    <w:rsid w:val="00756817"/>
    <w:rsid w:val="0075695E"/>
    <w:rsid w:val="00756D2A"/>
    <w:rsid w:val="007570B1"/>
    <w:rsid w:val="00757604"/>
    <w:rsid w:val="00757A6F"/>
    <w:rsid w:val="00757DCC"/>
    <w:rsid w:val="007600E6"/>
    <w:rsid w:val="007607F0"/>
    <w:rsid w:val="0076080E"/>
    <w:rsid w:val="00760FFC"/>
    <w:rsid w:val="00761650"/>
    <w:rsid w:val="00761D73"/>
    <w:rsid w:val="00761E1F"/>
    <w:rsid w:val="00762C49"/>
    <w:rsid w:val="00762E8D"/>
    <w:rsid w:val="007635BD"/>
    <w:rsid w:val="0076379B"/>
    <w:rsid w:val="00763DD3"/>
    <w:rsid w:val="0076411D"/>
    <w:rsid w:val="007641B3"/>
    <w:rsid w:val="0076460E"/>
    <w:rsid w:val="0076487B"/>
    <w:rsid w:val="00764D48"/>
    <w:rsid w:val="0076578D"/>
    <w:rsid w:val="00765F97"/>
    <w:rsid w:val="00766401"/>
    <w:rsid w:val="0076685E"/>
    <w:rsid w:val="00766A5D"/>
    <w:rsid w:val="00766AA7"/>
    <w:rsid w:val="00766AD2"/>
    <w:rsid w:val="00766F7D"/>
    <w:rsid w:val="007670F8"/>
    <w:rsid w:val="0076719D"/>
    <w:rsid w:val="007671D4"/>
    <w:rsid w:val="0076765F"/>
    <w:rsid w:val="0076776E"/>
    <w:rsid w:val="007678AA"/>
    <w:rsid w:val="00767A09"/>
    <w:rsid w:val="00767BBF"/>
    <w:rsid w:val="00770845"/>
    <w:rsid w:val="00770A85"/>
    <w:rsid w:val="00771151"/>
    <w:rsid w:val="00771BE2"/>
    <w:rsid w:val="00771D6C"/>
    <w:rsid w:val="0077221E"/>
    <w:rsid w:val="00772DD2"/>
    <w:rsid w:val="0077377C"/>
    <w:rsid w:val="00773DC9"/>
    <w:rsid w:val="0077428C"/>
    <w:rsid w:val="007742BA"/>
    <w:rsid w:val="007743A9"/>
    <w:rsid w:val="00775274"/>
    <w:rsid w:val="0077564B"/>
    <w:rsid w:val="0077572E"/>
    <w:rsid w:val="007757F7"/>
    <w:rsid w:val="00775951"/>
    <w:rsid w:val="007762E4"/>
    <w:rsid w:val="0077660D"/>
    <w:rsid w:val="00776AF0"/>
    <w:rsid w:val="0077730A"/>
    <w:rsid w:val="0078031B"/>
    <w:rsid w:val="00780A38"/>
    <w:rsid w:val="00780BE9"/>
    <w:rsid w:val="0078181F"/>
    <w:rsid w:val="00781A9B"/>
    <w:rsid w:val="00782503"/>
    <w:rsid w:val="00782C4E"/>
    <w:rsid w:val="00783630"/>
    <w:rsid w:val="007838D8"/>
    <w:rsid w:val="007839CB"/>
    <w:rsid w:val="00783CF4"/>
    <w:rsid w:val="00784322"/>
    <w:rsid w:val="007843E0"/>
    <w:rsid w:val="00784F44"/>
    <w:rsid w:val="00785048"/>
    <w:rsid w:val="00785870"/>
    <w:rsid w:val="00785C3F"/>
    <w:rsid w:val="00786672"/>
    <w:rsid w:val="00786DB4"/>
    <w:rsid w:val="007872CF"/>
    <w:rsid w:val="007874B7"/>
    <w:rsid w:val="00787579"/>
    <w:rsid w:val="00790017"/>
    <w:rsid w:val="00790561"/>
    <w:rsid w:val="00790B82"/>
    <w:rsid w:val="00790E07"/>
    <w:rsid w:val="00791014"/>
    <w:rsid w:val="00791045"/>
    <w:rsid w:val="007912D8"/>
    <w:rsid w:val="00791847"/>
    <w:rsid w:val="00791C22"/>
    <w:rsid w:val="0079201C"/>
    <w:rsid w:val="0079246B"/>
    <w:rsid w:val="00792DAC"/>
    <w:rsid w:val="00792E45"/>
    <w:rsid w:val="0079307F"/>
    <w:rsid w:val="0079359F"/>
    <w:rsid w:val="007940C5"/>
    <w:rsid w:val="00794106"/>
    <w:rsid w:val="007947C4"/>
    <w:rsid w:val="00794EF2"/>
    <w:rsid w:val="007957B6"/>
    <w:rsid w:val="00795CE1"/>
    <w:rsid w:val="00796B8F"/>
    <w:rsid w:val="00796EBC"/>
    <w:rsid w:val="0079731C"/>
    <w:rsid w:val="007977A2"/>
    <w:rsid w:val="007979CA"/>
    <w:rsid w:val="00797A22"/>
    <w:rsid w:val="00797AAB"/>
    <w:rsid w:val="007A0533"/>
    <w:rsid w:val="007A06AC"/>
    <w:rsid w:val="007A06D1"/>
    <w:rsid w:val="007A0D8A"/>
    <w:rsid w:val="007A0E2C"/>
    <w:rsid w:val="007A18AE"/>
    <w:rsid w:val="007A20BA"/>
    <w:rsid w:val="007A25C5"/>
    <w:rsid w:val="007A267A"/>
    <w:rsid w:val="007A2774"/>
    <w:rsid w:val="007A2C72"/>
    <w:rsid w:val="007A313F"/>
    <w:rsid w:val="007A3220"/>
    <w:rsid w:val="007A3391"/>
    <w:rsid w:val="007A34FD"/>
    <w:rsid w:val="007A3C85"/>
    <w:rsid w:val="007A442F"/>
    <w:rsid w:val="007A465B"/>
    <w:rsid w:val="007A4A24"/>
    <w:rsid w:val="007A4B17"/>
    <w:rsid w:val="007A4DC8"/>
    <w:rsid w:val="007A552B"/>
    <w:rsid w:val="007A5CD0"/>
    <w:rsid w:val="007A683D"/>
    <w:rsid w:val="007A6D47"/>
    <w:rsid w:val="007A730B"/>
    <w:rsid w:val="007A7710"/>
    <w:rsid w:val="007B029A"/>
    <w:rsid w:val="007B0741"/>
    <w:rsid w:val="007B09C6"/>
    <w:rsid w:val="007B0F2C"/>
    <w:rsid w:val="007B1014"/>
    <w:rsid w:val="007B103F"/>
    <w:rsid w:val="007B10F0"/>
    <w:rsid w:val="007B1484"/>
    <w:rsid w:val="007B1A10"/>
    <w:rsid w:val="007B224E"/>
    <w:rsid w:val="007B230E"/>
    <w:rsid w:val="007B2EAC"/>
    <w:rsid w:val="007B2EC0"/>
    <w:rsid w:val="007B33A5"/>
    <w:rsid w:val="007B3894"/>
    <w:rsid w:val="007B3BA1"/>
    <w:rsid w:val="007B3CAE"/>
    <w:rsid w:val="007B4482"/>
    <w:rsid w:val="007B4532"/>
    <w:rsid w:val="007B477A"/>
    <w:rsid w:val="007B4903"/>
    <w:rsid w:val="007B4E79"/>
    <w:rsid w:val="007B566A"/>
    <w:rsid w:val="007B58E2"/>
    <w:rsid w:val="007B5AEB"/>
    <w:rsid w:val="007B5B9D"/>
    <w:rsid w:val="007B5CBC"/>
    <w:rsid w:val="007B5DBB"/>
    <w:rsid w:val="007B6009"/>
    <w:rsid w:val="007B663C"/>
    <w:rsid w:val="007B6659"/>
    <w:rsid w:val="007B6B2F"/>
    <w:rsid w:val="007B7419"/>
    <w:rsid w:val="007B751D"/>
    <w:rsid w:val="007B76AB"/>
    <w:rsid w:val="007B7BC6"/>
    <w:rsid w:val="007B7CFB"/>
    <w:rsid w:val="007B7DBD"/>
    <w:rsid w:val="007C0198"/>
    <w:rsid w:val="007C0617"/>
    <w:rsid w:val="007C07E9"/>
    <w:rsid w:val="007C084E"/>
    <w:rsid w:val="007C0C52"/>
    <w:rsid w:val="007C0C7A"/>
    <w:rsid w:val="007C0CF9"/>
    <w:rsid w:val="007C0F97"/>
    <w:rsid w:val="007C1014"/>
    <w:rsid w:val="007C14CC"/>
    <w:rsid w:val="007C16EE"/>
    <w:rsid w:val="007C20A0"/>
    <w:rsid w:val="007C20EA"/>
    <w:rsid w:val="007C287C"/>
    <w:rsid w:val="007C291E"/>
    <w:rsid w:val="007C2B8A"/>
    <w:rsid w:val="007C2F3C"/>
    <w:rsid w:val="007C3CDE"/>
    <w:rsid w:val="007C45D3"/>
    <w:rsid w:val="007C4F36"/>
    <w:rsid w:val="007C597B"/>
    <w:rsid w:val="007C59E3"/>
    <w:rsid w:val="007C63B1"/>
    <w:rsid w:val="007C6524"/>
    <w:rsid w:val="007C7494"/>
    <w:rsid w:val="007C74DF"/>
    <w:rsid w:val="007C760C"/>
    <w:rsid w:val="007C76F2"/>
    <w:rsid w:val="007C7712"/>
    <w:rsid w:val="007C79C9"/>
    <w:rsid w:val="007C7DD6"/>
    <w:rsid w:val="007D0194"/>
    <w:rsid w:val="007D01E6"/>
    <w:rsid w:val="007D067D"/>
    <w:rsid w:val="007D08FD"/>
    <w:rsid w:val="007D094D"/>
    <w:rsid w:val="007D0BD3"/>
    <w:rsid w:val="007D0F37"/>
    <w:rsid w:val="007D116C"/>
    <w:rsid w:val="007D12A1"/>
    <w:rsid w:val="007D12E4"/>
    <w:rsid w:val="007D1550"/>
    <w:rsid w:val="007D1584"/>
    <w:rsid w:val="007D1BBA"/>
    <w:rsid w:val="007D1E79"/>
    <w:rsid w:val="007D1EBF"/>
    <w:rsid w:val="007D2044"/>
    <w:rsid w:val="007D2048"/>
    <w:rsid w:val="007D2348"/>
    <w:rsid w:val="007D243B"/>
    <w:rsid w:val="007D2854"/>
    <w:rsid w:val="007D308A"/>
    <w:rsid w:val="007D3107"/>
    <w:rsid w:val="007D34B1"/>
    <w:rsid w:val="007D36B4"/>
    <w:rsid w:val="007D375E"/>
    <w:rsid w:val="007D3C85"/>
    <w:rsid w:val="007D3D08"/>
    <w:rsid w:val="007D3E6C"/>
    <w:rsid w:val="007D41A4"/>
    <w:rsid w:val="007D4264"/>
    <w:rsid w:val="007D441F"/>
    <w:rsid w:val="007D45A9"/>
    <w:rsid w:val="007D4D9B"/>
    <w:rsid w:val="007D4F33"/>
    <w:rsid w:val="007D4F51"/>
    <w:rsid w:val="007D5189"/>
    <w:rsid w:val="007D540C"/>
    <w:rsid w:val="007D5673"/>
    <w:rsid w:val="007D591D"/>
    <w:rsid w:val="007D592F"/>
    <w:rsid w:val="007D59B2"/>
    <w:rsid w:val="007D5E16"/>
    <w:rsid w:val="007D63F4"/>
    <w:rsid w:val="007D65C7"/>
    <w:rsid w:val="007D70CC"/>
    <w:rsid w:val="007D73FA"/>
    <w:rsid w:val="007D7437"/>
    <w:rsid w:val="007D74D2"/>
    <w:rsid w:val="007D75CC"/>
    <w:rsid w:val="007D79B5"/>
    <w:rsid w:val="007E0267"/>
    <w:rsid w:val="007E0340"/>
    <w:rsid w:val="007E0393"/>
    <w:rsid w:val="007E0415"/>
    <w:rsid w:val="007E04D9"/>
    <w:rsid w:val="007E05ED"/>
    <w:rsid w:val="007E0730"/>
    <w:rsid w:val="007E0964"/>
    <w:rsid w:val="007E0C99"/>
    <w:rsid w:val="007E0D8E"/>
    <w:rsid w:val="007E1812"/>
    <w:rsid w:val="007E202C"/>
    <w:rsid w:val="007E2334"/>
    <w:rsid w:val="007E23CE"/>
    <w:rsid w:val="007E2451"/>
    <w:rsid w:val="007E2B96"/>
    <w:rsid w:val="007E2CE7"/>
    <w:rsid w:val="007E4232"/>
    <w:rsid w:val="007E43D0"/>
    <w:rsid w:val="007E4B80"/>
    <w:rsid w:val="007E4F00"/>
    <w:rsid w:val="007E51C3"/>
    <w:rsid w:val="007E5223"/>
    <w:rsid w:val="007E54F8"/>
    <w:rsid w:val="007E5589"/>
    <w:rsid w:val="007E5600"/>
    <w:rsid w:val="007E581A"/>
    <w:rsid w:val="007E5987"/>
    <w:rsid w:val="007E5B9E"/>
    <w:rsid w:val="007E5BD8"/>
    <w:rsid w:val="007E5E81"/>
    <w:rsid w:val="007E65E9"/>
    <w:rsid w:val="007E66A3"/>
    <w:rsid w:val="007E6845"/>
    <w:rsid w:val="007E6E35"/>
    <w:rsid w:val="007E708F"/>
    <w:rsid w:val="007E77B5"/>
    <w:rsid w:val="007E7918"/>
    <w:rsid w:val="007E7BF9"/>
    <w:rsid w:val="007E7F67"/>
    <w:rsid w:val="007E7FE3"/>
    <w:rsid w:val="007F02BC"/>
    <w:rsid w:val="007F052F"/>
    <w:rsid w:val="007F135C"/>
    <w:rsid w:val="007F1682"/>
    <w:rsid w:val="007F1B30"/>
    <w:rsid w:val="007F1D17"/>
    <w:rsid w:val="007F2C2E"/>
    <w:rsid w:val="007F2DCA"/>
    <w:rsid w:val="007F2E65"/>
    <w:rsid w:val="007F33F5"/>
    <w:rsid w:val="007F3576"/>
    <w:rsid w:val="007F36AB"/>
    <w:rsid w:val="007F37D3"/>
    <w:rsid w:val="007F3C55"/>
    <w:rsid w:val="007F3CC0"/>
    <w:rsid w:val="007F3F55"/>
    <w:rsid w:val="007F4116"/>
    <w:rsid w:val="007F43BA"/>
    <w:rsid w:val="007F45D1"/>
    <w:rsid w:val="007F4783"/>
    <w:rsid w:val="007F51B3"/>
    <w:rsid w:val="007F5338"/>
    <w:rsid w:val="007F552B"/>
    <w:rsid w:val="007F64BE"/>
    <w:rsid w:val="007F6C37"/>
    <w:rsid w:val="007F6DC3"/>
    <w:rsid w:val="007F72D7"/>
    <w:rsid w:val="007F73FD"/>
    <w:rsid w:val="007F791C"/>
    <w:rsid w:val="007F7975"/>
    <w:rsid w:val="007F7C38"/>
    <w:rsid w:val="007F7D9D"/>
    <w:rsid w:val="008006B4"/>
    <w:rsid w:val="00801313"/>
    <w:rsid w:val="008015B6"/>
    <w:rsid w:val="0080201A"/>
    <w:rsid w:val="008021A2"/>
    <w:rsid w:val="00802817"/>
    <w:rsid w:val="00802A13"/>
    <w:rsid w:val="00803C6B"/>
    <w:rsid w:val="00803F0D"/>
    <w:rsid w:val="00803FD4"/>
    <w:rsid w:val="00804071"/>
    <w:rsid w:val="008042E3"/>
    <w:rsid w:val="0080481C"/>
    <w:rsid w:val="00804993"/>
    <w:rsid w:val="00804C54"/>
    <w:rsid w:val="00804E46"/>
    <w:rsid w:val="00804ED4"/>
    <w:rsid w:val="00805174"/>
    <w:rsid w:val="008052CE"/>
    <w:rsid w:val="008052F7"/>
    <w:rsid w:val="008056DD"/>
    <w:rsid w:val="00805A0A"/>
    <w:rsid w:val="00805A42"/>
    <w:rsid w:val="0080617F"/>
    <w:rsid w:val="00806284"/>
    <w:rsid w:val="00806966"/>
    <w:rsid w:val="00806C39"/>
    <w:rsid w:val="008105D1"/>
    <w:rsid w:val="00810799"/>
    <w:rsid w:val="008108EE"/>
    <w:rsid w:val="00810AC5"/>
    <w:rsid w:val="00810AD3"/>
    <w:rsid w:val="00810B40"/>
    <w:rsid w:val="0081104C"/>
    <w:rsid w:val="0081173C"/>
    <w:rsid w:val="00811DC8"/>
    <w:rsid w:val="00811E0F"/>
    <w:rsid w:val="00812026"/>
    <w:rsid w:val="008122BB"/>
    <w:rsid w:val="0081249E"/>
    <w:rsid w:val="0081269D"/>
    <w:rsid w:val="008129D3"/>
    <w:rsid w:val="00812D16"/>
    <w:rsid w:val="00812D40"/>
    <w:rsid w:val="00812FE0"/>
    <w:rsid w:val="00812FE3"/>
    <w:rsid w:val="00813B6B"/>
    <w:rsid w:val="00813C22"/>
    <w:rsid w:val="00813E80"/>
    <w:rsid w:val="00814F1A"/>
    <w:rsid w:val="0081570A"/>
    <w:rsid w:val="00815FC8"/>
    <w:rsid w:val="008162A9"/>
    <w:rsid w:val="008163A7"/>
    <w:rsid w:val="00816C65"/>
    <w:rsid w:val="008171B3"/>
    <w:rsid w:val="00817464"/>
    <w:rsid w:val="0081746F"/>
    <w:rsid w:val="00817E7E"/>
    <w:rsid w:val="00817ECF"/>
    <w:rsid w:val="008208A6"/>
    <w:rsid w:val="008212B6"/>
    <w:rsid w:val="00821640"/>
    <w:rsid w:val="00821865"/>
    <w:rsid w:val="00821A9C"/>
    <w:rsid w:val="00821DE9"/>
    <w:rsid w:val="0082206B"/>
    <w:rsid w:val="00822576"/>
    <w:rsid w:val="00822BA0"/>
    <w:rsid w:val="00822F66"/>
    <w:rsid w:val="0082305F"/>
    <w:rsid w:val="0082326A"/>
    <w:rsid w:val="0082327D"/>
    <w:rsid w:val="0082346B"/>
    <w:rsid w:val="008234B6"/>
    <w:rsid w:val="00823737"/>
    <w:rsid w:val="00823AC4"/>
    <w:rsid w:val="0082433D"/>
    <w:rsid w:val="008248FB"/>
    <w:rsid w:val="00824941"/>
    <w:rsid w:val="00824C0E"/>
    <w:rsid w:val="008250D5"/>
    <w:rsid w:val="00825CD2"/>
    <w:rsid w:val="00825E51"/>
    <w:rsid w:val="00826105"/>
    <w:rsid w:val="00826387"/>
    <w:rsid w:val="00826509"/>
    <w:rsid w:val="0082670E"/>
    <w:rsid w:val="00827045"/>
    <w:rsid w:val="008273E0"/>
    <w:rsid w:val="008275D4"/>
    <w:rsid w:val="00827EB7"/>
    <w:rsid w:val="008305C2"/>
    <w:rsid w:val="00831984"/>
    <w:rsid w:val="008329F9"/>
    <w:rsid w:val="008333AA"/>
    <w:rsid w:val="0083354D"/>
    <w:rsid w:val="00833738"/>
    <w:rsid w:val="0083475B"/>
    <w:rsid w:val="00834AFE"/>
    <w:rsid w:val="00834B61"/>
    <w:rsid w:val="00834FBD"/>
    <w:rsid w:val="008353AD"/>
    <w:rsid w:val="0083561B"/>
    <w:rsid w:val="00835D57"/>
    <w:rsid w:val="00836787"/>
    <w:rsid w:val="008368EA"/>
    <w:rsid w:val="00836A5A"/>
    <w:rsid w:val="00836D81"/>
    <w:rsid w:val="0083727A"/>
    <w:rsid w:val="008372D0"/>
    <w:rsid w:val="008373A5"/>
    <w:rsid w:val="0083776E"/>
    <w:rsid w:val="00837D78"/>
    <w:rsid w:val="0084031C"/>
    <w:rsid w:val="008409C8"/>
    <w:rsid w:val="00840D79"/>
    <w:rsid w:val="008413E3"/>
    <w:rsid w:val="0084161E"/>
    <w:rsid w:val="008417B5"/>
    <w:rsid w:val="00841975"/>
    <w:rsid w:val="008420A6"/>
    <w:rsid w:val="00842209"/>
    <w:rsid w:val="00842335"/>
    <w:rsid w:val="008423EB"/>
    <w:rsid w:val="008425C1"/>
    <w:rsid w:val="008426D2"/>
    <w:rsid w:val="00842A21"/>
    <w:rsid w:val="00842EFA"/>
    <w:rsid w:val="0084367B"/>
    <w:rsid w:val="0084409C"/>
    <w:rsid w:val="008442D0"/>
    <w:rsid w:val="008443BE"/>
    <w:rsid w:val="0084456B"/>
    <w:rsid w:val="00844A18"/>
    <w:rsid w:val="00844B13"/>
    <w:rsid w:val="00844C52"/>
    <w:rsid w:val="00845122"/>
    <w:rsid w:val="008453C2"/>
    <w:rsid w:val="00845523"/>
    <w:rsid w:val="00845DAD"/>
    <w:rsid w:val="0084613D"/>
    <w:rsid w:val="0084631F"/>
    <w:rsid w:val="00846590"/>
    <w:rsid w:val="00846C0B"/>
    <w:rsid w:val="00846E2F"/>
    <w:rsid w:val="008471A9"/>
    <w:rsid w:val="00847670"/>
    <w:rsid w:val="008479C3"/>
    <w:rsid w:val="00847D7E"/>
    <w:rsid w:val="00847F7B"/>
    <w:rsid w:val="0085015E"/>
    <w:rsid w:val="008502E1"/>
    <w:rsid w:val="00850569"/>
    <w:rsid w:val="00850BF5"/>
    <w:rsid w:val="008510E5"/>
    <w:rsid w:val="00851122"/>
    <w:rsid w:val="0085137F"/>
    <w:rsid w:val="00851A59"/>
    <w:rsid w:val="00852020"/>
    <w:rsid w:val="0085208E"/>
    <w:rsid w:val="00852097"/>
    <w:rsid w:val="008521DD"/>
    <w:rsid w:val="00852878"/>
    <w:rsid w:val="00852FC6"/>
    <w:rsid w:val="008537AC"/>
    <w:rsid w:val="00853822"/>
    <w:rsid w:val="0085385B"/>
    <w:rsid w:val="00853929"/>
    <w:rsid w:val="008540CC"/>
    <w:rsid w:val="00854AA0"/>
    <w:rsid w:val="00854B2F"/>
    <w:rsid w:val="008551D6"/>
    <w:rsid w:val="00855481"/>
    <w:rsid w:val="00856354"/>
    <w:rsid w:val="008568E1"/>
    <w:rsid w:val="008569CD"/>
    <w:rsid w:val="00856BE9"/>
    <w:rsid w:val="00856D1A"/>
    <w:rsid w:val="008572D8"/>
    <w:rsid w:val="008578F8"/>
    <w:rsid w:val="00857A92"/>
    <w:rsid w:val="008604C6"/>
    <w:rsid w:val="00860566"/>
    <w:rsid w:val="00860D8C"/>
    <w:rsid w:val="00860E95"/>
    <w:rsid w:val="00860F5B"/>
    <w:rsid w:val="00861052"/>
    <w:rsid w:val="0086165C"/>
    <w:rsid w:val="008616F4"/>
    <w:rsid w:val="008618EB"/>
    <w:rsid w:val="00861B26"/>
    <w:rsid w:val="00861BA5"/>
    <w:rsid w:val="00861F46"/>
    <w:rsid w:val="008622A7"/>
    <w:rsid w:val="0086266F"/>
    <w:rsid w:val="00862841"/>
    <w:rsid w:val="00862EED"/>
    <w:rsid w:val="0086346B"/>
    <w:rsid w:val="0086383A"/>
    <w:rsid w:val="00863E5C"/>
    <w:rsid w:val="008640EA"/>
    <w:rsid w:val="008643FC"/>
    <w:rsid w:val="00864757"/>
    <w:rsid w:val="008647B3"/>
    <w:rsid w:val="008649B9"/>
    <w:rsid w:val="00865349"/>
    <w:rsid w:val="00865649"/>
    <w:rsid w:val="00865AAF"/>
    <w:rsid w:val="00866B4B"/>
    <w:rsid w:val="008672D8"/>
    <w:rsid w:val="00867792"/>
    <w:rsid w:val="0086784F"/>
    <w:rsid w:val="0086793F"/>
    <w:rsid w:val="00867D1F"/>
    <w:rsid w:val="00870353"/>
    <w:rsid w:val="00870394"/>
    <w:rsid w:val="00870411"/>
    <w:rsid w:val="00870491"/>
    <w:rsid w:val="0087073B"/>
    <w:rsid w:val="0087081C"/>
    <w:rsid w:val="00871275"/>
    <w:rsid w:val="00871A1E"/>
    <w:rsid w:val="00871E9A"/>
    <w:rsid w:val="00872181"/>
    <w:rsid w:val="00872196"/>
    <w:rsid w:val="008721AC"/>
    <w:rsid w:val="00872B27"/>
    <w:rsid w:val="00872FEE"/>
    <w:rsid w:val="008730E3"/>
    <w:rsid w:val="00873521"/>
    <w:rsid w:val="0087399B"/>
    <w:rsid w:val="00874030"/>
    <w:rsid w:val="00874311"/>
    <w:rsid w:val="008746B4"/>
    <w:rsid w:val="00874CC3"/>
    <w:rsid w:val="008758FB"/>
    <w:rsid w:val="0087655A"/>
    <w:rsid w:val="0087667D"/>
    <w:rsid w:val="008766C9"/>
    <w:rsid w:val="00876C4F"/>
    <w:rsid w:val="008770D4"/>
    <w:rsid w:val="00877B15"/>
    <w:rsid w:val="00877B56"/>
    <w:rsid w:val="00877E6D"/>
    <w:rsid w:val="00880C95"/>
    <w:rsid w:val="0088127F"/>
    <w:rsid w:val="008815EF"/>
    <w:rsid w:val="00881C34"/>
    <w:rsid w:val="00882016"/>
    <w:rsid w:val="0088203B"/>
    <w:rsid w:val="008823D2"/>
    <w:rsid w:val="00883001"/>
    <w:rsid w:val="00883276"/>
    <w:rsid w:val="00883A23"/>
    <w:rsid w:val="00883BC8"/>
    <w:rsid w:val="0088413B"/>
    <w:rsid w:val="00884259"/>
    <w:rsid w:val="00884438"/>
    <w:rsid w:val="008845A3"/>
    <w:rsid w:val="0088467A"/>
    <w:rsid w:val="00885273"/>
    <w:rsid w:val="008854D5"/>
    <w:rsid w:val="00885D57"/>
    <w:rsid w:val="00885F2C"/>
    <w:rsid w:val="0088612B"/>
    <w:rsid w:val="00886386"/>
    <w:rsid w:val="0088641F"/>
    <w:rsid w:val="008866CF"/>
    <w:rsid w:val="00886A04"/>
    <w:rsid w:val="00886DD4"/>
    <w:rsid w:val="0088701C"/>
    <w:rsid w:val="00887180"/>
    <w:rsid w:val="00887D2B"/>
    <w:rsid w:val="00887D9C"/>
    <w:rsid w:val="00890D19"/>
    <w:rsid w:val="008912A5"/>
    <w:rsid w:val="00892616"/>
    <w:rsid w:val="008928A0"/>
    <w:rsid w:val="00892AA5"/>
    <w:rsid w:val="008933FF"/>
    <w:rsid w:val="00893551"/>
    <w:rsid w:val="008936DB"/>
    <w:rsid w:val="008939B7"/>
    <w:rsid w:val="008939BA"/>
    <w:rsid w:val="00893AF3"/>
    <w:rsid w:val="00893C45"/>
    <w:rsid w:val="00893D35"/>
    <w:rsid w:val="00893FFB"/>
    <w:rsid w:val="00893FFC"/>
    <w:rsid w:val="00894774"/>
    <w:rsid w:val="0089499B"/>
    <w:rsid w:val="00894ACA"/>
    <w:rsid w:val="00894B07"/>
    <w:rsid w:val="00894E6D"/>
    <w:rsid w:val="00894EC5"/>
    <w:rsid w:val="00895484"/>
    <w:rsid w:val="00895505"/>
    <w:rsid w:val="00896263"/>
    <w:rsid w:val="00896575"/>
    <w:rsid w:val="00896658"/>
    <w:rsid w:val="0089678A"/>
    <w:rsid w:val="008967B5"/>
    <w:rsid w:val="00896A8C"/>
    <w:rsid w:val="00896D49"/>
    <w:rsid w:val="0089724E"/>
    <w:rsid w:val="00897D84"/>
    <w:rsid w:val="008A03AC"/>
    <w:rsid w:val="008A05A9"/>
    <w:rsid w:val="008A07E2"/>
    <w:rsid w:val="008A13ED"/>
    <w:rsid w:val="008A190C"/>
    <w:rsid w:val="008A2A23"/>
    <w:rsid w:val="008A2B5C"/>
    <w:rsid w:val="008A2E81"/>
    <w:rsid w:val="008A2FD8"/>
    <w:rsid w:val="008A3110"/>
    <w:rsid w:val="008A345A"/>
    <w:rsid w:val="008A3660"/>
    <w:rsid w:val="008A3A29"/>
    <w:rsid w:val="008A3DB9"/>
    <w:rsid w:val="008A3DBE"/>
    <w:rsid w:val="008A4DDF"/>
    <w:rsid w:val="008A5BFE"/>
    <w:rsid w:val="008A5C62"/>
    <w:rsid w:val="008A5E04"/>
    <w:rsid w:val="008A5F4A"/>
    <w:rsid w:val="008A628C"/>
    <w:rsid w:val="008A671C"/>
    <w:rsid w:val="008A6A5C"/>
    <w:rsid w:val="008A70C2"/>
    <w:rsid w:val="008A7316"/>
    <w:rsid w:val="008A75EC"/>
    <w:rsid w:val="008A794E"/>
    <w:rsid w:val="008A79CE"/>
    <w:rsid w:val="008A7AC4"/>
    <w:rsid w:val="008B0931"/>
    <w:rsid w:val="008B0967"/>
    <w:rsid w:val="008B097A"/>
    <w:rsid w:val="008B0B8E"/>
    <w:rsid w:val="008B0CBB"/>
    <w:rsid w:val="008B1334"/>
    <w:rsid w:val="008B17D9"/>
    <w:rsid w:val="008B184A"/>
    <w:rsid w:val="008B1968"/>
    <w:rsid w:val="008B19A1"/>
    <w:rsid w:val="008B1A8E"/>
    <w:rsid w:val="008B1C39"/>
    <w:rsid w:val="008B24E4"/>
    <w:rsid w:val="008B26BC"/>
    <w:rsid w:val="008B2EE6"/>
    <w:rsid w:val="008B34B6"/>
    <w:rsid w:val="008B3767"/>
    <w:rsid w:val="008B3B3A"/>
    <w:rsid w:val="008B3D5A"/>
    <w:rsid w:val="008B415F"/>
    <w:rsid w:val="008B4DDA"/>
    <w:rsid w:val="008B500A"/>
    <w:rsid w:val="008B559D"/>
    <w:rsid w:val="008B6996"/>
    <w:rsid w:val="008B78CD"/>
    <w:rsid w:val="008B78EF"/>
    <w:rsid w:val="008C02A8"/>
    <w:rsid w:val="008C0652"/>
    <w:rsid w:val="008C070C"/>
    <w:rsid w:val="008C0FCE"/>
    <w:rsid w:val="008C1610"/>
    <w:rsid w:val="008C19C3"/>
    <w:rsid w:val="008C1AD8"/>
    <w:rsid w:val="008C1C28"/>
    <w:rsid w:val="008C2F1E"/>
    <w:rsid w:val="008C30E5"/>
    <w:rsid w:val="008C37F2"/>
    <w:rsid w:val="008C3997"/>
    <w:rsid w:val="008C3B5B"/>
    <w:rsid w:val="008C3E3B"/>
    <w:rsid w:val="008C409F"/>
    <w:rsid w:val="008C47C0"/>
    <w:rsid w:val="008C562B"/>
    <w:rsid w:val="008C59CB"/>
    <w:rsid w:val="008C5A26"/>
    <w:rsid w:val="008C5FC7"/>
    <w:rsid w:val="008C602D"/>
    <w:rsid w:val="008C6BCC"/>
    <w:rsid w:val="008C6F9D"/>
    <w:rsid w:val="008C7571"/>
    <w:rsid w:val="008C782B"/>
    <w:rsid w:val="008D0623"/>
    <w:rsid w:val="008D098D"/>
    <w:rsid w:val="008D11CD"/>
    <w:rsid w:val="008D12F2"/>
    <w:rsid w:val="008D135A"/>
    <w:rsid w:val="008D1717"/>
    <w:rsid w:val="008D2205"/>
    <w:rsid w:val="008D222E"/>
    <w:rsid w:val="008D2331"/>
    <w:rsid w:val="008D2F83"/>
    <w:rsid w:val="008D31F4"/>
    <w:rsid w:val="008D3673"/>
    <w:rsid w:val="008D36CD"/>
    <w:rsid w:val="008D3720"/>
    <w:rsid w:val="008D3CAC"/>
    <w:rsid w:val="008D4282"/>
    <w:rsid w:val="008D4322"/>
    <w:rsid w:val="008D4380"/>
    <w:rsid w:val="008D48D1"/>
    <w:rsid w:val="008D49AF"/>
    <w:rsid w:val="008D632A"/>
    <w:rsid w:val="008D6BE8"/>
    <w:rsid w:val="008D6C07"/>
    <w:rsid w:val="008D7E40"/>
    <w:rsid w:val="008D7F04"/>
    <w:rsid w:val="008E002B"/>
    <w:rsid w:val="008E073D"/>
    <w:rsid w:val="008E0FFC"/>
    <w:rsid w:val="008E10FE"/>
    <w:rsid w:val="008E2206"/>
    <w:rsid w:val="008E27EE"/>
    <w:rsid w:val="008E2E8A"/>
    <w:rsid w:val="008E38F6"/>
    <w:rsid w:val="008E41EB"/>
    <w:rsid w:val="008E429A"/>
    <w:rsid w:val="008E441D"/>
    <w:rsid w:val="008E4431"/>
    <w:rsid w:val="008E46E2"/>
    <w:rsid w:val="008E4ADD"/>
    <w:rsid w:val="008E4CB3"/>
    <w:rsid w:val="008E4E33"/>
    <w:rsid w:val="008E50A9"/>
    <w:rsid w:val="008E54D6"/>
    <w:rsid w:val="008E5963"/>
    <w:rsid w:val="008E5ADF"/>
    <w:rsid w:val="008E63BD"/>
    <w:rsid w:val="008E6849"/>
    <w:rsid w:val="008E6A33"/>
    <w:rsid w:val="008E7317"/>
    <w:rsid w:val="008E7AA8"/>
    <w:rsid w:val="008E7F0C"/>
    <w:rsid w:val="008F0A20"/>
    <w:rsid w:val="008F0EAA"/>
    <w:rsid w:val="008F1963"/>
    <w:rsid w:val="008F19D8"/>
    <w:rsid w:val="008F1F0D"/>
    <w:rsid w:val="008F23CE"/>
    <w:rsid w:val="008F25C5"/>
    <w:rsid w:val="008F27B3"/>
    <w:rsid w:val="008F28C4"/>
    <w:rsid w:val="008F2BED"/>
    <w:rsid w:val="008F2C0A"/>
    <w:rsid w:val="008F2C49"/>
    <w:rsid w:val="008F2D79"/>
    <w:rsid w:val="008F36F0"/>
    <w:rsid w:val="008F4483"/>
    <w:rsid w:val="008F4AF3"/>
    <w:rsid w:val="008F4B1A"/>
    <w:rsid w:val="008F4E55"/>
    <w:rsid w:val="008F5232"/>
    <w:rsid w:val="008F532F"/>
    <w:rsid w:val="008F5333"/>
    <w:rsid w:val="008F7154"/>
    <w:rsid w:val="008F71DC"/>
    <w:rsid w:val="008F75E4"/>
    <w:rsid w:val="008F7897"/>
    <w:rsid w:val="008F7CFF"/>
    <w:rsid w:val="008F7ED1"/>
    <w:rsid w:val="008F7F1D"/>
    <w:rsid w:val="00900B7D"/>
    <w:rsid w:val="00901C8D"/>
    <w:rsid w:val="009023A9"/>
    <w:rsid w:val="009027A4"/>
    <w:rsid w:val="00902998"/>
    <w:rsid w:val="00903451"/>
    <w:rsid w:val="00903B1D"/>
    <w:rsid w:val="00903B38"/>
    <w:rsid w:val="00903C6C"/>
    <w:rsid w:val="00903E37"/>
    <w:rsid w:val="00904890"/>
    <w:rsid w:val="00904A4D"/>
    <w:rsid w:val="00904EB1"/>
    <w:rsid w:val="009057AA"/>
    <w:rsid w:val="00905C1C"/>
    <w:rsid w:val="00905EE9"/>
    <w:rsid w:val="009065F4"/>
    <w:rsid w:val="009073D6"/>
    <w:rsid w:val="009075A7"/>
    <w:rsid w:val="009105EC"/>
    <w:rsid w:val="00910FBA"/>
    <w:rsid w:val="0091125C"/>
    <w:rsid w:val="00911274"/>
    <w:rsid w:val="00911ACC"/>
    <w:rsid w:val="00911B1F"/>
    <w:rsid w:val="00911D39"/>
    <w:rsid w:val="00911F40"/>
    <w:rsid w:val="00912013"/>
    <w:rsid w:val="00912030"/>
    <w:rsid w:val="009123B5"/>
    <w:rsid w:val="00912492"/>
    <w:rsid w:val="00912B8D"/>
    <w:rsid w:val="00912B9F"/>
    <w:rsid w:val="00913901"/>
    <w:rsid w:val="00913C88"/>
    <w:rsid w:val="0091466E"/>
    <w:rsid w:val="009147CC"/>
    <w:rsid w:val="00914F32"/>
    <w:rsid w:val="00915270"/>
    <w:rsid w:val="00915721"/>
    <w:rsid w:val="00916360"/>
    <w:rsid w:val="00916630"/>
    <w:rsid w:val="00917053"/>
    <w:rsid w:val="0091706B"/>
    <w:rsid w:val="009172A7"/>
    <w:rsid w:val="009176A9"/>
    <w:rsid w:val="00917C0F"/>
    <w:rsid w:val="009202A3"/>
    <w:rsid w:val="0092040E"/>
    <w:rsid w:val="009206E8"/>
    <w:rsid w:val="00920781"/>
    <w:rsid w:val="00920C6C"/>
    <w:rsid w:val="00920FE5"/>
    <w:rsid w:val="009210AE"/>
    <w:rsid w:val="009218E1"/>
    <w:rsid w:val="00921C6D"/>
    <w:rsid w:val="00921F2D"/>
    <w:rsid w:val="00922307"/>
    <w:rsid w:val="009227D9"/>
    <w:rsid w:val="00922839"/>
    <w:rsid w:val="00922CCE"/>
    <w:rsid w:val="00922DE1"/>
    <w:rsid w:val="00923104"/>
    <w:rsid w:val="0092362A"/>
    <w:rsid w:val="00923792"/>
    <w:rsid w:val="00923A4E"/>
    <w:rsid w:val="00923B98"/>
    <w:rsid w:val="00923C44"/>
    <w:rsid w:val="00923F25"/>
    <w:rsid w:val="00924395"/>
    <w:rsid w:val="00924580"/>
    <w:rsid w:val="00924989"/>
    <w:rsid w:val="009249FA"/>
    <w:rsid w:val="0092541F"/>
    <w:rsid w:val="00925581"/>
    <w:rsid w:val="00925744"/>
    <w:rsid w:val="00925F90"/>
    <w:rsid w:val="0092703F"/>
    <w:rsid w:val="00927228"/>
    <w:rsid w:val="00927645"/>
    <w:rsid w:val="00927791"/>
    <w:rsid w:val="009302D5"/>
    <w:rsid w:val="0093030A"/>
    <w:rsid w:val="00930607"/>
    <w:rsid w:val="009307B5"/>
    <w:rsid w:val="009309B6"/>
    <w:rsid w:val="00930D0A"/>
    <w:rsid w:val="009311CD"/>
    <w:rsid w:val="00931216"/>
    <w:rsid w:val="0093143B"/>
    <w:rsid w:val="00931638"/>
    <w:rsid w:val="0093186B"/>
    <w:rsid w:val="00931DF7"/>
    <w:rsid w:val="00931FE5"/>
    <w:rsid w:val="00932357"/>
    <w:rsid w:val="009324C4"/>
    <w:rsid w:val="009328F3"/>
    <w:rsid w:val="009329BA"/>
    <w:rsid w:val="009329EC"/>
    <w:rsid w:val="00932B39"/>
    <w:rsid w:val="00932D24"/>
    <w:rsid w:val="00932E3E"/>
    <w:rsid w:val="0093304D"/>
    <w:rsid w:val="00933788"/>
    <w:rsid w:val="00933A5C"/>
    <w:rsid w:val="009347E2"/>
    <w:rsid w:val="00934A83"/>
    <w:rsid w:val="0093503D"/>
    <w:rsid w:val="00935086"/>
    <w:rsid w:val="009350BD"/>
    <w:rsid w:val="00935646"/>
    <w:rsid w:val="0093600F"/>
    <w:rsid w:val="009364C8"/>
    <w:rsid w:val="00936939"/>
    <w:rsid w:val="00936DE0"/>
    <w:rsid w:val="00936F62"/>
    <w:rsid w:val="00937002"/>
    <w:rsid w:val="0093703F"/>
    <w:rsid w:val="0094053B"/>
    <w:rsid w:val="00940593"/>
    <w:rsid w:val="00940F21"/>
    <w:rsid w:val="0094116D"/>
    <w:rsid w:val="00941DD6"/>
    <w:rsid w:val="00942040"/>
    <w:rsid w:val="009420EE"/>
    <w:rsid w:val="0094231D"/>
    <w:rsid w:val="009423F1"/>
    <w:rsid w:val="00942473"/>
    <w:rsid w:val="0094286F"/>
    <w:rsid w:val="00942C9F"/>
    <w:rsid w:val="00942E53"/>
    <w:rsid w:val="009438F3"/>
    <w:rsid w:val="00943F75"/>
    <w:rsid w:val="00945631"/>
    <w:rsid w:val="00945B20"/>
    <w:rsid w:val="00945DF1"/>
    <w:rsid w:val="00946182"/>
    <w:rsid w:val="009466F9"/>
    <w:rsid w:val="009467B0"/>
    <w:rsid w:val="00946956"/>
    <w:rsid w:val="00947549"/>
    <w:rsid w:val="00947A8A"/>
    <w:rsid w:val="00947C3D"/>
    <w:rsid w:val="0095042F"/>
    <w:rsid w:val="009505AB"/>
    <w:rsid w:val="00950733"/>
    <w:rsid w:val="00950C56"/>
    <w:rsid w:val="0095103C"/>
    <w:rsid w:val="00951AC4"/>
    <w:rsid w:val="00951E6E"/>
    <w:rsid w:val="00951F3C"/>
    <w:rsid w:val="00951F70"/>
    <w:rsid w:val="0095225D"/>
    <w:rsid w:val="009522CD"/>
    <w:rsid w:val="00952A5A"/>
    <w:rsid w:val="00953069"/>
    <w:rsid w:val="00953ADB"/>
    <w:rsid w:val="00953FB5"/>
    <w:rsid w:val="009547DE"/>
    <w:rsid w:val="00954CA8"/>
    <w:rsid w:val="009551A1"/>
    <w:rsid w:val="00955402"/>
    <w:rsid w:val="00955424"/>
    <w:rsid w:val="00956555"/>
    <w:rsid w:val="0095663E"/>
    <w:rsid w:val="00956889"/>
    <w:rsid w:val="00956A1E"/>
    <w:rsid w:val="00956CE7"/>
    <w:rsid w:val="009572D0"/>
    <w:rsid w:val="009574F9"/>
    <w:rsid w:val="009576C4"/>
    <w:rsid w:val="0095793C"/>
    <w:rsid w:val="0095794D"/>
    <w:rsid w:val="00957C52"/>
    <w:rsid w:val="00957EFA"/>
    <w:rsid w:val="0096028B"/>
    <w:rsid w:val="0096048D"/>
    <w:rsid w:val="009604B5"/>
    <w:rsid w:val="00960533"/>
    <w:rsid w:val="0096111E"/>
    <w:rsid w:val="00961125"/>
    <w:rsid w:val="00961C34"/>
    <w:rsid w:val="00961F9E"/>
    <w:rsid w:val="009620D0"/>
    <w:rsid w:val="0096289A"/>
    <w:rsid w:val="00962B22"/>
    <w:rsid w:val="00962FDE"/>
    <w:rsid w:val="00963169"/>
    <w:rsid w:val="0096322A"/>
    <w:rsid w:val="0096327C"/>
    <w:rsid w:val="00963362"/>
    <w:rsid w:val="00963BD1"/>
    <w:rsid w:val="009644C9"/>
    <w:rsid w:val="00964C9F"/>
    <w:rsid w:val="00964D65"/>
    <w:rsid w:val="00965428"/>
    <w:rsid w:val="00965570"/>
    <w:rsid w:val="0096589A"/>
    <w:rsid w:val="00965A8E"/>
    <w:rsid w:val="00966486"/>
    <w:rsid w:val="0096648E"/>
    <w:rsid w:val="009667CC"/>
    <w:rsid w:val="00966B1F"/>
    <w:rsid w:val="00966DCC"/>
    <w:rsid w:val="00967A30"/>
    <w:rsid w:val="00967BF1"/>
    <w:rsid w:val="00967F8A"/>
    <w:rsid w:val="00967FA3"/>
    <w:rsid w:val="00970519"/>
    <w:rsid w:val="009705F8"/>
    <w:rsid w:val="0097061C"/>
    <w:rsid w:val="00970756"/>
    <w:rsid w:val="00970DF8"/>
    <w:rsid w:val="0097116E"/>
    <w:rsid w:val="00971EE4"/>
    <w:rsid w:val="0097304B"/>
    <w:rsid w:val="00973118"/>
    <w:rsid w:val="00973228"/>
    <w:rsid w:val="00973583"/>
    <w:rsid w:val="0097385A"/>
    <w:rsid w:val="009738A8"/>
    <w:rsid w:val="00974518"/>
    <w:rsid w:val="00974593"/>
    <w:rsid w:val="0097470D"/>
    <w:rsid w:val="00974770"/>
    <w:rsid w:val="009750B1"/>
    <w:rsid w:val="00975377"/>
    <w:rsid w:val="009757E2"/>
    <w:rsid w:val="009761EA"/>
    <w:rsid w:val="0097683F"/>
    <w:rsid w:val="00976C62"/>
    <w:rsid w:val="00976D38"/>
    <w:rsid w:val="009800DB"/>
    <w:rsid w:val="009807F0"/>
    <w:rsid w:val="00980FE0"/>
    <w:rsid w:val="00981F15"/>
    <w:rsid w:val="0098204C"/>
    <w:rsid w:val="009821AE"/>
    <w:rsid w:val="009822BF"/>
    <w:rsid w:val="00983A0A"/>
    <w:rsid w:val="00983DEA"/>
    <w:rsid w:val="00984626"/>
    <w:rsid w:val="00984D77"/>
    <w:rsid w:val="00984F40"/>
    <w:rsid w:val="009857AE"/>
    <w:rsid w:val="00985A31"/>
    <w:rsid w:val="0098682B"/>
    <w:rsid w:val="009868C6"/>
    <w:rsid w:val="00986DF8"/>
    <w:rsid w:val="0098764B"/>
    <w:rsid w:val="00987822"/>
    <w:rsid w:val="00990306"/>
    <w:rsid w:val="00990AAF"/>
    <w:rsid w:val="00990C3B"/>
    <w:rsid w:val="00991067"/>
    <w:rsid w:val="00991919"/>
    <w:rsid w:val="00991CC6"/>
    <w:rsid w:val="00991E41"/>
    <w:rsid w:val="00991FFE"/>
    <w:rsid w:val="00992295"/>
    <w:rsid w:val="009928B7"/>
    <w:rsid w:val="00992BB8"/>
    <w:rsid w:val="00992DC1"/>
    <w:rsid w:val="0099311E"/>
    <w:rsid w:val="009931A5"/>
    <w:rsid w:val="0099321A"/>
    <w:rsid w:val="009932EC"/>
    <w:rsid w:val="00993310"/>
    <w:rsid w:val="009934AA"/>
    <w:rsid w:val="009939D0"/>
    <w:rsid w:val="00994314"/>
    <w:rsid w:val="00994663"/>
    <w:rsid w:val="0099466E"/>
    <w:rsid w:val="00994A16"/>
    <w:rsid w:val="0099555F"/>
    <w:rsid w:val="009955AF"/>
    <w:rsid w:val="009955E8"/>
    <w:rsid w:val="00995AEE"/>
    <w:rsid w:val="00995BF4"/>
    <w:rsid w:val="009960B7"/>
    <w:rsid w:val="009960D0"/>
    <w:rsid w:val="009967A9"/>
    <w:rsid w:val="00996CB3"/>
    <w:rsid w:val="009972FE"/>
    <w:rsid w:val="00997394"/>
    <w:rsid w:val="00997668"/>
    <w:rsid w:val="00997F56"/>
    <w:rsid w:val="009A0636"/>
    <w:rsid w:val="009A09E8"/>
    <w:rsid w:val="009A0B2F"/>
    <w:rsid w:val="009A0CD0"/>
    <w:rsid w:val="009A0E01"/>
    <w:rsid w:val="009A0F9E"/>
    <w:rsid w:val="009A1064"/>
    <w:rsid w:val="009A12D7"/>
    <w:rsid w:val="009A1967"/>
    <w:rsid w:val="009A1973"/>
    <w:rsid w:val="009A2050"/>
    <w:rsid w:val="009A2073"/>
    <w:rsid w:val="009A23DF"/>
    <w:rsid w:val="009A3105"/>
    <w:rsid w:val="009A3261"/>
    <w:rsid w:val="009A331C"/>
    <w:rsid w:val="009A3B10"/>
    <w:rsid w:val="009A42A5"/>
    <w:rsid w:val="009A45BC"/>
    <w:rsid w:val="009A468F"/>
    <w:rsid w:val="009A4910"/>
    <w:rsid w:val="009A4AD2"/>
    <w:rsid w:val="009A4CD9"/>
    <w:rsid w:val="009A51E8"/>
    <w:rsid w:val="009A5291"/>
    <w:rsid w:val="009A65C2"/>
    <w:rsid w:val="009A6BCB"/>
    <w:rsid w:val="009A7130"/>
    <w:rsid w:val="009A7DCA"/>
    <w:rsid w:val="009A7DDD"/>
    <w:rsid w:val="009A7E44"/>
    <w:rsid w:val="009B0204"/>
    <w:rsid w:val="009B02E5"/>
    <w:rsid w:val="009B0395"/>
    <w:rsid w:val="009B0CC8"/>
    <w:rsid w:val="009B0ED7"/>
    <w:rsid w:val="009B0F4E"/>
    <w:rsid w:val="009B16A8"/>
    <w:rsid w:val="009B1867"/>
    <w:rsid w:val="009B1F21"/>
    <w:rsid w:val="009B2365"/>
    <w:rsid w:val="009B26CF"/>
    <w:rsid w:val="009B2C62"/>
    <w:rsid w:val="009B3448"/>
    <w:rsid w:val="009B34BB"/>
    <w:rsid w:val="009B365B"/>
    <w:rsid w:val="009B4C36"/>
    <w:rsid w:val="009B4C5A"/>
    <w:rsid w:val="009B50F3"/>
    <w:rsid w:val="009B515B"/>
    <w:rsid w:val="009B51BA"/>
    <w:rsid w:val="009B536C"/>
    <w:rsid w:val="009B5783"/>
    <w:rsid w:val="009B5D56"/>
    <w:rsid w:val="009B6496"/>
    <w:rsid w:val="009B6F27"/>
    <w:rsid w:val="009B6F8C"/>
    <w:rsid w:val="009B7217"/>
    <w:rsid w:val="009B769B"/>
    <w:rsid w:val="009C01DA"/>
    <w:rsid w:val="009C0292"/>
    <w:rsid w:val="009C1018"/>
    <w:rsid w:val="009C1197"/>
    <w:rsid w:val="009C11AF"/>
    <w:rsid w:val="009C11EE"/>
    <w:rsid w:val="009C1266"/>
    <w:rsid w:val="009C1528"/>
    <w:rsid w:val="009C1714"/>
    <w:rsid w:val="009C18C5"/>
    <w:rsid w:val="009C2014"/>
    <w:rsid w:val="009C2048"/>
    <w:rsid w:val="009C20CC"/>
    <w:rsid w:val="009C23BA"/>
    <w:rsid w:val="009C3154"/>
    <w:rsid w:val="009C3558"/>
    <w:rsid w:val="009C3B80"/>
    <w:rsid w:val="009C421D"/>
    <w:rsid w:val="009C44D6"/>
    <w:rsid w:val="009C4D2C"/>
    <w:rsid w:val="009C51EE"/>
    <w:rsid w:val="009C562E"/>
    <w:rsid w:val="009C5D4E"/>
    <w:rsid w:val="009C5F13"/>
    <w:rsid w:val="009C6343"/>
    <w:rsid w:val="009C6AC3"/>
    <w:rsid w:val="009C6CA2"/>
    <w:rsid w:val="009C6EFD"/>
    <w:rsid w:val="009C704A"/>
    <w:rsid w:val="009C7462"/>
    <w:rsid w:val="009C7531"/>
    <w:rsid w:val="009C7769"/>
    <w:rsid w:val="009C78FF"/>
    <w:rsid w:val="009C7EB9"/>
    <w:rsid w:val="009D00A6"/>
    <w:rsid w:val="009D05A5"/>
    <w:rsid w:val="009D08F3"/>
    <w:rsid w:val="009D0ADF"/>
    <w:rsid w:val="009D1881"/>
    <w:rsid w:val="009D214B"/>
    <w:rsid w:val="009D220C"/>
    <w:rsid w:val="009D221F"/>
    <w:rsid w:val="009D2D05"/>
    <w:rsid w:val="009D3293"/>
    <w:rsid w:val="009D48E2"/>
    <w:rsid w:val="009D4CF9"/>
    <w:rsid w:val="009D4E4F"/>
    <w:rsid w:val="009D6041"/>
    <w:rsid w:val="009D652E"/>
    <w:rsid w:val="009D70A5"/>
    <w:rsid w:val="009D75A6"/>
    <w:rsid w:val="009D7DEA"/>
    <w:rsid w:val="009E09F0"/>
    <w:rsid w:val="009E0E26"/>
    <w:rsid w:val="009E1289"/>
    <w:rsid w:val="009E1475"/>
    <w:rsid w:val="009E1718"/>
    <w:rsid w:val="009E19E8"/>
    <w:rsid w:val="009E1DF1"/>
    <w:rsid w:val="009E1E29"/>
    <w:rsid w:val="009E1F30"/>
    <w:rsid w:val="009E265C"/>
    <w:rsid w:val="009E2A1B"/>
    <w:rsid w:val="009E2C5C"/>
    <w:rsid w:val="009E3684"/>
    <w:rsid w:val="009E377C"/>
    <w:rsid w:val="009E389A"/>
    <w:rsid w:val="009E3EAB"/>
    <w:rsid w:val="009E411C"/>
    <w:rsid w:val="009E414A"/>
    <w:rsid w:val="009E4448"/>
    <w:rsid w:val="009E458A"/>
    <w:rsid w:val="009E4B68"/>
    <w:rsid w:val="009E4C74"/>
    <w:rsid w:val="009E4C86"/>
    <w:rsid w:val="009E4D35"/>
    <w:rsid w:val="009E5316"/>
    <w:rsid w:val="009E58A7"/>
    <w:rsid w:val="009E5A6E"/>
    <w:rsid w:val="009E5D7C"/>
    <w:rsid w:val="009E5DFC"/>
    <w:rsid w:val="009E60D6"/>
    <w:rsid w:val="009E69D8"/>
    <w:rsid w:val="009E6DD3"/>
    <w:rsid w:val="009E72C2"/>
    <w:rsid w:val="009E745A"/>
    <w:rsid w:val="009E7510"/>
    <w:rsid w:val="009E7725"/>
    <w:rsid w:val="009E7B9A"/>
    <w:rsid w:val="009F015F"/>
    <w:rsid w:val="009F020C"/>
    <w:rsid w:val="009F02D1"/>
    <w:rsid w:val="009F088C"/>
    <w:rsid w:val="009F0AB8"/>
    <w:rsid w:val="009F11E0"/>
    <w:rsid w:val="009F12A7"/>
    <w:rsid w:val="009F169A"/>
    <w:rsid w:val="009F1789"/>
    <w:rsid w:val="009F1ECA"/>
    <w:rsid w:val="009F252F"/>
    <w:rsid w:val="009F2E3B"/>
    <w:rsid w:val="009F36D2"/>
    <w:rsid w:val="009F3B6B"/>
    <w:rsid w:val="009F3E84"/>
    <w:rsid w:val="009F4249"/>
    <w:rsid w:val="009F4504"/>
    <w:rsid w:val="009F45C8"/>
    <w:rsid w:val="009F4904"/>
    <w:rsid w:val="009F502C"/>
    <w:rsid w:val="009F5287"/>
    <w:rsid w:val="009F5980"/>
    <w:rsid w:val="009F5AD4"/>
    <w:rsid w:val="009F603B"/>
    <w:rsid w:val="009F6987"/>
    <w:rsid w:val="009F6D17"/>
    <w:rsid w:val="009F6D73"/>
    <w:rsid w:val="009F720F"/>
    <w:rsid w:val="009F7297"/>
    <w:rsid w:val="009F7633"/>
    <w:rsid w:val="009F791C"/>
    <w:rsid w:val="00A008A2"/>
    <w:rsid w:val="00A010E7"/>
    <w:rsid w:val="00A01320"/>
    <w:rsid w:val="00A01799"/>
    <w:rsid w:val="00A01A17"/>
    <w:rsid w:val="00A01A60"/>
    <w:rsid w:val="00A01EF9"/>
    <w:rsid w:val="00A02210"/>
    <w:rsid w:val="00A025B3"/>
    <w:rsid w:val="00A02C2A"/>
    <w:rsid w:val="00A03541"/>
    <w:rsid w:val="00A0363B"/>
    <w:rsid w:val="00A03888"/>
    <w:rsid w:val="00A040D1"/>
    <w:rsid w:val="00A047EB"/>
    <w:rsid w:val="00A04A1C"/>
    <w:rsid w:val="00A04C19"/>
    <w:rsid w:val="00A0552F"/>
    <w:rsid w:val="00A05A9E"/>
    <w:rsid w:val="00A05B2A"/>
    <w:rsid w:val="00A05ED8"/>
    <w:rsid w:val="00A0615E"/>
    <w:rsid w:val="00A06832"/>
    <w:rsid w:val="00A069D2"/>
    <w:rsid w:val="00A06B5B"/>
    <w:rsid w:val="00A06E02"/>
    <w:rsid w:val="00A0733D"/>
    <w:rsid w:val="00A07440"/>
    <w:rsid w:val="00A0765B"/>
    <w:rsid w:val="00A076F9"/>
    <w:rsid w:val="00A0798C"/>
    <w:rsid w:val="00A07997"/>
    <w:rsid w:val="00A079AD"/>
    <w:rsid w:val="00A07D5B"/>
    <w:rsid w:val="00A07D9F"/>
    <w:rsid w:val="00A07F87"/>
    <w:rsid w:val="00A10334"/>
    <w:rsid w:val="00A10A82"/>
    <w:rsid w:val="00A10AD7"/>
    <w:rsid w:val="00A11838"/>
    <w:rsid w:val="00A118AA"/>
    <w:rsid w:val="00A11D95"/>
    <w:rsid w:val="00A12101"/>
    <w:rsid w:val="00A1237C"/>
    <w:rsid w:val="00A12456"/>
    <w:rsid w:val="00A13523"/>
    <w:rsid w:val="00A13AEA"/>
    <w:rsid w:val="00A13BE7"/>
    <w:rsid w:val="00A13C4D"/>
    <w:rsid w:val="00A142B3"/>
    <w:rsid w:val="00A15256"/>
    <w:rsid w:val="00A15604"/>
    <w:rsid w:val="00A15FE2"/>
    <w:rsid w:val="00A16162"/>
    <w:rsid w:val="00A16241"/>
    <w:rsid w:val="00A16774"/>
    <w:rsid w:val="00A17A2E"/>
    <w:rsid w:val="00A17B54"/>
    <w:rsid w:val="00A17C73"/>
    <w:rsid w:val="00A17E2A"/>
    <w:rsid w:val="00A206ED"/>
    <w:rsid w:val="00A2075D"/>
    <w:rsid w:val="00A20806"/>
    <w:rsid w:val="00A20C7F"/>
    <w:rsid w:val="00A20EEA"/>
    <w:rsid w:val="00A2129A"/>
    <w:rsid w:val="00A21733"/>
    <w:rsid w:val="00A22094"/>
    <w:rsid w:val="00A2288E"/>
    <w:rsid w:val="00A22DBA"/>
    <w:rsid w:val="00A22F28"/>
    <w:rsid w:val="00A23676"/>
    <w:rsid w:val="00A239FE"/>
    <w:rsid w:val="00A23B24"/>
    <w:rsid w:val="00A241D4"/>
    <w:rsid w:val="00A24236"/>
    <w:rsid w:val="00A247E4"/>
    <w:rsid w:val="00A24E18"/>
    <w:rsid w:val="00A25304"/>
    <w:rsid w:val="00A25947"/>
    <w:rsid w:val="00A25BFF"/>
    <w:rsid w:val="00A26434"/>
    <w:rsid w:val="00A26527"/>
    <w:rsid w:val="00A26FB4"/>
    <w:rsid w:val="00A27522"/>
    <w:rsid w:val="00A27850"/>
    <w:rsid w:val="00A27FD3"/>
    <w:rsid w:val="00A300D2"/>
    <w:rsid w:val="00A30251"/>
    <w:rsid w:val="00A30397"/>
    <w:rsid w:val="00A306AE"/>
    <w:rsid w:val="00A30A47"/>
    <w:rsid w:val="00A31720"/>
    <w:rsid w:val="00A319D5"/>
    <w:rsid w:val="00A31C86"/>
    <w:rsid w:val="00A32601"/>
    <w:rsid w:val="00A3292E"/>
    <w:rsid w:val="00A32FC4"/>
    <w:rsid w:val="00A34D0C"/>
    <w:rsid w:val="00A34D76"/>
    <w:rsid w:val="00A34F83"/>
    <w:rsid w:val="00A35275"/>
    <w:rsid w:val="00A356B2"/>
    <w:rsid w:val="00A35831"/>
    <w:rsid w:val="00A359D9"/>
    <w:rsid w:val="00A35B1C"/>
    <w:rsid w:val="00A35F85"/>
    <w:rsid w:val="00A36227"/>
    <w:rsid w:val="00A365D0"/>
    <w:rsid w:val="00A36B92"/>
    <w:rsid w:val="00A36D4B"/>
    <w:rsid w:val="00A3767C"/>
    <w:rsid w:val="00A379CA"/>
    <w:rsid w:val="00A4020C"/>
    <w:rsid w:val="00A402B8"/>
    <w:rsid w:val="00A40551"/>
    <w:rsid w:val="00A40F5D"/>
    <w:rsid w:val="00A419F8"/>
    <w:rsid w:val="00A41C06"/>
    <w:rsid w:val="00A41EB7"/>
    <w:rsid w:val="00A41FC7"/>
    <w:rsid w:val="00A42014"/>
    <w:rsid w:val="00A423C3"/>
    <w:rsid w:val="00A423D9"/>
    <w:rsid w:val="00A42740"/>
    <w:rsid w:val="00A42856"/>
    <w:rsid w:val="00A43123"/>
    <w:rsid w:val="00A443A6"/>
    <w:rsid w:val="00A445A9"/>
    <w:rsid w:val="00A45A1A"/>
    <w:rsid w:val="00A45E33"/>
    <w:rsid w:val="00A45E61"/>
    <w:rsid w:val="00A46258"/>
    <w:rsid w:val="00A462CC"/>
    <w:rsid w:val="00A4646D"/>
    <w:rsid w:val="00A4647D"/>
    <w:rsid w:val="00A464D5"/>
    <w:rsid w:val="00A465A2"/>
    <w:rsid w:val="00A46724"/>
    <w:rsid w:val="00A467A3"/>
    <w:rsid w:val="00A4717A"/>
    <w:rsid w:val="00A474F3"/>
    <w:rsid w:val="00A477CE"/>
    <w:rsid w:val="00A47B26"/>
    <w:rsid w:val="00A47E3E"/>
    <w:rsid w:val="00A47F32"/>
    <w:rsid w:val="00A50681"/>
    <w:rsid w:val="00A5144C"/>
    <w:rsid w:val="00A5176E"/>
    <w:rsid w:val="00A5259B"/>
    <w:rsid w:val="00A53201"/>
    <w:rsid w:val="00A53220"/>
    <w:rsid w:val="00A535AD"/>
    <w:rsid w:val="00A53704"/>
    <w:rsid w:val="00A538E6"/>
    <w:rsid w:val="00A54423"/>
    <w:rsid w:val="00A547B5"/>
    <w:rsid w:val="00A54FFD"/>
    <w:rsid w:val="00A55432"/>
    <w:rsid w:val="00A55C5D"/>
    <w:rsid w:val="00A55E8F"/>
    <w:rsid w:val="00A56082"/>
    <w:rsid w:val="00A56102"/>
    <w:rsid w:val="00A5675C"/>
    <w:rsid w:val="00A56800"/>
    <w:rsid w:val="00A56C2E"/>
    <w:rsid w:val="00A56D7E"/>
    <w:rsid w:val="00A56DF0"/>
    <w:rsid w:val="00A56E61"/>
    <w:rsid w:val="00A57394"/>
    <w:rsid w:val="00A573DE"/>
    <w:rsid w:val="00A57404"/>
    <w:rsid w:val="00A57494"/>
    <w:rsid w:val="00A575BD"/>
    <w:rsid w:val="00A576F0"/>
    <w:rsid w:val="00A57A30"/>
    <w:rsid w:val="00A60EEC"/>
    <w:rsid w:val="00A62141"/>
    <w:rsid w:val="00A6218B"/>
    <w:rsid w:val="00A621B4"/>
    <w:rsid w:val="00A6243B"/>
    <w:rsid w:val="00A62BA8"/>
    <w:rsid w:val="00A62FD9"/>
    <w:rsid w:val="00A6370B"/>
    <w:rsid w:val="00A63732"/>
    <w:rsid w:val="00A64215"/>
    <w:rsid w:val="00A64235"/>
    <w:rsid w:val="00A64C19"/>
    <w:rsid w:val="00A65BD9"/>
    <w:rsid w:val="00A66134"/>
    <w:rsid w:val="00A66718"/>
    <w:rsid w:val="00A66F61"/>
    <w:rsid w:val="00A6717D"/>
    <w:rsid w:val="00A702D3"/>
    <w:rsid w:val="00A70B31"/>
    <w:rsid w:val="00A70E72"/>
    <w:rsid w:val="00A70F03"/>
    <w:rsid w:val="00A716B4"/>
    <w:rsid w:val="00A71A38"/>
    <w:rsid w:val="00A71CA5"/>
    <w:rsid w:val="00A72005"/>
    <w:rsid w:val="00A725BE"/>
    <w:rsid w:val="00A727B9"/>
    <w:rsid w:val="00A7304B"/>
    <w:rsid w:val="00A7339F"/>
    <w:rsid w:val="00A735F7"/>
    <w:rsid w:val="00A73724"/>
    <w:rsid w:val="00A73A74"/>
    <w:rsid w:val="00A73CFF"/>
    <w:rsid w:val="00A74DA0"/>
    <w:rsid w:val="00A7539B"/>
    <w:rsid w:val="00A759FE"/>
    <w:rsid w:val="00A75DDB"/>
    <w:rsid w:val="00A7601D"/>
    <w:rsid w:val="00A76489"/>
    <w:rsid w:val="00A76632"/>
    <w:rsid w:val="00A76AB5"/>
    <w:rsid w:val="00A76C06"/>
    <w:rsid w:val="00A76D67"/>
    <w:rsid w:val="00A76EDB"/>
    <w:rsid w:val="00A7736E"/>
    <w:rsid w:val="00A773D5"/>
    <w:rsid w:val="00A776B8"/>
    <w:rsid w:val="00A779B5"/>
    <w:rsid w:val="00A80377"/>
    <w:rsid w:val="00A808AC"/>
    <w:rsid w:val="00A80F04"/>
    <w:rsid w:val="00A81AB6"/>
    <w:rsid w:val="00A81E38"/>
    <w:rsid w:val="00A81EB6"/>
    <w:rsid w:val="00A81F52"/>
    <w:rsid w:val="00A823C9"/>
    <w:rsid w:val="00A82F40"/>
    <w:rsid w:val="00A832A0"/>
    <w:rsid w:val="00A835EB"/>
    <w:rsid w:val="00A837FE"/>
    <w:rsid w:val="00A839C3"/>
    <w:rsid w:val="00A84560"/>
    <w:rsid w:val="00A84A12"/>
    <w:rsid w:val="00A84C95"/>
    <w:rsid w:val="00A85357"/>
    <w:rsid w:val="00A85360"/>
    <w:rsid w:val="00A85435"/>
    <w:rsid w:val="00A858A3"/>
    <w:rsid w:val="00A85B4A"/>
    <w:rsid w:val="00A85D74"/>
    <w:rsid w:val="00A85DB9"/>
    <w:rsid w:val="00A86503"/>
    <w:rsid w:val="00A87702"/>
    <w:rsid w:val="00A87722"/>
    <w:rsid w:val="00A90287"/>
    <w:rsid w:val="00A90297"/>
    <w:rsid w:val="00A902DD"/>
    <w:rsid w:val="00A90382"/>
    <w:rsid w:val="00A90674"/>
    <w:rsid w:val="00A90676"/>
    <w:rsid w:val="00A908A6"/>
    <w:rsid w:val="00A90C1F"/>
    <w:rsid w:val="00A9112F"/>
    <w:rsid w:val="00A91617"/>
    <w:rsid w:val="00A9183F"/>
    <w:rsid w:val="00A91BF8"/>
    <w:rsid w:val="00A91FDF"/>
    <w:rsid w:val="00A920AC"/>
    <w:rsid w:val="00A92A8F"/>
    <w:rsid w:val="00A93006"/>
    <w:rsid w:val="00A937E0"/>
    <w:rsid w:val="00A94286"/>
    <w:rsid w:val="00A946E2"/>
    <w:rsid w:val="00A94E88"/>
    <w:rsid w:val="00A955AE"/>
    <w:rsid w:val="00A95A7F"/>
    <w:rsid w:val="00A95A82"/>
    <w:rsid w:val="00A9611D"/>
    <w:rsid w:val="00A9642E"/>
    <w:rsid w:val="00A965C8"/>
    <w:rsid w:val="00A96F93"/>
    <w:rsid w:val="00A96FA8"/>
    <w:rsid w:val="00A9711A"/>
    <w:rsid w:val="00A9770A"/>
    <w:rsid w:val="00A97F69"/>
    <w:rsid w:val="00AA0A43"/>
    <w:rsid w:val="00AA0A6F"/>
    <w:rsid w:val="00AA0CB3"/>
    <w:rsid w:val="00AA0DD3"/>
    <w:rsid w:val="00AA0FAC"/>
    <w:rsid w:val="00AA1563"/>
    <w:rsid w:val="00AA1C07"/>
    <w:rsid w:val="00AA1C5D"/>
    <w:rsid w:val="00AA1C64"/>
    <w:rsid w:val="00AA264A"/>
    <w:rsid w:val="00AA2E6D"/>
    <w:rsid w:val="00AA3688"/>
    <w:rsid w:val="00AA3D8E"/>
    <w:rsid w:val="00AA4A6E"/>
    <w:rsid w:val="00AA504E"/>
    <w:rsid w:val="00AA5887"/>
    <w:rsid w:val="00AA5BEA"/>
    <w:rsid w:val="00AA648C"/>
    <w:rsid w:val="00AA691E"/>
    <w:rsid w:val="00AA69DA"/>
    <w:rsid w:val="00AA6C40"/>
    <w:rsid w:val="00AA77A1"/>
    <w:rsid w:val="00AB0289"/>
    <w:rsid w:val="00AB05F1"/>
    <w:rsid w:val="00AB06CF"/>
    <w:rsid w:val="00AB0925"/>
    <w:rsid w:val="00AB19F8"/>
    <w:rsid w:val="00AB1ADB"/>
    <w:rsid w:val="00AB1BD0"/>
    <w:rsid w:val="00AB22BB"/>
    <w:rsid w:val="00AB2366"/>
    <w:rsid w:val="00AB276D"/>
    <w:rsid w:val="00AB2A61"/>
    <w:rsid w:val="00AB2BF3"/>
    <w:rsid w:val="00AB33D8"/>
    <w:rsid w:val="00AB3A12"/>
    <w:rsid w:val="00AB3D87"/>
    <w:rsid w:val="00AB3E31"/>
    <w:rsid w:val="00AB4121"/>
    <w:rsid w:val="00AB4682"/>
    <w:rsid w:val="00AB4977"/>
    <w:rsid w:val="00AB5A8D"/>
    <w:rsid w:val="00AB5CEC"/>
    <w:rsid w:val="00AB6443"/>
    <w:rsid w:val="00AB6642"/>
    <w:rsid w:val="00AB6A79"/>
    <w:rsid w:val="00AB6E3A"/>
    <w:rsid w:val="00AB7A32"/>
    <w:rsid w:val="00AC0532"/>
    <w:rsid w:val="00AC1604"/>
    <w:rsid w:val="00AC168B"/>
    <w:rsid w:val="00AC188B"/>
    <w:rsid w:val="00AC1DC4"/>
    <w:rsid w:val="00AC270B"/>
    <w:rsid w:val="00AC2EFE"/>
    <w:rsid w:val="00AC3710"/>
    <w:rsid w:val="00AC3930"/>
    <w:rsid w:val="00AC3A78"/>
    <w:rsid w:val="00AC3AB1"/>
    <w:rsid w:val="00AC3DA1"/>
    <w:rsid w:val="00AC4347"/>
    <w:rsid w:val="00AC4B84"/>
    <w:rsid w:val="00AC4D4A"/>
    <w:rsid w:val="00AC4E2F"/>
    <w:rsid w:val="00AC4EC3"/>
    <w:rsid w:val="00AC50BB"/>
    <w:rsid w:val="00AC5722"/>
    <w:rsid w:val="00AC5CEF"/>
    <w:rsid w:val="00AC5FF7"/>
    <w:rsid w:val="00AC6102"/>
    <w:rsid w:val="00AC6207"/>
    <w:rsid w:val="00AC679C"/>
    <w:rsid w:val="00AC68C6"/>
    <w:rsid w:val="00AC71EC"/>
    <w:rsid w:val="00AC7571"/>
    <w:rsid w:val="00AC7634"/>
    <w:rsid w:val="00AC79B8"/>
    <w:rsid w:val="00AC79C1"/>
    <w:rsid w:val="00AC7CA4"/>
    <w:rsid w:val="00AD0025"/>
    <w:rsid w:val="00AD0DF1"/>
    <w:rsid w:val="00AD0E62"/>
    <w:rsid w:val="00AD11A5"/>
    <w:rsid w:val="00AD11D9"/>
    <w:rsid w:val="00AD126F"/>
    <w:rsid w:val="00AD1C3A"/>
    <w:rsid w:val="00AD2360"/>
    <w:rsid w:val="00AD23CC"/>
    <w:rsid w:val="00AD2AEB"/>
    <w:rsid w:val="00AD2B2E"/>
    <w:rsid w:val="00AD2BEB"/>
    <w:rsid w:val="00AD2C7C"/>
    <w:rsid w:val="00AD3CC7"/>
    <w:rsid w:val="00AD3E94"/>
    <w:rsid w:val="00AD4049"/>
    <w:rsid w:val="00AD4A64"/>
    <w:rsid w:val="00AD5447"/>
    <w:rsid w:val="00AD55A5"/>
    <w:rsid w:val="00AD598F"/>
    <w:rsid w:val="00AD6D09"/>
    <w:rsid w:val="00AD7330"/>
    <w:rsid w:val="00AE02DC"/>
    <w:rsid w:val="00AE07DA"/>
    <w:rsid w:val="00AE098E"/>
    <w:rsid w:val="00AE0BBA"/>
    <w:rsid w:val="00AE0D13"/>
    <w:rsid w:val="00AE0EAA"/>
    <w:rsid w:val="00AE2291"/>
    <w:rsid w:val="00AE25C8"/>
    <w:rsid w:val="00AE2705"/>
    <w:rsid w:val="00AE2769"/>
    <w:rsid w:val="00AE2FA6"/>
    <w:rsid w:val="00AE30FE"/>
    <w:rsid w:val="00AE3253"/>
    <w:rsid w:val="00AE37B4"/>
    <w:rsid w:val="00AE3904"/>
    <w:rsid w:val="00AE3945"/>
    <w:rsid w:val="00AE3C7F"/>
    <w:rsid w:val="00AE3E69"/>
    <w:rsid w:val="00AE3E8F"/>
    <w:rsid w:val="00AE4113"/>
    <w:rsid w:val="00AE4380"/>
    <w:rsid w:val="00AE4827"/>
    <w:rsid w:val="00AE4A5E"/>
    <w:rsid w:val="00AE4AFF"/>
    <w:rsid w:val="00AE4EFC"/>
    <w:rsid w:val="00AE4F11"/>
    <w:rsid w:val="00AE548F"/>
    <w:rsid w:val="00AE5525"/>
    <w:rsid w:val="00AE5C21"/>
    <w:rsid w:val="00AE6099"/>
    <w:rsid w:val="00AE6105"/>
    <w:rsid w:val="00AE622D"/>
    <w:rsid w:val="00AE6381"/>
    <w:rsid w:val="00AE656F"/>
    <w:rsid w:val="00AE6EE3"/>
    <w:rsid w:val="00AE728B"/>
    <w:rsid w:val="00AE7824"/>
    <w:rsid w:val="00AE7D78"/>
    <w:rsid w:val="00AE7DA3"/>
    <w:rsid w:val="00AF0BD0"/>
    <w:rsid w:val="00AF1199"/>
    <w:rsid w:val="00AF1ADA"/>
    <w:rsid w:val="00AF1E75"/>
    <w:rsid w:val="00AF1F1D"/>
    <w:rsid w:val="00AF1F6F"/>
    <w:rsid w:val="00AF23E8"/>
    <w:rsid w:val="00AF3010"/>
    <w:rsid w:val="00AF3107"/>
    <w:rsid w:val="00AF3236"/>
    <w:rsid w:val="00AF3653"/>
    <w:rsid w:val="00AF3942"/>
    <w:rsid w:val="00AF3F3E"/>
    <w:rsid w:val="00AF41F6"/>
    <w:rsid w:val="00AF438E"/>
    <w:rsid w:val="00AF45CA"/>
    <w:rsid w:val="00AF4CAD"/>
    <w:rsid w:val="00AF4CCF"/>
    <w:rsid w:val="00AF4CF5"/>
    <w:rsid w:val="00AF4FAF"/>
    <w:rsid w:val="00AF510B"/>
    <w:rsid w:val="00AF5220"/>
    <w:rsid w:val="00AF5454"/>
    <w:rsid w:val="00AF5CEE"/>
    <w:rsid w:val="00AF6163"/>
    <w:rsid w:val="00AF6766"/>
    <w:rsid w:val="00AF7265"/>
    <w:rsid w:val="00AF72A9"/>
    <w:rsid w:val="00AF7506"/>
    <w:rsid w:val="00B0027B"/>
    <w:rsid w:val="00B007DD"/>
    <w:rsid w:val="00B0098A"/>
    <w:rsid w:val="00B01016"/>
    <w:rsid w:val="00B0146E"/>
    <w:rsid w:val="00B01529"/>
    <w:rsid w:val="00B0153E"/>
    <w:rsid w:val="00B01606"/>
    <w:rsid w:val="00B01B18"/>
    <w:rsid w:val="00B01E01"/>
    <w:rsid w:val="00B02160"/>
    <w:rsid w:val="00B0223C"/>
    <w:rsid w:val="00B02282"/>
    <w:rsid w:val="00B027CB"/>
    <w:rsid w:val="00B02B8B"/>
    <w:rsid w:val="00B030FD"/>
    <w:rsid w:val="00B03490"/>
    <w:rsid w:val="00B0352B"/>
    <w:rsid w:val="00B03846"/>
    <w:rsid w:val="00B04F75"/>
    <w:rsid w:val="00B054E4"/>
    <w:rsid w:val="00B05854"/>
    <w:rsid w:val="00B05927"/>
    <w:rsid w:val="00B05AEC"/>
    <w:rsid w:val="00B0604D"/>
    <w:rsid w:val="00B0623B"/>
    <w:rsid w:val="00B0693B"/>
    <w:rsid w:val="00B06A20"/>
    <w:rsid w:val="00B06EB2"/>
    <w:rsid w:val="00B073E6"/>
    <w:rsid w:val="00B074B2"/>
    <w:rsid w:val="00B074F8"/>
    <w:rsid w:val="00B07BE2"/>
    <w:rsid w:val="00B07CFA"/>
    <w:rsid w:val="00B10364"/>
    <w:rsid w:val="00B1052D"/>
    <w:rsid w:val="00B106E0"/>
    <w:rsid w:val="00B10A5E"/>
    <w:rsid w:val="00B10B27"/>
    <w:rsid w:val="00B10DCE"/>
    <w:rsid w:val="00B10E94"/>
    <w:rsid w:val="00B11804"/>
    <w:rsid w:val="00B121B0"/>
    <w:rsid w:val="00B125E3"/>
    <w:rsid w:val="00B13836"/>
    <w:rsid w:val="00B140FB"/>
    <w:rsid w:val="00B14170"/>
    <w:rsid w:val="00B1421A"/>
    <w:rsid w:val="00B14287"/>
    <w:rsid w:val="00B14527"/>
    <w:rsid w:val="00B154A2"/>
    <w:rsid w:val="00B1658D"/>
    <w:rsid w:val="00B16EB3"/>
    <w:rsid w:val="00B171E6"/>
    <w:rsid w:val="00B173E5"/>
    <w:rsid w:val="00B17C08"/>
    <w:rsid w:val="00B17FAB"/>
    <w:rsid w:val="00B201B8"/>
    <w:rsid w:val="00B20796"/>
    <w:rsid w:val="00B20C14"/>
    <w:rsid w:val="00B20DF3"/>
    <w:rsid w:val="00B21061"/>
    <w:rsid w:val="00B218BF"/>
    <w:rsid w:val="00B21A4F"/>
    <w:rsid w:val="00B228A6"/>
    <w:rsid w:val="00B22C5F"/>
    <w:rsid w:val="00B23687"/>
    <w:rsid w:val="00B23FCD"/>
    <w:rsid w:val="00B245A9"/>
    <w:rsid w:val="00B249D6"/>
    <w:rsid w:val="00B24E1C"/>
    <w:rsid w:val="00B24E23"/>
    <w:rsid w:val="00B24FE4"/>
    <w:rsid w:val="00B2546D"/>
    <w:rsid w:val="00B254C3"/>
    <w:rsid w:val="00B25710"/>
    <w:rsid w:val="00B2591C"/>
    <w:rsid w:val="00B25B1F"/>
    <w:rsid w:val="00B25BA2"/>
    <w:rsid w:val="00B260CA"/>
    <w:rsid w:val="00B26252"/>
    <w:rsid w:val="00B2627C"/>
    <w:rsid w:val="00B262FE"/>
    <w:rsid w:val="00B26E8D"/>
    <w:rsid w:val="00B270B0"/>
    <w:rsid w:val="00B27150"/>
    <w:rsid w:val="00B2754F"/>
    <w:rsid w:val="00B2763E"/>
    <w:rsid w:val="00B27B03"/>
    <w:rsid w:val="00B306C5"/>
    <w:rsid w:val="00B306E9"/>
    <w:rsid w:val="00B309E2"/>
    <w:rsid w:val="00B30E57"/>
    <w:rsid w:val="00B30F90"/>
    <w:rsid w:val="00B31337"/>
    <w:rsid w:val="00B318E2"/>
    <w:rsid w:val="00B31B62"/>
    <w:rsid w:val="00B31D9F"/>
    <w:rsid w:val="00B31EFD"/>
    <w:rsid w:val="00B32377"/>
    <w:rsid w:val="00B32462"/>
    <w:rsid w:val="00B32879"/>
    <w:rsid w:val="00B32901"/>
    <w:rsid w:val="00B32CF1"/>
    <w:rsid w:val="00B33190"/>
    <w:rsid w:val="00B331E6"/>
    <w:rsid w:val="00B3340D"/>
    <w:rsid w:val="00B33654"/>
    <w:rsid w:val="00B33711"/>
    <w:rsid w:val="00B3371D"/>
    <w:rsid w:val="00B33C69"/>
    <w:rsid w:val="00B33F1E"/>
    <w:rsid w:val="00B34889"/>
    <w:rsid w:val="00B3518A"/>
    <w:rsid w:val="00B35796"/>
    <w:rsid w:val="00B357C2"/>
    <w:rsid w:val="00B36071"/>
    <w:rsid w:val="00B3664F"/>
    <w:rsid w:val="00B36818"/>
    <w:rsid w:val="00B36D71"/>
    <w:rsid w:val="00B37045"/>
    <w:rsid w:val="00B37550"/>
    <w:rsid w:val="00B375D4"/>
    <w:rsid w:val="00B40018"/>
    <w:rsid w:val="00B40069"/>
    <w:rsid w:val="00B40199"/>
    <w:rsid w:val="00B402C6"/>
    <w:rsid w:val="00B40608"/>
    <w:rsid w:val="00B40A84"/>
    <w:rsid w:val="00B40A8E"/>
    <w:rsid w:val="00B40AFE"/>
    <w:rsid w:val="00B40BBF"/>
    <w:rsid w:val="00B412DA"/>
    <w:rsid w:val="00B41566"/>
    <w:rsid w:val="00B41A83"/>
    <w:rsid w:val="00B41AA8"/>
    <w:rsid w:val="00B41AD9"/>
    <w:rsid w:val="00B41DC1"/>
    <w:rsid w:val="00B41DEF"/>
    <w:rsid w:val="00B421C5"/>
    <w:rsid w:val="00B42395"/>
    <w:rsid w:val="00B427FF"/>
    <w:rsid w:val="00B433EE"/>
    <w:rsid w:val="00B4396E"/>
    <w:rsid w:val="00B43EEE"/>
    <w:rsid w:val="00B442FE"/>
    <w:rsid w:val="00B44664"/>
    <w:rsid w:val="00B44799"/>
    <w:rsid w:val="00B44C16"/>
    <w:rsid w:val="00B45699"/>
    <w:rsid w:val="00B4606D"/>
    <w:rsid w:val="00B46083"/>
    <w:rsid w:val="00B46EC7"/>
    <w:rsid w:val="00B47A51"/>
    <w:rsid w:val="00B47AFF"/>
    <w:rsid w:val="00B47FDA"/>
    <w:rsid w:val="00B506CD"/>
    <w:rsid w:val="00B50A27"/>
    <w:rsid w:val="00B50A91"/>
    <w:rsid w:val="00B510CD"/>
    <w:rsid w:val="00B512A7"/>
    <w:rsid w:val="00B51761"/>
    <w:rsid w:val="00B51F14"/>
    <w:rsid w:val="00B52022"/>
    <w:rsid w:val="00B520ED"/>
    <w:rsid w:val="00B52187"/>
    <w:rsid w:val="00B527D7"/>
    <w:rsid w:val="00B52801"/>
    <w:rsid w:val="00B52F03"/>
    <w:rsid w:val="00B52F7B"/>
    <w:rsid w:val="00B53E54"/>
    <w:rsid w:val="00B54475"/>
    <w:rsid w:val="00B54691"/>
    <w:rsid w:val="00B54C58"/>
    <w:rsid w:val="00B55353"/>
    <w:rsid w:val="00B55B8D"/>
    <w:rsid w:val="00B561E1"/>
    <w:rsid w:val="00B5674D"/>
    <w:rsid w:val="00B569F3"/>
    <w:rsid w:val="00B57197"/>
    <w:rsid w:val="00B575C5"/>
    <w:rsid w:val="00B575FE"/>
    <w:rsid w:val="00B57967"/>
    <w:rsid w:val="00B57DB0"/>
    <w:rsid w:val="00B6008D"/>
    <w:rsid w:val="00B60247"/>
    <w:rsid w:val="00B60CCD"/>
    <w:rsid w:val="00B60DCC"/>
    <w:rsid w:val="00B611CF"/>
    <w:rsid w:val="00B61881"/>
    <w:rsid w:val="00B61BE3"/>
    <w:rsid w:val="00B61CD5"/>
    <w:rsid w:val="00B61EF3"/>
    <w:rsid w:val="00B6236D"/>
    <w:rsid w:val="00B6281D"/>
    <w:rsid w:val="00B62854"/>
    <w:rsid w:val="00B62942"/>
    <w:rsid w:val="00B62EF1"/>
    <w:rsid w:val="00B6317D"/>
    <w:rsid w:val="00B639B8"/>
    <w:rsid w:val="00B63AB0"/>
    <w:rsid w:val="00B63C52"/>
    <w:rsid w:val="00B63DDD"/>
    <w:rsid w:val="00B640CC"/>
    <w:rsid w:val="00B64138"/>
    <w:rsid w:val="00B645B6"/>
    <w:rsid w:val="00B645D1"/>
    <w:rsid w:val="00B6487D"/>
    <w:rsid w:val="00B64AE2"/>
    <w:rsid w:val="00B64B2F"/>
    <w:rsid w:val="00B65817"/>
    <w:rsid w:val="00B65B89"/>
    <w:rsid w:val="00B65F77"/>
    <w:rsid w:val="00B66465"/>
    <w:rsid w:val="00B66469"/>
    <w:rsid w:val="00B666D3"/>
    <w:rsid w:val="00B6673B"/>
    <w:rsid w:val="00B667BF"/>
    <w:rsid w:val="00B66DED"/>
    <w:rsid w:val="00B6747C"/>
    <w:rsid w:val="00B6797D"/>
    <w:rsid w:val="00B702AB"/>
    <w:rsid w:val="00B70611"/>
    <w:rsid w:val="00B7073C"/>
    <w:rsid w:val="00B70997"/>
    <w:rsid w:val="00B70F79"/>
    <w:rsid w:val="00B71C3E"/>
    <w:rsid w:val="00B720F7"/>
    <w:rsid w:val="00B72470"/>
    <w:rsid w:val="00B72BB6"/>
    <w:rsid w:val="00B72BC9"/>
    <w:rsid w:val="00B72D4E"/>
    <w:rsid w:val="00B72E74"/>
    <w:rsid w:val="00B735B8"/>
    <w:rsid w:val="00B736CC"/>
    <w:rsid w:val="00B73793"/>
    <w:rsid w:val="00B737F5"/>
    <w:rsid w:val="00B7398F"/>
    <w:rsid w:val="00B74858"/>
    <w:rsid w:val="00B7489D"/>
    <w:rsid w:val="00B749FC"/>
    <w:rsid w:val="00B74B10"/>
    <w:rsid w:val="00B74BEF"/>
    <w:rsid w:val="00B74EC6"/>
    <w:rsid w:val="00B74FD1"/>
    <w:rsid w:val="00B750E0"/>
    <w:rsid w:val="00B752EB"/>
    <w:rsid w:val="00B757DE"/>
    <w:rsid w:val="00B75A80"/>
    <w:rsid w:val="00B75B2A"/>
    <w:rsid w:val="00B75DDB"/>
    <w:rsid w:val="00B75EA0"/>
    <w:rsid w:val="00B76A72"/>
    <w:rsid w:val="00B76B1D"/>
    <w:rsid w:val="00B76BD8"/>
    <w:rsid w:val="00B77177"/>
    <w:rsid w:val="00B774B1"/>
    <w:rsid w:val="00B77807"/>
    <w:rsid w:val="00B77BE4"/>
    <w:rsid w:val="00B77C46"/>
    <w:rsid w:val="00B80950"/>
    <w:rsid w:val="00B80E83"/>
    <w:rsid w:val="00B812BE"/>
    <w:rsid w:val="00B8174E"/>
    <w:rsid w:val="00B8228A"/>
    <w:rsid w:val="00B82964"/>
    <w:rsid w:val="00B82ED4"/>
    <w:rsid w:val="00B83BF8"/>
    <w:rsid w:val="00B84004"/>
    <w:rsid w:val="00B84F49"/>
    <w:rsid w:val="00B852AD"/>
    <w:rsid w:val="00B8553B"/>
    <w:rsid w:val="00B85907"/>
    <w:rsid w:val="00B86608"/>
    <w:rsid w:val="00B866A5"/>
    <w:rsid w:val="00B868C6"/>
    <w:rsid w:val="00B86BD3"/>
    <w:rsid w:val="00B86E5F"/>
    <w:rsid w:val="00B8709C"/>
    <w:rsid w:val="00B87847"/>
    <w:rsid w:val="00B90356"/>
    <w:rsid w:val="00B90477"/>
    <w:rsid w:val="00B9047C"/>
    <w:rsid w:val="00B907CB"/>
    <w:rsid w:val="00B90D26"/>
    <w:rsid w:val="00B90E29"/>
    <w:rsid w:val="00B9140E"/>
    <w:rsid w:val="00B91915"/>
    <w:rsid w:val="00B91BDD"/>
    <w:rsid w:val="00B920BD"/>
    <w:rsid w:val="00B92AA5"/>
    <w:rsid w:val="00B930D3"/>
    <w:rsid w:val="00B934AC"/>
    <w:rsid w:val="00B935E8"/>
    <w:rsid w:val="00B93AC6"/>
    <w:rsid w:val="00B94F08"/>
    <w:rsid w:val="00B95574"/>
    <w:rsid w:val="00B955FE"/>
    <w:rsid w:val="00B95620"/>
    <w:rsid w:val="00B959EB"/>
    <w:rsid w:val="00B95A02"/>
    <w:rsid w:val="00B95CDA"/>
    <w:rsid w:val="00B96017"/>
    <w:rsid w:val="00B962C0"/>
    <w:rsid w:val="00B96744"/>
    <w:rsid w:val="00B96D1F"/>
    <w:rsid w:val="00B97047"/>
    <w:rsid w:val="00B973E5"/>
    <w:rsid w:val="00B97889"/>
    <w:rsid w:val="00B97A17"/>
    <w:rsid w:val="00B97F85"/>
    <w:rsid w:val="00BA0A9B"/>
    <w:rsid w:val="00BA0B9F"/>
    <w:rsid w:val="00BA1205"/>
    <w:rsid w:val="00BA14AE"/>
    <w:rsid w:val="00BA193E"/>
    <w:rsid w:val="00BA21AA"/>
    <w:rsid w:val="00BA2E29"/>
    <w:rsid w:val="00BA3912"/>
    <w:rsid w:val="00BA3B8D"/>
    <w:rsid w:val="00BA40DB"/>
    <w:rsid w:val="00BA47B4"/>
    <w:rsid w:val="00BA4FB8"/>
    <w:rsid w:val="00BA5FE6"/>
    <w:rsid w:val="00BA63D8"/>
    <w:rsid w:val="00BA6419"/>
    <w:rsid w:val="00BA6550"/>
    <w:rsid w:val="00BA6A21"/>
    <w:rsid w:val="00BA755F"/>
    <w:rsid w:val="00BA7BF0"/>
    <w:rsid w:val="00BB0294"/>
    <w:rsid w:val="00BB036D"/>
    <w:rsid w:val="00BB03A7"/>
    <w:rsid w:val="00BB069E"/>
    <w:rsid w:val="00BB0D82"/>
    <w:rsid w:val="00BB10C9"/>
    <w:rsid w:val="00BB1575"/>
    <w:rsid w:val="00BB1BC5"/>
    <w:rsid w:val="00BB2050"/>
    <w:rsid w:val="00BB284A"/>
    <w:rsid w:val="00BB2874"/>
    <w:rsid w:val="00BB34ED"/>
    <w:rsid w:val="00BB3560"/>
    <w:rsid w:val="00BB3642"/>
    <w:rsid w:val="00BB37F5"/>
    <w:rsid w:val="00BB3E6E"/>
    <w:rsid w:val="00BB47A3"/>
    <w:rsid w:val="00BB4D57"/>
    <w:rsid w:val="00BB501E"/>
    <w:rsid w:val="00BB5604"/>
    <w:rsid w:val="00BB5B9D"/>
    <w:rsid w:val="00BB5DE4"/>
    <w:rsid w:val="00BB5E6A"/>
    <w:rsid w:val="00BB5F7E"/>
    <w:rsid w:val="00BB602A"/>
    <w:rsid w:val="00BB66AB"/>
    <w:rsid w:val="00BB746E"/>
    <w:rsid w:val="00BB799E"/>
    <w:rsid w:val="00BC01B3"/>
    <w:rsid w:val="00BC06C7"/>
    <w:rsid w:val="00BC0AD6"/>
    <w:rsid w:val="00BC0BA6"/>
    <w:rsid w:val="00BC122E"/>
    <w:rsid w:val="00BC13B8"/>
    <w:rsid w:val="00BC13CC"/>
    <w:rsid w:val="00BC208B"/>
    <w:rsid w:val="00BC25B5"/>
    <w:rsid w:val="00BC2D77"/>
    <w:rsid w:val="00BC2EC5"/>
    <w:rsid w:val="00BC3584"/>
    <w:rsid w:val="00BC423D"/>
    <w:rsid w:val="00BC434E"/>
    <w:rsid w:val="00BC43CC"/>
    <w:rsid w:val="00BC456F"/>
    <w:rsid w:val="00BC5374"/>
    <w:rsid w:val="00BC5A2F"/>
    <w:rsid w:val="00BC6118"/>
    <w:rsid w:val="00BC628B"/>
    <w:rsid w:val="00BC6567"/>
    <w:rsid w:val="00BC66AE"/>
    <w:rsid w:val="00BC672D"/>
    <w:rsid w:val="00BC7579"/>
    <w:rsid w:val="00BC757E"/>
    <w:rsid w:val="00BC75B3"/>
    <w:rsid w:val="00BC7BB9"/>
    <w:rsid w:val="00BD0B56"/>
    <w:rsid w:val="00BD1481"/>
    <w:rsid w:val="00BD1660"/>
    <w:rsid w:val="00BD1A98"/>
    <w:rsid w:val="00BD1CFE"/>
    <w:rsid w:val="00BD2C8E"/>
    <w:rsid w:val="00BD2FA7"/>
    <w:rsid w:val="00BD335C"/>
    <w:rsid w:val="00BD3584"/>
    <w:rsid w:val="00BD3959"/>
    <w:rsid w:val="00BD4462"/>
    <w:rsid w:val="00BD4778"/>
    <w:rsid w:val="00BD4EE7"/>
    <w:rsid w:val="00BD541C"/>
    <w:rsid w:val="00BD568F"/>
    <w:rsid w:val="00BD56E7"/>
    <w:rsid w:val="00BD59B8"/>
    <w:rsid w:val="00BD5FD6"/>
    <w:rsid w:val="00BD69D5"/>
    <w:rsid w:val="00BD7305"/>
    <w:rsid w:val="00BD7624"/>
    <w:rsid w:val="00BE00EB"/>
    <w:rsid w:val="00BE039A"/>
    <w:rsid w:val="00BE0782"/>
    <w:rsid w:val="00BE09A0"/>
    <w:rsid w:val="00BE0CB2"/>
    <w:rsid w:val="00BE1453"/>
    <w:rsid w:val="00BE23FE"/>
    <w:rsid w:val="00BE30FD"/>
    <w:rsid w:val="00BE31F5"/>
    <w:rsid w:val="00BE31FF"/>
    <w:rsid w:val="00BE3760"/>
    <w:rsid w:val="00BE4DE3"/>
    <w:rsid w:val="00BE4ED6"/>
    <w:rsid w:val="00BE54F3"/>
    <w:rsid w:val="00BE5901"/>
    <w:rsid w:val="00BE5F67"/>
    <w:rsid w:val="00BE6827"/>
    <w:rsid w:val="00BE6F6C"/>
    <w:rsid w:val="00BE70EB"/>
    <w:rsid w:val="00BE7920"/>
    <w:rsid w:val="00BE7B07"/>
    <w:rsid w:val="00BF026E"/>
    <w:rsid w:val="00BF058B"/>
    <w:rsid w:val="00BF117F"/>
    <w:rsid w:val="00BF1651"/>
    <w:rsid w:val="00BF191D"/>
    <w:rsid w:val="00BF1B8E"/>
    <w:rsid w:val="00BF1E46"/>
    <w:rsid w:val="00BF2492"/>
    <w:rsid w:val="00BF284C"/>
    <w:rsid w:val="00BF286A"/>
    <w:rsid w:val="00BF29D4"/>
    <w:rsid w:val="00BF2B92"/>
    <w:rsid w:val="00BF2BE0"/>
    <w:rsid w:val="00BF2CD1"/>
    <w:rsid w:val="00BF3312"/>
    <w:rsid w:val="00BF36A3"/>
    <w:rsid w:val="00BF4241"/>
    <w:rsid w:val="00BF459C"/>
    <w:rsid w:val="00BF4657"/>
    <w:rsid w:val="00BF482C"/>
    <w:rsid w:val="00BF4B6A"/>
    <w:rsid w:val="00BF4F8B"/>
    <w:rsid w:val="00BF511B"/>
    <w:rsid w:val="00BF5135"/>
    <w:rsid w:val="00BF542A"/>
    <w:rsid w:val="00BF54A4"/>
    <w:rsid w:val="00BF575A"/>
    <w:rsid w:val="00BF6A3A"/>
    <w:rsid w:val="00BF6BAF"/>
    <w:rsid w:val="00BF7021"/>
    <w:rsid w:val="00BF711B"/>
    <w:rsid w:val="00BF73A2"/>
    <w:rsid w:val="00BF76B6"/>
    <w:rsid w:val="00BF7DB1"/>
    <w:rsid w:val="00C00832"/>
    <w:rsid w:val="00C009F5"/>
    <w:rsid w:val="00C010B5"/>
    <w:rsid w:val="00C01129"/>
    <w:rsid w:val="00C021F7"/>
    <w:rsid w:val="00C02239"/>
    <w:rsid w:val="00C022E1"/>
    <w:rsid w:val="00C0285A"/>
    <w:rsid w:val="00C0286C"/>
    <w:rsid w:val="00C0300D"/>
    <w:rsid w:val="00C0302F"/>
    <w:rsid w:val="00C0398D"/>
    <w:rsid w:val="00C04049"/>
    <w:rsid w:val="00C04423"/>
    <w:rsid w:val="00C046AE"/>
    <w:rsid w:val="00C05BED"/>
    <w:rsid w:val="00C06D49"/>
    <w:rsid w:val="00C07212"/>
    <w:rsid w:val="00C072DE"/>
    <w:rsid w:val="00C07A89"/>
    <w:rsid w:val="00C07FEE"/>
    <w:rsid w:val="00C1092A"/>
    <w:rsid w:val="00C10D02"/>
    <w:rsid w:val="00C10EB2"/>
    <w:rsid w:val="00C110E6"/>
    <w:rsid w:val="00C1122C"/>
    <w:rsid w:val="00C1128B"/>
    <w:rsid w:val="00C11740"/>
    <w:rsid w:val="00C1194D"/>
    <w:rsid w:val="00C11956"/>
    <w:rsid w:val="00C11BB6"/>
    <w:rsid w:val="00C11E4C"/>
    <w:rsid w:val="00C122C7"/>
    <w:rsid w:val="00C122DE"/>
    <w:rsid w:val="00C1244F"/>
    <w:rsid w:val="00C1277B"/>
    <w:rsid w:val="00C12AEB"/>
    <w:rsid w:val="00C136D2"/>
    <w:rsid w:val="00C138A2"/>
    <w:rsid w:val="00C138D9"/>
    <w:rsid w:val="00C13B2C"/>
    <w:rsid w:val="00C13CD8"/>
    <w:rsid w:val="00C14552"/>
    <w:rsid w:val="00C14682"/>
    <w:rsid w:val="00C147B5"/>
    <w:rsid w:val="00C14954"/>
    <w:rsid w:val="00C14F19"/>
    <w:rsid w:val="00C160A4"/>
    <w:rsid w:val="00C16131"/>
    <w:rsid w:val="00C16506"/>
    <w:rsid w:val="00C168EE"/>
    <w:rsid w:val="00C16BE5"/>
    <w:rsid w:val="00C16D1F"/>
    <w:rsid w:val="00C1729F"/>
    <w:rsid w:val="00C1784B"/>
    <w:rsid w:val="00C179B0"/>
    <w:rsid w:val="00C17A7D"/>
    <w:rsid w:val="00C17D1C"/>
    <w:rsid w:val="00C17E44"/>
    <w:rsid w:val="00C2002D"/>
    <w:rsid w:val="00C20171"/>
    <w:rsid w:val="00C201D4"/>
    <w:rsid w:val="00C20CA6"/>
    <w:rsid w:val="00C20DAD"/>
    <w:rsid w:val="00C2151A"/>
    <w:rsid w:val="00C2164B"/>
    <w:rsid w:val="00C21948"/>
    <w:rsid w:val="00C21C34"/>
    <w:rsid w:val="00C22202"/>
    <w:rsid w:val="00C2257E"/>
    <w:rsid w:val="00C226F9"/>
    <w:rsid w:val="00C231D5"/>
    <w:rsid w:val="00C23398"/>
    <w:rsid w:val="00C233A6"/>
    <w:rsid w:val="00C23B23"/>
    <w:rsid w:val="00C242D0"/>
    <w:rsid w:val="00C246FE"/>
    <w:rsid w:val="00C24AC6"/>
    <w:rsid w:val="00C24C2E"/>
    <w:rsid w:val="00C24FCA"/>
    <w:rsid w:val="00C252DB"/>
    <w:rsid w:val="00C252DC"/>
    <w:rsid w:val="00C2567A"/>
    <w:rsid w:val="00C25AB5"/>
    <w:rsid w:val="00C25B5C"/>
    <w:rsid w:val="00C26AA5"/>
    <w:rsid w:val="00C26C22"/>
    <w:rsid w:val="00C2745C"/>
    <w:rsid w:val="00C2771F"/>
    <w:rsid w:val="00C27AB1"/>
    <w:rsid w:val="00C27B03"/>
    <w:rsid w:val="00C3089B"/>
    <w:rsid w:val="00C308CF"/>
    <w:rsid w:val="00C30F71"/>
    <w:rsid w:val="00C31F65"/>
    <w:rsid w:val="00C3253B"/>
    <w:rsid w:val="00C32F29"/>
    <w:rsid w:val="00C334C0"/>
    <w:rsid w:val="00C33622"/>
    <w:rsid w:val="00C33A99"/>
    <w:rsid w:val="00C343FD"/>
    <w:rsid w:val="00C34622"/>
    <w:rsid w:val="00C34B40"/>
    <w:rsid w:val="00C34FBA"/>
    <w:rsid w:val="00C35836"/>
    <w:rsid w:val="00C359DB"/>
    <w:rsid w:val="00C35A66"/>
    <w:rsid w:val="00C36C7C"/>
    <w:rsid w:val="00C36F64"/>
    <w:rsid w:val="00C37078"/>
    <w:rsid w:val="00C37234"/>
    <w:rsid w:val="00C37280"/>
    <w:rsid w:val="00C37ACA"/>
    <w:rsid w:val="00C400ED"/>
    <w:rsid w:val="00C405AB"/>
    <w:rsid w:val="00C4122C"/>
    <w:rsid w:val="00C4123E"/>
    <w:rsid w:val="00C41A2C"/>
    <w:rsid w:val="00C41CD3"/>
    <w:rsid w:val="00C42842"/>
    <w:rsid w:val="00C42DC9"/>
    <w:rsid w:val="00C43150"/>
    <w:rsid w:val="00C43438"/>
    <w:rsid w:val="00C43D41"/>
    <w:rsid w:val="00C43D4F"/>
    <w:rsid w:val="00C43F57"/>
    <w:rsid w:val="00C44264"/>
    <w:rsid w:val="00C4483E"/>
    <w:rsid w:val="00C455BA"/>
    <w:rsid w:val="00C458D8"/>
    <w:rsid w:val="00C45903"/>
    <w:rsid w:val="00C45EB5"/>
    <w:rsid w:val="00C46251"/>
    <w:rsid w:val="00C46F52"/>
    <w:rsid w:val="00C47104"/>
    <w:rsid w:val="00C47707"/>
    <w:rsid w:val="00C4790F"/>
    <w:rsid w:val="00C47E5C"/>
    <w:rsid w:val="00C47E7E"/>
    <w:rsid w:val="00C47EA1"/>
    <w:rsid w:val="00C47FC0"/>
    <w:rsid w:val="00C5038F"/>
    <w:rsid w:val="00C50614"/>
    <w:rsid w:val="00C5150F"/>
    <w:rsid w:val="00C519E0"/>
    <w:rsid w:val="00C51FC4"/>
    <w:rsid w:val="00C520E1"/>
    <w:rsid w:val="00C52577"/>
    <w:rsid w:val="00C52814"/>
    <w:rsid w:val="00C52822"/>
    <w:rsid w:val="00C528CC"/>
    <w:rsid w:val="00C53055"/>
    <w:rsid w:val="00C53ABD"/>
    <w:rsid w:val="00C53AD3"/>
    <w:rsid w:val="00C53C94"/>
    <w:rsid w:val="00C53F51"/>
    <w:rsid w:val="00C53F76"/>
    <w:rsid w:val="00C54311"/>
    <w:rsid w:val="00C548DF"/>
    <w:rsid w:val="00C549C7"/>
    <w:rsid w:val="00C5606E"/>
    <w:rsid w:val="00C5621E"/>
    <w:rsid w:val="00C564D7"/>
    <w:rsid w:val="00C56955"/>
    <w:rsid w:val="00C57190"/>
    <w:rsid w:val="00C57741"/>
    <w:rsid w:val="00C57C4A"/>
    <w:rsid w:val="00C603CB"/>
    <w:rsid w:val="00C6074F"/>
    <w:rsid w:val="00C60BE8"/>
    <w:rsid w:val="00C60FF8"/>
    <w:rsid w:val="00C62003"/>
    <w:rsid w:val="00C62568"/>
    <w:rsid w:val="00C62C08"/>
    <w:rsid w:val="00C6378E"/>
    <w:rsid w:val="00C63857"/>
    <w:rsid w:val="00C63874"/>
    <w:rsid w:val="00C63971"/>
    <w:rsid w:val="00C64143"/>
    <w:rsid w:val="00C6434D"/>
    <w:rsid w:val="00C647A5"/>
    <w:rsid w:val="00C65027"/>
    <w:rsid w:val="00C652E5"/>
    <w:rsid w:val="00C655A6"/>
    <w:rsid w:val="00C660EE"/>
    <w:rsid w:val="00C661F4"/>
    <w:rsid w:val="00C67446"/>
    <w:rsid w:val="00C67685"/>
    <w:rsid w:val="00C67A85"/>
    <w:rsid w:val="00C67ACA"/>
    <w:rsid w:val="00C70013"/>
    <w:rsid w:val="00C70620"/>
    <w:rsid w:val="00C70D8C"/>
    <w:rsid w:val="00C70FD8"/>
    <w:rsid w:val="00C717ED"/>
    <w:rsid w:val="00C7210C"/>
    <w:rsid w:val="00C72437"/>
    <w:rsid w:val="00C725E7"/>
    <w:rsid w:val="00C729AF"/>
    <w:rsid w:val="00C72A5F"/>
    <w:rsid w:val="00C72ED2"/>
    <w:rsid w:val="00C72FA0"/>
    <w:rsid w:val="00C7306A"/>
    <w:rsid w:val="00C731FC"/>
    <w:rsid w:val="00C735EB"/>
    <w:rsid w:val="00C73716"/>
    <w:rsid w:val="00C74597"/>
    <w:rsid w:val="00C7467E"/>
    <w:rsid w:val="00C7477D"/>
    <w:rsid w:val="00C74996"/>
    <w:rsid w:val="00C74A7A"/>
    <w:rsid w:val="00C74C90"/>
    <w:rsid w:val="00C74CBA"/>
    <w:rsid w:val="00C74FBC"/>
    <w:rsid w:val="00C7536C"/>
    <w:rsid w:val="00C75DA9"/>
    <w:rsid w:val="00C75EB2"/>
    <w:rsid w:val="00C76318"/>
    <w:rsid w:val="00C7640F"/>
    <w:rsid w:val="00C767F5"/>
    <w:rsid w:val="00C7697F"/>
    <w:rsid w:val="00C76BC3"/>
    <w:rsid w:val="00C7700B"/>
    <w:rsid w:val="00C77224"/>
    <w:rsid w:val="00C77ABF"/>
    <w:rsid w:val="00C77B21"/>
    <w:rsid w:val="00C80891"/>
    <w:rsid w:val="00C80E9B"/>
    <w:rsid w:val="00C81088"/>
    <w:rsid w:val="00C8136C"/>
    <w:rsid w:val="00C813D0"/>
    <w:rsid w:val="00C8195F"/>
    <w:rsid w:val="00C81BDF"/>
    <w:rsid w:val="00C81C1B"/>
    <w:rsid w:val="00C81E6D"/>
    <w:rsid w:val="00C8271A"/>
    <w:rsid w:val="00C82E4B"/>
    <w:rsid w:val="00C82FF0"/>
    <w:rsid w:val="00C82FFA"/>
    <w:rsid w:val="00C83CF5"/>
    <w:rsid w:val="00C84AFD"/>
    <w:rsid w:val="00C84FFB"/>
    <w:rsid w:val="00C851D6"/>
    <w:rsid w:val="00C85390"/>
    <w:rsid w:val="00C85521"/>
    <w:rsid w:val="00C8554A"/>
    <w:rsid w:val="00C85903"/>
    <w:rsid w:val="00C859C5"/>
    <w:rsid w:val="00C86110"/>
    <w:rsid w:val="00C863EE"/>
    <w:rsid w:val="00C86445"/>
    <w:rsid w:val="00C86474"/>
    <w:rsid w:val="00C8672F"/>
    <w:rsid w:val="00C86DEF"/>
    <w:rsid w:val="00C871E8"/>
    <w:rsid w:val="00C875FC"/>
    <w:rsid w:val="00C8786C"/>
    <w:rsid w:val="00C87E9E"/>
    <w:rsid w:val="00C87FE5"/>
    <w:rsid w:val="00C90251"/>
    <w:rsid w:val="00C90B4D"/>
    <w:rsid w:val="00C9111D"/>
    <w:rsid w:val="00C91A0D"/>
    <w:rsid w:val="00C91E24"/>
    <w:rsid w:val="00C91EFE"/>
    <w:rsid w:val="00C91F83"/>
    <w:rsid w:val="00C92646"/>
    <w:rsid w:val="00C9303D"/>
    <w:rsid w:val="00C9316A"/>
    <w:rsid w:val="00C93937"/>
    <w:rsid w:val="00C93A40"/>
    <w:rsid w:val="00C93B5E"/>
    <w:rsid w:val="00C9457E"/>
    <w:rsid w:val="00C9494A"/>
    <w:rsid w:val="00C94CBB"/>
    <w:rsid w:val="00C95048"/>
    <w:rsid w:val="00C950F7"/>
    <w:rsid w:val="00C95280"/>
    <w:rsid w:val="00C952EA"/>
    <w:rsid w:val="00C959DF"/>
    <w:rsid w:val="00C95D8D"/>
    <w:rsid w:val="00C96212"/>
    <w:rsid w:val="00C964A4"/>
    <w:rsid w:val="00C96647"/>
    <w:rsid w:val="00C96B7C"/>
    <w:rsid w:val="00C96CC5"/>
    <w:rsid w:val="00C97C7F"/>
    <w:rsid w:val="00CA01D6"/>
    <w:rsid w:val="00CA03BC"/>
    <w:rsid w:val="00CA0F8B"/>
    <w:rsid w:val="00CA2283"/>
    <w:rsid w:val="00CA28EB"/>
    <w:rsid w:val="00CA28FB"/>
    <w:rsid w:val="00CA2ACE"/>
    <w:rsid w:val="00CA2AEF"/>
    <w:rsid w:val="00CA2C78"/>
    <w:rsid w:val="00CA310E"/>
    <w:rsid w:val="00CA325F"/>
    <w:rsid w:val="00CA3260"/>
    <w:rsid w:val="00CA33B8"/>
    <w:rsid w:val="00CA407B"/>
    <w:rsid w:val="00CA4416"/>
    <w:rsid w:val="00CA49EF"/>
    <w:rsid w:val="00CA5453"/>
    <w:rsid w:val="00CA5792"/>
    <w:rsid w:val="00CA658E"/>
    <w:rsid w:val="00CA6817"/>
    <w:rsid w:val="00CA7E1F"/>
    <w:rsid w:val="00CB0500"/>
    <w:rsid w:val="00CB061F"/>
    <w:rsid w:val="00CB06BC"/>
    <w:rsid w:val="00CB0717"/>
    <w:rsid w:val="00CB0922"/>
    <w:rsid w:val="00CB0B55"/>
    <w:rsid w:val="00CB1582"/>
    <w:rsid w:val="00CB17DD"/>
    <w:rsid w:val="00CB1846"/>
    <w:rsid w:val="00CB184E"/>
    <w:rsid w:val="00CB18A3"/>
    <w:rsid w:val="00CB22B7"/>
    <w:rsid w:val="00CB266A"/>
    <w:rsid w:val="00CB281D"/>
    <w:rsid w:val="00CB335A"/>
    <w:rsid w:val="00CB3577"/>
    <w:rsid w:val="00CB3989"/>
    <w:rsid w:val="00CB3990"/>
    <w:rsid w:val="00CB3AD3"/>
    <w:rsid w:val="00CB48C3"/>
    <w:rsid w:val="00CB5032"/>
    <w:rsid w:val="00CB5C0D"/>
    <w:rsid w:val="00CB5E83"/>
    <w:rsid w:val="00CB6066"/>
    <w:rsid w:val="00CB6418"/>
    <w:rsid w:val="00CB6887"/>
    <w:rsid w:val="00CB6B6D"/>
    <w:rsid w:val="00CB70EE"/>
    <w:rsid w:val="00CB7328"/>
    <w:rsid w:val="00CB7840"/>
    <w:rsid w:val="00CB7DF6"/>
    <w:rsid w:val="00CB7F04"/>
    <w:rsid w:val="00CC05E3"/>
    <w:rsid w:val="00CC1694"/>
    <w:rsid w:val="00CC16A1"/>
    <w:rsid w:val="00CC1BB8"/>
    <w:rsid w:val="00CC25DD"/>
    <w:rsid w:val="00CC26FB"/>
    <w:rsid w:val="00CC2792"/>
    <w:rsid w:val="00CC292E"/>
    <w:rsid w:val="00CC2EEB"/>
    <w:rsid w:val="00CC303F"/>
    <w:rsid w:val="00CC35F5"/>
    <w:rsid w:val="00CC375D"/>
    <w:rsid w:val="00CC3C96"/>
    <w:rsid w:val="00CC4253"/>
    <w:rsid w:val="00CC464D"/>
    <w:rsid w:val="00CC4E1F"/>
    <w:rsid w:val="00CC6210"/>
    <w:rsid w:val="00CC6A99"/>
    <w:rsid w:val="00CC6BE8"/>
    <w:rsid w:val="00CC6C39"/>
    <w:rsid w:val="00CC7895"/>
    <w:rsid w:val="00CC78FC"/>
    <w:rsid w:val="00CC7A11"/>
    <w:rsid w:val="00CC7D0A"/>
    <w:rsid w:val="00CC7DF9"/>
    <w:rsid w:val="00CC7E20"/>
    <w:rsid w:val="00CD010A"/>
    <w:rsid w:val="00CD077C"/>
    <w:rsid w:val="00CD0AFB"/>
    <w:rsid w:val="00CD13E8"/>
    <w:rsid w:val="00CD13EB"/>
    <w:rsid w:val="00CD1A5A"/>
    <w:rsid w:val="00CD1B6B"/>
    <w:rsid w:val="00CD24B4"/>
    <w:rsid w:val="00CD298F"/>
    <w:rsid w:val="00CD2A14"/>
    <w:rsid w:val="00CD2A7B"/>
    <w:rsid w:val="00CD342A"/>
    <w:rsid w:val="00CD3940"/>
    <w:rsid w:val="00CD3ABB"/>
    <w:rsid w:val="00CD4107"/>
    <w:rsid w:val="00CD440D"/>
    <w:rsid w:val="00CD4778"/>
    <w:rsid w:val="00CD4FBE"/>
    <w:rsid w:val="00CD5044"/>
    <w:rsid w:val="00CD52DD"/>
    <w:rsid w:val="00CD55D3"/>
    <w:rsid w:val="00CD5EF2"/>
    <w:rsid w:val="00CD623F"/>
    <w:rsid w:val="00CD6C54"/>
    <w:rsid w:val="00CD6EC0"/>
    <w:rsid w:val="00CD708F"/>
    <w:rsid w:val="00CD710E"/>
    <w:rsid w:val="00CD7623"/>
    <w:rsid w:val="00CD7817"/>
    <w:rsid w:val="00CE0123"/>
    <w:rsid w:val="00CE022D"/>
    <w:rsid w:val="00CE0BB4"/>
    <w:rsid w:val="00CE139E"/>
    <w:rsid w:val="00CE1C1E"/>
    <w:rsid w:val="00CE1CC7"/>
    <w:rsid w:val="00CE1CE8"/>
    <w:rsid w:val="00CE1D29"/>
    <w:rsid w:val="00CE1DE7"/>
    <w:rsid w:val="00CE1E1D"/>
    <w:rsid w:val="00CE24D2"/>
    <w:rsid w:val="00CE265B"/>
    <w:rsid w:val="00CE3447"/>
    <w:rsid w:val="00CE35A0"/>
    <w:rsid w:val="00CE38C0"/>
    <w:rsid w:val="00CE3AB2"/>
    <w:rsid w:val="00CE3BF6"/>
    <w:rsid w:val="00CE57A7"/>
    <w:rsid w:val="00CE59E1"/>
    <w:rsid w:val="00CE5AF1"/>
    <w:rsid w:val="00CE6208"/>
    <w:rsid w:val="00CE6A0B"/>
    <w:rsid w:val="00CE6EF5"/>
    <w:rsid w:val="00CE76B9"/>
    <w:rsid w:val="00CE7ED9"/>
    <w:rsid w:val="00CF0950"/>
    <w:rsid w:val="00CF0A9D"/>
    <w:rsid w:val="00CF0D50"/>
    <w:rsid w:val="00CF125F"/>
    <w:rsid w:val="00CF14E4"/>
    <w:rsid w:val="00CF1602"/>
    <w:rsid w:val="00CF1D13"/>
    <w:rsid w:val="00CF1DBF"/>
    <w:rsid w:val="00CF259C"/>
    <w:rsid w:val="00CF28B4"/>
    <w:rsid w:val="00CF3B07"/>
    <w:rsid w:val="00CF3CE1"/>
    <w:rsid w:val="00CF3E1F"/>
    <w:rsid w:val="00CF4128"/>
    <w:rsid w:val="00CF4C13"/>
    <w:rsid w:val="00CF4FD8"/>
    <w:rsid w:val="00CF5482"/>
    <w:rsid w:val="00CF556B"/>
    <w:rsid w:val="00CF5A6E"/>
    <w:rsid w:val="00CF5EDD"/>
    <w:rsid w:val="00CF6384"/>
    <w:rsid w:val="00CF6698"/>
    <w:rsid w:val="00CF6902"/>
    <w:rsid w:val="00CF6F98"/>
    <w:rsid w:val="00CF7362"/>
    <w:rsid w:val="00CF7475"/>
    <w:rsid w:val="00CF7848"/>
    <w:rsid w:val="00D00016"/>
    <w:rsid w:val="00D003E7"/>
    <w:rsid w:val="00D01C04"/>
    <w:rsid w:val="00D02852"/>
    <w:rsid w:val="00D03702"/>
    <w:rsid w:val="00D0422D"/>
    <w:rsid w:val="00D04609"/>
    <w:rsid w:val="00D05293"/>
    <w:rsid w:val="00D055AE"/>
    <w:rsid w:val="00D055F2"/>
    <w:rsid w:val="00D0562F"/>
    <w:rsid w:val="00D05FAE"/>
    <w:rsid w:val="00D0621E"/>
    <w:rsid w:val="00D06BCD"/>
    <w:rsid w:val="00D06E88"/>
    <w:rsid w:val="00D06FC7"/>
    <w:rsid w:val="00D108FA"/>
    <w:rsid w:val="00D10D93"/>
    <w:rsid w:val="00D10DA2"/>
    <w:rsid w:val="00D111A8"/>
    <w:rsid w:val="00D11619"/>
    <w:rsid w:val="00D11F90"/>
    <w:rsid w:val="00D12067"/>
    <w:rsid w:val="00D12AD4"/>
    <w:rsid w:val="00D12B1C"/>
    <w:rsid w:val="00D12D80"/>
    <w:rsid w:val="00D12E25"/>
    <w:rsid w:val="00D134E2"/>
    <w:rsid w:val="00D13527"/>
    <w:rsid w:val="00D13857"/>
    <w:rsid w:val="00D14543"/>
    <w:rsid w:val="00D14742"/>
    <w:rsid w:val="00D14748"/>
    <w:rsid w:val="00D14ABA"/>
    <w:rsid w:val="00D14C0C"/>
    <w:rsid w:val="00D14D73"/>
    <w:rsid w:val="00D14ED4"/>
    <w:rsid w:val="00D15E4E"/>
    <w:rsid w:val="00D15F27"/>
    <w:rsid w:val="00D17601"/>
    <w:rsid w:val="00D17607"/>
    <w:rsid w:val="00D1779B"/>
    <w:rsid w:val="00D177BC"/>
    <w:rsid w:val="00D17BBF"/>
    <w:rsid w:val="00D17F19"/>
    <w:rsid w:val="00D20D6E"/>
    <w:rsid w:val="00D21300"/>
    <w:rsid w:val="00D215FF"/>
    <w:rsid w:val="00D22506"/>
    <w:rsid w:val="00D2269C"/>
    <w:rsid w:val="00D22F7B"/>
    <w:rsid w:val="00D230DC"/>
    <w:rsid w:val="00D233B1"/>
    <w:rsid w:val="00D2425D"/>
    <w:rsid w:val="00D24E27"/>
    <w:rsid w:val="00D25EC8"/>
    <w:rsid w:val="00D264A6"/>
    <w:rsid w:val="00D266C4"/>
    <w:rsid w:val="00D26C9A"/>
    <w:rsid w:val="00D26D57"/>
    <w:rsid w:val="00D2729C"/>
    <w:rsid w:val="00D2735D"/>
    <w:rsid w:val="00D276D3"/>
    <w:rsid w:val="00D27831"/>
    <w:rsid w:val="00D30347"/>
    <w:rsid w:val="00D303E8"/>
    <w:rsid w:val="00D30659"/>
    <w:rsid w:val="00D30AD7"/>
    <w:rsid w:val="00D30DC2"/>
    <w:rsid w:val="00D30ED3"/>
    <w:rsid w:val="00D3103F"/>
    <w:rsid w:val="00D31133"/>
    <w:rsid w:val="00D312FA"/>
    <w:rsid w:val="00D3154C"/>
    <w:rsid w:val="00D31BA6"/>
    <w:rsid w:val="00D31F2E"/>
    <w:rsid w:val="00D322D2"/>
    <w:rsid w:val="00D3288E"/>
    <w:rsid w:val="00D32950"/>
    <w:rsid w:val="00D32991"/>
    <w:rsid w:val="00D32ECB"/>
    <w:rsid w:val="00D32F33"/>
    <w:rsid w:val="00D335E1"/>
    <w:rsid w:val="00D3392A"/>
    <w:rsid w:val="00D33C4F"/>
    <w:rsid w:val="00D33E01"/>
    <w:rsid w:val="00D3428A"/>
    <w:rsid w:val="00D34757"/>
    <w:rsid w:val="00D34E43"/>
    <w:rsid w:val="00D35147"/>
    <w:rsid w:val="00D3545E"/>
    <w:rsid w:val="00D35633"/>
    <w:rsid w:val="00D356BD"/>
    <w:rsid w:val="00D35F49"/>
    <w:rsid w:val="00D35FEA"/>
    <w:rsid w:val="00D3628A"/>
    <w:rsid w:val="00D3649C"/>
    <w:rsid w:val="00D366E4"/>
    <w:rsid w:val="00D36FD3"/>
    <w:rsid w:val="00D375F5"/>
    <w:rsid w:val="00D40444"/>
    <w:rsid w:val="00D40832"/>
    <w:rsid w:val="00D409E2"/>
    <w:rsid w:val="00D41758"/>
    <w:rsid w:val="00D41A41"/>
    <w:rsid w:val="00D41EE4"/>
    <w:rsid w:val="00D41F51"/>
    <w:rsid w:val="00D42000"/>
    <w:rsid w:val="00D423AC"/>
    <w:rsid w:val="00D42D6E"/>
    <w:rsid w:val="00D436FE"/>
    <w:rsid w:val="00D43C55"/>
    <w:rsid w:val="00D43D1F"/>
    <w:rsid w:val="00D43E48"/>
    <w:rsid w:val="00D4446E"/>
    <w:rsid w:val="00D44BA1"/>
    <w:rsid w:val="00D44DC6"/>
    <w:rsid w:val="00D458C0"/>
    <w:rsid w:val="00D45BE7"/>
    <w:rsid w:val="00D45BE9"/>
    <w:rsid w:val="00D46118"/>
    <w:rsid w:val="00D4615E"/>
    <w:rsid w:val="00D46297"/>
    <w:rsid w:val="00D46697"/>
    <w:rsid w:val="00D467F7"/>
    <w:rsid w:val="00D46BC6"/>
    <w:rsid w:val="00D473F8"/>
    <w:rsid w:val="00D47429"/>
    <w:rsid w:val="00D47442"/>
    <w:rsid w:val="00D4755D"/>
    <w:rsid w:val="00D47608"/>
    <w:rsid w:val="00D4791A"/>
    <w:rsid w:val="00D47D28"/>
    <w:rsid w:val="00D507B7"/>
    <w:rsid w:val="00D509C6"/>
    <w:rsid w:val="00D50A65"/>
    <w:rsid w:val="00D50D8F"/>
    <w:rsid w:val="00D514E5"/>
    <w:rsid w:val="00D5249A"/>
    <w:rsid w:val="00D52691"/>
    <w:rsid w:val="00D52C59"/>
    <w:rsid w:val="00D53589"/>
    <w:rsid w:val="00D539D5"/>
    <w:rsid w:val="00D53A35"/>
    <w:rsid w:val="00D53FFD"/>
    <w:rsid w:val="00D54384"/>
    <w:rsid w:val="00D54429"/>
    <w:rsid w:val="00D544D5"/>
    <w:rsid w:val="00D54A68"/>
    <w:rsid w:val="00D54AF0"/>
    <w:rsid w:val="00D54DEC"/>
    <w:rsid w:val="00D54EB5"/>
    <w:rsid w:val="00D54F44"/>
    <w:rsid w:val="00D550E9"/>
    <w:rsid w:val="00D55683"/>
    <w:rsid w:val="00D55794"/>
    <w:rsid w:val="00D56347"/>
    <w:rsid w:val="00D5686B"/>
    <w:rsid w:val="00D56A09"/>
    <w:rsid w:val="00D56B43"/>
    <w:rsid w:val="00D571E2"/>
    <w:rsid w:val="00D600BF"/>
    <w:rsid w:val="00D602DE"/>
    <w:rsid w:val="00D605BE"/>
    <w:rsid w:val="00D6096A"/>
    <w:rsid w:val="00D60ABE"/>
    <w:rsid w:val="00D60CE5"/>
    <w:rsid w:val="00D61811"/>
    <w:rsid w:val="00D620F3"/>
    <w:rsid w:val="00D623DE"/>
    <w:rsid w:val="00D62C91"/>
    <w:rsid w:val="00D62D9C"/>
    <w:rsid w:val="00D62F3D"/>
    <w:rsid w:val="00D63738"/>
    <w:rsid w:val="00D63903"/>
    <w:rsid w:val="00D63E83"/>
    <w:rsid w:val="00D63F9F"/>
    <w:rsid w:val="00D64298"/>
    <w:rsid w:val="00D6435D"/>
    <w:rsid w:val="00D64423"/>
    <w:rsid w:val="00D644BD"/>
    <w:rsid w:val="00D645BF"/>
    <w:rsid w:val="00D646D3"/>
    <w:rsid w:val="00D649B1"/>
    <w:rsid w:val="00D65677"/>
    <w:rsid w:val="00D6595C"/>
    <w:rsid w:val="00D66115"/>
    <w:rsid w:val="00D662F2"/>
    <w:rsid w:val="00D665F1"/>
    <w:rsid w:val="00D66A0F"/>
    <w:rsid w:val="00D66A2F"/>
    <w:rsid w:val="00D66ABA"/>
    <w:rsid w:val="00D6711E"/>
    <w:rsid w:val="00D6788D"/>
    <w:rsid w:val="00D6798E"/>
    <w:rsid w:val="00D67B28"/>
    <w:rsid w:val="00D71089"/>
    <w:rsid w:val="00D714B9"/>
    <w:rsid w:val="00D71A77"/>
    <w:rsid w:val="00D71B20"/>
    <w:rsid w:val="00D72651"/>
    <w:rsid w:val="00D730C0"/>
    <w:rsid w:val="00D73693"/>
    <w:rsid w:val="00D73B08"/>
    <w:rsid w:val="00D744CD"/>
    <w:rsid w:val="00D7482C"/>
    <w:rsid w:val="00D749DC"/>
    <w:rsid w:val="00D74E2C"/>
    <w:rsid w:val="00D752A3"/>
    <w:rsid w:val="00D75583"/>
    <w:rsid w:val="00D7592A"/>
    <w:rsid w:val="00D75F48"/>
    <w:rsid w:val="00D76D78"/>
    <w:rsid w:val="00D773F5"/>
    <w:rsid w:val="00D77893"/>
    <w:rsid w:val="00D77B63"/>
    <w:rsid w:val="00D77E18"/>
    <w:rsid w:val="00D80127"/>
    <w:rsid w:val="00D80297"/>
    <w:rsid w:val="00D805D1"/>
    <w:rsid w:val="00D80782"/>
    <w:rsid w:val="00D80EBF"/>
    <w:rsid w:val="00D80F2B"/>
    <w:rsid w:val="00D826C5"/>
    <w:rsid w:val="00D82D69"/>
    <w:rsid w:val="00D82FD7"/>
    <w:rsid w:val="00D83442"/>
    <w:rsid w:val="00D83DB4"/>
    <w:rsid w:val="00D83ED6"/>
    <w:rsid w:val="00D84FA6"/>
    <w:rsid w:val="00D856C2"/>
    <w:rsid w:val="00D857D0"/>
    <w:rsid w:val="00D858F6"/>
    <w:rsid w:val="00D85C5F"/>
    <w:rsid w:val="00D85ECC"/>
    <w:rsid w:val="00D8637D"/>
    <w:rsid w:val="00D864C7"/>
    <w:rsid w:val="00D865FC"/>
    <w:rsid w:val="00D86EB7"/>
    <w:rsid w:val="00D86F03"/>
    <w:rsid w:val="00D874E3"/>
    <w:rsid w:val="00D878E1"/>
    <w:rsid w:val="00D87BF4"/>
    <w:rsid w:val="00D87E21"/>
    <w:rsid w:val="00D90763"/>
    <w:rsid w:val="00D90987"/>
    <w:rsid w:val="00D90ABA"/>
    <w:rsid w:val="00D915A9"/>
    <w:rsid w:val="00D918FA"/>
    <w:rsid w:val="00D91A30"/>
    <w:rsid w:val="00D91EB6"/>
    <w:rsid w:val="00D927AA"/>
    <w:rsid w:val="00D9291C"/>
    <w:rsid w:val="00D92961"/>
    <w:rsid w:val="00D92B5E"/>
    <w:rsid w:val="00D92EDE"/>
    <w:rsid w:val="00D93388"/>
    <w:rsid w:val="00D93820"/>
    <w:rsid w:val="00D93B8E"/>
    <w:rsid w:val="00D943CC"/>
    <w:rsid w:val="00D946FE"/>
    <w:rsid w:val="00D94734"/>
    <w:rsid w:val="00D94D2C"/>
    <w:rsid w:val="00D950E4"/>
    <w:rsid w:val="00D95457"/>
    <w:rsid w:val="00D95463"/>
    <w:rsid w:val="00D9563B"/>
    <w:rsid w:val="00D957B1"/>
    <w:rsid w:val="00D966F4"/>
    <w:rsid w:val="00D96AA6"/>
    <w:rsid w:val="00D96AF9"/>
    <w:rsid w:val="00D97298"/>
    <w:rsid w:val="00D97A7B"/>
    <w:rsid w:val="00D97ABD"/>
    <w:rsid w:val="00D97B9D"/>
    <w:rsid w:val="00D97C8C"/>
    <w:rsid w:val="00DA0AF7"/>
    <w:rsid w:val="00DA110D"/>
    <w:rsid w:val="00DA11A1"/>
    <w:rsid w:val="00DA1259"/>
    <w:rsid w:val="00DA1467"/>
    <w:rsid w:val="00DA1AAD"/>
    <w:rsid w:val="00DA1C2E"/>
    <w:rsid w:val="00DA1E08"/>
    <w:rsid w:val="00DA24C1"/>
    <w:rsid w:val="00DA2F1E"/>
    <w:rsid w:val="00DA30BE"/>
    <w:rsid w:val="00DA3B71"/>
    <w:rsid w:val="00DA3BEC"/>
    <w:rsid w:val="00DA469B"/>
    <w:rsid w:val="00DA4A52"/>
    <w:rsid w:val="00DA4E43"/>
    <w:rsid w:val="00DA4FBC"/>
    <w:rsid w:val="00DA557B"/>
    <w:rsid w:val="00DA58AF"/>
    <w:rsid w:val="00DA5918"/>
    <w:rsid w:val="00DA598B"/>
    <w:rsid w:val="00DA65EB"/>
    <w:rsid w:val="00DA67DB"/>
    <w:rsid w:val="00DA6B70"/>
    <w:rsid w:val="00DA7457"/>
    <w:rsid w:val="00DA7AA7"/>
    <w:rsid w:val="00DB00AB"/>
    <w:rsid w:val="00DB02F4"/>
    <w:rsid w:val="00DB076C"/>
    <w:rsid w:val="00DB0A47"/>
    <w:rsid w:val="00DB0EE1"/>
    <w:rsid w:val="00DB1083"/>
    <w:rsid w:val="00DB1473"/>
    <w:rsid w:val="00DB1663"/>
    <w:rsid w:val="00DB1775"/>
    <w:rsid w:val="00DB1CFE"/>
    <w:rsid w:val="00DB1F76"/>
    <w:rsid w:val="00DB2531"/>
    <w:rsid w:val="00DB283F"/>
    <w:rsid w:val="00DB2910"/>
    <w:rsid w:val="00DB2995"/>
    <w:rsid w:val="00DB29A6"/>
    <w:rsid w:val="00DB2ED0"/>
    <w:rsid w:val="00DB38F0"/>
    <w:rsid w:val="00DB3D52"/>
    <w:rsid w:val="00DB3EE8"/>
    <w:rsid w:val="00DB4701"/>
    <w:rsid w:val="00DB4FB0"/>
    <w:rsid w:val="00DB4FF0"/>
    <w:rsid w:val="00DB5126"/>
    <w:rsid w:val="00DB5350"/>
    <w:rsid w:val="00DB59C0"/>
    <w:rsid w:val="00DB5BEB"/>
    <w:rsid w:val="00DB6A50"/>
    <w:rsid w:val="00DB6FE6"/>
    <w:rsid w:val="00DB77D5"/>
    <w:rsid w:val="00DB7B41"/>
    <w:rsid w:val="00DB7B7A"/>
    <w:rsid w:val="00DB7C55"/>
    <w:rsid w:val="00DC0146"/>
    <w:rsid w:val="00DC03EE"/>
    <w:rsid w:val="00DC0784"/>
    <w:rsid w:val="00DC09F9"/>
    <w:rsid w:val="00DC1144"/>
    <w:rsid w:val="00DC2749"/>
    <w:rsid w:val="00DC2D0F"/>
    <w:rsid w:val="00DC31DA"/>
    <w:rsid w:val="00DC3242"/>
    <w:rsid w:val="00DC3558"/>
    <w:rsid w:val="00DC36B8"/>
    <w:rsid w:val="00DC3A0D"/>
    <w:rsid w:val="00DC3E75"/>
    <w:rsid w:val="00DC4009"/>
    <w:rsid w:val="00DC48B9"/>
    <w:rsid w:val="00DC4AB4"/>
    <w:rsid w:val="00DC53F2"/>
    <w:rsid w:val="00DC5A02"/>
    <w:rsid w:val="00DC5C58"/>
    <w:rsid w:val="00DC6669"/>
    <w:rsid w:val="00DC6B01"/>
    <w:rsid w:val="00DC6C0E"/>
    <w:rsid w:val="00DC7550"/>
    <w:rsid w:val="00DC7797"/>
    <w:rsid w:val="00DD0028"/>
    <w:rsid w:val="00DD0219"/>
    <w:rsid w:val="00DD078A"/>
    <w:rsid w:val="00DD098D"/>
    <w:rsid w:val="00DD0F52"/>
    <w:rsid w:val="00DD0FC2"/>
    <w:rsid w:val="00DD12C2"/>
    <w:rsid w:val="00DD1609"/>
    <w:rsid w:val="00DD1737"/>
    <w:rsid w:val="00DD18E8"/>
    <w:rsid w:val="00DD2FDE"/>
    <w:rsid w:val="00DD34E1"/>
    <w:rsid w:val="00DD39DD"/>
    <w:rsid w:val="00DD463C"/>
    <w:rsid w:val="00DD5116"/>
    <w:rsid w:val="00DD5BE6"/>
    <w:rsid w:val="00DD5CCF"/>
    <w:rsid w:val="00DD6925"/>
    <w:rsid w:val="00DD6A0B"/>
    <w:rsid w:val="00DD708E"/>
    <w:rsid w:val="00DD7667"/>
    <w:rsid w:val="00DD777C"/>
    <w:rsid w:val="00DD7E08"/>
    <w:rsid w:val="00DE00B1"/>
    <w:rsid w:val="00DE01BD"/>
    <w:rsid w:val="00DE0500"/>
    <w:rsid w:val="00DE0D2F"/>
    <w:rsid w:val="00DE0D75"/>
    <w:rsid w:val="00DE0E20"/>
    <w:rsid w:val="00DE10B7"/>
    <w:rsid w:val="00DE19EB"/>
    <w:rsid w:val="00DE1A9E"/>
    <w:rsid w:val="00DE1AF3"/>
    <w:rsid w:val="00DE1DAC"/>
    <w:rsid w:val="00DE1DEB"/>
    <w:rsid w:val="00DE21C4"/>
    <w:rsid w:val="00DE253E"/>
    <w:rsid w:val="00DE27A1"/>
    <w:rsid w:val="00DE3342"/>
    <w:rsid w:val="00DE4B9E"/>
    <w:rsid w:val="00DE4C73"/>
    <w:rsid w:val="00DE5577"/>
    <w:rsid w:val="00DE56B6"/>
    <w:rsid w:val="00DE5B0F"/>
    <w:rsid w:val="00DE5EF2"/>
    <w:rsid w:val="00DE6A43"/>
    <w:rsid w:val="00DE6BAE"/>
    <w:rsid w:val="00DE7962"/>
    <w:rsid w:val="00DE79EC"/>
    <w:rsid w:val="00DF0C90"/>
    <w:rsid w:val="00DF0FE3"/>
    <w:rsid w:val="00DF295E"/>
    <w:rsid w:val="00DF2CB1"/>
    <w:rsid w:val="00DF34CF"/>
    <w:rsid w:val="00DF351A"/>
    <w:rsid w:val="00DF363B"/>
    <w:rsid w:val="00DF3983"/>
    <w:rsid w:val="00DF3A70"/>
    <w:rsid w:val="00DF3B4A"/>
    <w:rsid w:val="00DF4332"/>
    <w:rsid w:val="00DF452B"/>
    <w:rsid w:val="00DF5517"/>
    <w:rsid w:val="00DF607B"/>
    <w:rsid w:val="00DF64AB"/>
    <w:rsid w:val="00DF664F"/>
    <w:rsid w:val="00DF69F9"/>
    <w:rsid w:val="00DF6B23"/>
    <w:rsid w:val="00DF7A9C"/>
    <w:rsid w:val="00DF7F19"/>
    <w:rsid w:val="00E00198"/>
    <w:rsid w:val="00E00545"/>
    <w:rsid w:val="00E00BF1"/>
    <w:rsid w:val="00E00EE3"/>
    <w:rsid w:val="00E00F34"/>
    <w:rsid w:val="00E00FB4"/>
    <w:rsid w:val="00E029DB"/>
    <w:rsid w:val="00E02B50"/>
    <w:rsid w:val="00E036E4"/>
    <w:rsid w:val="00E03A0F"/>
    <w:rsid w:val="00E03BCA"/>
    <w:rsid w:val="00E03C1D"/>
    <w:rsid w:val="00E03C4B"/>
    <w:rsid w:val="00E03CF6"/>
    <w:rsid w:val="00E0400F"/>
    <w:rsid w:val="00E04449"/>
    <w:rsid w:val="00E04B3F"/>
    <w:rsid w:val="00E052D5"/>
    <w:rsid w:val="00E05686"/>
    <w:rsid w:val="00E05A02"/>
    <w:rsid w:val="00E05DF2"/>
    <w:rsid w:val="00E060C1"/>
    <w:rsid w:val="00E0612B"/>
    <w:rsid w:val="00E065EA"/>
    <w:rsid w:val="00E066A9"/>
    <w:rsid w:val="00E069BD"/>
    <w:rsid w:val="00E06B1E"/>
    <w:rsid w:val="00E06F0D"/>
    <w:rsid w:val="00E07401"/>
    <w:rsid w:val="00E07500"/>
    <w:rsid w:val="00E07704"/>
    <w:rsid w:val="00E0774D"/>
    <w:rsid w:val="00E07787"/>
    <w:rsid w:val="00E1017C"/>
    <w:rsid w:val="00E10377"/>
    <w:rsid w:val="00E10939"/>
    <w:rsid w:val="00E109C3"/>
    <w:rsid w:val="00E10AAF"/>
    <w:rsid w:val="00E1105F"/>
    <w:rsid w:val="00E116E6"/>
    <w:rsid w:val="00E123C5"/>
    <w:rsid w:val="00E12770"/>
    <w:rsid w:val="00E1287B"/>
    <w:rsid w:val="00E12AE2"/>
    <w:rsid w:val="00E12D4D"/>
    <w:rsid w:val="00E12F96"/>
    <w:rsid w:val="00E13608"/>
    <w:rsid w:val="00E13E87"/>
    <w:rsid w:val="00E143EF"/>
    <w:rsid w:val="00E147D5"/>
    <w:rsid w:val="00E14899"/>
    <w:rsid w:val="00E148DD"/>
    <w:rsid w:val="00E14C0E"/>
    <w:rsid w:val="00E14D13"/>
    <w:rsid w:val="00E151D3"/>
    <w:rsid w:val="00E155C0"/>
    <w:rsid w:val="00E157C9"/>
    <w:rsid w:val="00E15804"/>
    <w:rsid w:val="00E15F28"/>
    <w:rsid w:val="00E16370"/>
    <w:rsid w:val="00E165CF"/>
    <w:rsid w:val="00E16640"/>
    <w:rsid w:val="00E16642"/>
    <w:rsid w:val="00E1670E"/>
    <w:rsid w:val="00E16723"/>
    <w:rsid w:val="00E16AC0"/>
    <w:rsid w:val="00E172F3"/>
    <w:rsid w:val="00E175CE"/>
    <w:rsid w:val="00E1787C"/>
    <w:rsid w:val="00E17FEA"/>
    <w:rsid w:val="00E203D7"/>
    <w:rsid w:val="00E2090F"/>
    <w:rsid w:val="00E2114D"/>
    <w:rsid w:val="00E2140B"/>
    <w:rsid w:val="00E21550"/>
    <w:rsid w:val="00E2183E"/>
    <w:rsid w:val="00E21A9A"/>
    <w:rsid w:val="00E21D2D"/>
    <w:rsid w:val="00E223F5"/>
    <w:rsid w:val="00E2249E"/>
    <w:rsid w:val="00E22B76"/>
    <w:rsid w:val="00E234F1"/>
    <w:rsid w:val="00E2380E"/>
    <w:rsid w:val="00E238A9"/>
    <w:rsid w:val="00E24347"/>
    <w:rsid w:val="00E2475A"/>
    <w:rsid w:val="00E25376"/>
    <w:rsid w:val="00E25831"/>
    <w:rsid w:val="00E25891"/>
    <w:rsid w:val="00E25AF8"/>
    <w:rsid w:val="00E25D79"/>
    <w:rsid w:val="00E25DCE"/>
    <w:rsid w:val="00E26642"/>
    <w:rsid w:val="00E267F2"/>
    <w:rsid w:val="00E26C55"/>
    <w:rsid w:val="00E26F6C"/>
    <w:rsid w:val="00E270C9"/>
    <w:rsid w:val="00E27195"/>
    <w:rsid w:val="00E30539"/>
    <w:rsid w:val="00E30A17"/>
    <w:rsid w:val="00E30E2A"/>
    <w:rsid w:val="00E3106E"/>
    <w:rsid w:val="00E310D1"/>
    <w:rsid w:val="00E3125F"/>
    <w:rsid w:val="00E31BCD"/>
    <w:rsid w:val="00E31F5A"/>
    <w:rsid w:val="00E31F68"/>
    <w:rsid w:val="00E32028"/>
    <w:rsid w:val="00E32631"/>
    <w:rsid w:val="00E327DD"/>
    <w:rsid w:val="00E32E53"/>
    <w:rsid w:val="00E3380C"/>
    <w:rsid w:val="00E339E6"/>
    <w:rsid w:val="00E33F26"/>
    <w:rsid w:val="00E34022"/>
    <w:rsid w:val="00E34374"/>
    <w:rsid w:val="00E34495"/>
    <w:rsid w:val="00E346A9"/>
    <w:rsid w:val="00E347A4"/>
    <w:rsid w:val="00E3481B"/>
    <w:rsid w:val="00E34923"/>
    <w:rsid w:val="00E34CA3"/>
    <w:rsid w:val="00E3594B"/>
    <w:rsid w:val="00E35DD4"/>
    <w:rsid w:val="00E3668F"/>
    <w:rsid w:val="00E36B50"/>
    <w:rsid w:val="00E36E72"/>
    <w:rsid w:val="00E37488"/>
    <w:rsid w:val="00E37815"/>
    <w:rsid w:val="00E37CE6"/>
    <w:rsid w:val="00E37DA6"/>
    <w:rsid w:val="00E37FE3"/>
    <w:rsid w:val="00E403B4"/>
    <w:rsid w:val="00E40541"/>
    <w:rsid w:val="00E4091E"/>
    <w:rsid w:val="00E40A2B"/>
    <w:rsid w:val="00E40BCC"/>
    <w:rsid w:val="00E41634"/>
    <w:rsid w:val="00E41EF6"/>
    <w:rsid w:val="00E42071"/>
    <w:rsid w:val="00E43711"/>
    <w:rsid w:val="00E43A9B"/>
    <w:rsid w:val="00E43AAA"/>
    <w:rsid w:val="00E43B00"/>
    <w:rsid w:val="00E44954"/>
    <w:rsid w:val="00E44C62"/>
    <w:rsid w:val="00E44DBC"/>
    <w:rsid w:val="00E45327"/>
    <w:rsid w:val="00E45C85"/>
    <w:rsid w:val="00E45E60"/>
    <w:rsid w:val="00E45F12"/>
    <w:rsid w:val="00E47262"/>
    <w:rsid w:val="00E473C0"/>
    <w:rsid w:val="00E5020A"/>
    <w:rsid w:val="00E50481"/>
    <w:rsid w:val="00E50781"/>
    <w:rsid w:val="00E50C35"/>
    <w:rsid w:val="00E51EE2"/>
    <w:rsid w:val="00E52040"/>
    <w:rsid w:val="00E52120"/>
    <w:rsid w:val="00E522A8"/>
    <w:rsid w:val="00E529DE"/>
    <w:rsid w:val="00E53B67"/>
    <w:rsid w:val="00E53D29"/>
    <w:rsid w:val="00E53F69"/>
    <w:rsid w:val="00E5418E"/>
    <w:rsid w:val="00E54A8A"/>
    <w:rsid w:val="00E54AC1"/>
    <w:rsid w:val="00E54EF2"/>
    <w:rsid w:val="00E55784"/>
    <w:rsid w:val="00E55AF1"/>
    <w:rsid w:val="00E55F90"/>
    <w:rsid w:val="00E561E5"/>
    <w:rsid w:val="00E569E3"/>
    <w:rsid w:val="00E56C94"/>
    <w:rsid w:val="00E57186"/>
    <w:rsid w:val="00E5718A"/>
    <w:rsid w:val="00E578C7"/>
    <w:rsid w:val="00E57A2C"/>
    <w:rsid w:val="00E600A0"/>
    <w:rsid w:val="00E600BA"/>
    <w:rsid w:val="00E605BB"/>
    <w:rsid w:val="00E60DC5"/>
    <w:rsid w:val="00E60FE5"/>
    <w:rsid w:val="00E612A6"/>
    <w:rsid w:val="00E61640"/>
    <w:rsid w:val="00E61730"/>
    <w:rsid w:val="00E620D9"/>
    <w:rsid w:val="00E6254B"/>
    <w:rsid w:val="00E62EF8"/>
    <w:rsid w:val="00E63314"/>
    <w:rsid w:val="00E63461"/>
    <w:rsid w:val="00E63559"/>
    <w:rsid w:val="00E63561"/>
    <w:rsid w:val="00E63A2E"/>
    <w:rsid w:val="00E647A8"/>
    <w:rsid w:val="00E65215"/>
    <w:rsid w:val="00E65354"/>
    <w:rsid w:val="00E65708"/>
    <w:rsid w:val="00E661AD"/>
    <w:rsid w:val="00E66334"/>
    <w:rsid w:val="00E66B2D"/>
    <w:rsid w:val="00E66E11"/>
    <w:rsid w:val="00E66F6D"/>
    <w:rsid w:val="00E67180"/>
    <w:rsid w:val="00E67236"/>
    <w:rsid w:val="00E672C9"/>
    <w:rsid w:val="00E67417"/>
    <w:rsid w:val="00E676E2"/>
    <w:rsid w:val="00E67891"/>
    <w:rsid w:val="00E67B7E"/>
    <w:rsid w:val="00E67FD6"/>
    <w:rsid w:val="00E706D7"/>
    <w:rsid w:val="00E71288"/>
    <w:rsid w:val="00E71669"/>
    <w:rsid w:val="00E719DB"/>
    <w:rsid w:val="00E71AF3"/>
    <w:rsid w:val="00E71C60"/>
    <w:rsid w:val="00E71C92"/>
    <w:rsid w:val="00E71CFB"/>
    <w:rsid w:val="00E72330"/>
    <w:rsid w:val="00E732FF"/>
    <w:rsid w:val="00E73A4B"/>
    <w:rsid w:val="00E74386"/>
    <w:rsid w:val="00E746E9"/>
    <w:rsid w:val="00E74C79"/>
    <w:rsid w:val="00E74FA5"/>
    <w:rsid w:val="00E756A8"/>
    <w:rsid w:val="00E75E90"/>
    <w:rsid w:val="00E76032"/>
    <w:rsid w:val="00E763F6"/>
    <w:rsid w:val="00E7660E"/>
    <w:rsid w:val="00E766AE"/>
    <w:rsid w:val="00E767EC"/>
    <w:rsid w:val="00E768F2"/>
    <w:rsid w:val="00E76AAE"/>
    <w:rsid w:val="00E76F65"/>
    <w:rsid w:val="00E77307"/>
    <w:rsid w:val="00E77BC5"/>
    <w:rsid w:val="00E77E9E"/>
    <w:rsid w:val="00E809B6"/>
    <w:rsid w:val="00E80CFF"/>
    <w:rsid w:val="00E80E28"/>
    <w:rsid w:val="00E810AB"/>
    <w:rsid w:val="00E81380"/>
    <w:rsid w:val="00E81CF5"/>
    <w:rsid w:val="00E81DED"/>
    <w:rsid w:val="00E82316"/>
    <w:rsid w:val="00E82343"/>
    <w:rsid w:val="00E8235D"/>
    <w:rsid w:val="00E825B3"/>
    <w:rsid w:val="00E8260A"/>
    <w:rsid w:val="00E8271D"/>
    <w:rsid w:val="00E82F97"/>
    <w:rsid w:val="00E834FB"/>
    <w:rsid w:val="00E83602"/>
    <w:rsid w:val="00E836DD"/>
    <w:rsid w:val="00E843DC"/>
    <w:rsid w:val="00E849DE"/>
    <w:rsid w:val="00E84E1E"/>
    <w:rsid w:val="00E8506D"/>
    <w:rsid w:val="00E8508C"/>
    <w:rsid w:val="00E854F9"/>
    <w:rsid w:val="00E85549"/>
    <w:rsid w:val="00E856C2"/>
    <w:rsid w:val="00E85948"/>
    <w:rsid w:val="00E85AD1"/>
    <w:rsid w:val="00E862C4"/>
    <w:rsid w:val="00E86536"/>
    <w:rsid w:val="00E86B4D"/>
    <w:rsid w:val="00E86E25"/>
    <w:rsid w:val="00E87286"/>
    <w:rsid w:val="00E8740A"/>
    <w:rsid w:val="00E87633"/>
    <w:rsid w:val="00E87AE8"/>
    <w:rsid w:val="00E87DA7"/>
    <w:rsid w:val="00E87E6C"/>
    <w:rsid w:val="00E9035A"/>
    <w:rsid w:val="00E90467"/>
    <w:rsid w:val="00E9060B"/>
    <w:rsid w:val="00E906A8"/>
    <w:rsid w:val="00E906BF"/>
    <w:rsid w:val="00E90973"/>
    <w:rsid w:val="00E909E9"/>
    <w:rsid w:val="00E90C61"/>
    <w:rsid w:val="00E90FA7"/>
    <w:rsid w:val="00E9167E"/>
    <w:rsid w:val="00E91E71"/>
    <w:rsid w:val="00E922A4"/>
    <w:rsid w:val="00E92376"/>
    <w:rsid w:val="00E925CE"/>
    <w:rsid w:val="00E92A2C"/>
    <w:rsid w:val="00E93DC4"/>
    <w:rsid w:val="00E93F3F"/>
    <w:rsid w:val="00E94001"/>
    <w:rsid w:val="00E94374"/>
    <w:rsid w:val="00E94D2F"/>
    <w:rsid w:val="00E94EAD"/>
    <w:rsid w:val="00E94EC0"/>
    <w:rsid w:val="00E94ED3"/>
    <w:rsid w:val="00E95C66"/>
    <w:rsid w:val="00E95DEB"/>
    <w:rsid w:val="00E96366"/>
    <w:rsid w:val="00E96539"/>
    <w:rsid w:val="00E965BA"/>
    <w:rsid w:val="00E967CC"/>
    <w:rsid w:val="00E97024"/>
    <w:rsid w:val="00E97780"/>
    <w:rsid w:val="00E97B66"/>
    <w:rsid w:val="00E97F3C"/>
    <w:rsid w:val="00EA02B9"/>
    <w:rsid w:val="00EA039D"/>
    <w:rsid w:val="00EA0533"/>
    <w:rsid w:val="00EA05D9"/>
    <w:rsid w:val="00EA1104"/>
    <w:rsid w:val="00EA125A"/>
    <w:rsid w:val="00EA1836"/>
    <w:rsid w:val="00EA295A"/>
    <w:rsid w:val="00EA2CC0"/>
    <w:rsid w:val="00EA4462"/>
    <w:rsid w:val="00EA5257"/>
    <w:rsid w:val="00EA59B6"/>
    <w:rsid w:val="00EA61AA"/>
    <w:rsid w:val="00EA685D"/>
    <w:rsid w:val="00EA6947"/>
    <w:rsid w:val="00EA6F22"/>
    <w:rsid w:val="00EA7040"/>
    <w:rsid w:val="00EA7195"/>
    <w:rsid w:val="00EA73BE"/>
    <w:rsid w:val="00EA7499"/>
    <w:rsid w:val="00EA7D11"/>
    <w:rsid w:val="00EB025C"/>
    <w:rsid w:val="00EB0374"/>
    <w:rsid w:val="00EB0433"/>
    <w:rsid w:val="00EB078A"/>
    <w:rsid w:val="00EB099A"/>
    <w:rsid w:val="00EB0B1F"/>
    <w:rsid w:val="00EB0D5F"/>
    <w:rsid w:val="00EB0DDB"/>
    <w:rsid w:val="00EB1B8B"/>
    <w:rsid w:val="00EB21C6"/>
    <w:rsid w:val="00EB23CC"/>
    <w:rsid w:val="00EB26A3"/>
    <w:rsid w:val="00EB3929"/>
    <w:rsid w:val="00EB3A6B"/>
    <w:rsid w:val="00EB3C54"/>
    <w:rsid w:val="00EB3D26"/>
    <w:rsid w:val="00EB3D56"/>
    <w:rsid w:val="00EB3D8D"/>
    <w:rsid w:val="00EB4070"/>
    <w:rsid w:val="00EB45B6"/>
    <w:rsid w:val="00EB4951"/>
    <w:rsid w:val="00EB4CA1"/>
    <w:rsid w:val="00EB4DD0"/>
    <w:rsid w:val="00EB50F1"/>
    <w:rsid w:val="00EB5796"/>
    <w:rsid w:val="00EB61A3"/>
    <w:rsid w:val="00EB6A3A"/>
    <w:rsid w:val="00EB6E39"/>
    <w:rsid w:val="00EB6E3B"/>
    <w:rsid w:val="00EB7416"/>
    <w:rsid w:val="00EB759F"/>
    <w:rsid w:val="00EB793E"/>
    <w:rsid w:val="00EB7B74"/>
    <w:rsid w:val="00EC0592"/>
    <w:rsid w:val="00EC05E3"/>
    <w:rsid w:val="00EC079C"/>
    <w:rsid w:val="00EC0853"/>
    <w:rsid w:val="00EC098E"/>
    <w:rsid w:val="00EC0A9E"/>
    <w:rsid w:val="00EC0BCB"/>
    <w:rsid w:val="00EC0D8C"/>
    <w:rsid w:val="00EC0E71"/>
    <w:rsid w:val="00EC1207"/>
    <w:rsid w:val="00EC172A"/>
    <w:rsid w:val="00EC1D3C"/>
    <w:rsid w:val="00EC1FB3"/>
    <w:rsid w:val="00EC2615"/>
    <w:rsid w:val="00EC2EB3"/>
    <w:rsid w:val="00EC323C"/>
    <w:rsid w:val="00EC4822"/>
    <w:rsid w:val="00EC48A7"/>
    <w:rsid w:val="00EC4A99"/>
    <w:rsid w:val="00EC4D63"/>
    <w:rsid w:val="00EC4EB0"/>
    <w:rsid w:val="00EC5066"/>
    <w:rsid w:val="00EC601F"/>
    <w:rsid w:val="00EC6359"/>
    <w:rsid w:val="00EC6847"/>
    <w:rsid w:val="00EC6F8B"/>
    <w:rsid w:val="00EC7183"/>
    <w:rsid w:val="00EC7D56"/>
    <w:rsid w:val="00ED08D0"/>
    <w:rsid w:val="00ED0E5D"/>
    <w:rsid w:val="00ED1D45"/>
    <w:rsid w:val="00ED2B18"/>
    <w:rsid w:val="00ED2B4E"/>
    <w:rsid w:val="00ED2BA2"/>
    <w:rsid w:val="00ED2F3C"/>
    <w:rsid w:val="00ED3BFE"/>
    <w:rsid w:val="00ED3CAD"/>
    <w:rsid w:val="00ED3F07"/>
    <w:rsid w:val="00ED5809"/>
    <w:rsid w:val="00ED5AB9"/>
    <w:rsid w:val="00ED613A"/>
    <w:rsid w:val="00ED65DF"/>
    <w:rsid w:val="00ED6CFA"/>
    <w:rsid w:val="00ED6D53"/>
    <w:rsid w:val="00ED72D6"/>
    <w:rsid w:val="00ED73EB"/>
    <w:rsid w:val="00ED7A47"/>
    <w:rsid w:val="00ED7B3E"/>
    <w:rsid w:val="00EE1241"/>
    <w:rsid w:val="00EE161B"/>
    <w:rsid w:val="00EE1855"/>
    <w:rsid w:val="00EE2287"/>
    <w:rsid w:val="00EE2B68"/>
    <w:rsid w:val="00EE2D99"/>
    <w:rsid w:val="00EE39BE"/>
    <w:rsid w:val="00EE4757"/>
    <w:rsid w:val="00EE54A4"/>
    <w:rsid w:val="00EE6720"/>
    <w:rsid w:val="00EE6D70"/>
    <w:rsid w:val="00EE72B0"/>
    <w:rsid w:val="00EE75E9"/>
    <w:rsid w:val="00EE7A15"/>
    <w:rsid w:val="00EE7C79"/>
    <w:rsid w:val="00EF001F"/>
    <w:rsid w:val="00EF029B"/>
    <w:rsid w:val="00EF0535"/>
    <w:rsid w:val="00EF075C"/>
    <w:rsid w:val="00EF0E6D"/>
    <w:rsid w:val="00EF1386"/>
    <w:rsid w:val="00EF13BD"/>
    <w:rsid w:val="00EF23A2"/>
    <w:rsid w:val="00EF2491"/>
    <w:rsid w:val="00EF256B"/>
    <w:rsid w:val="00EF2625"/>
    <w:rsid w:val="00EF2C3E"/>
    <w:rsid w:val="00EF2C93"/>
    <w:rsid w:val="00EF2FE6"/>
    <w:rsid w:val="00EF3042"/>
    <w:rsid w:val="00EF3305"/>
    <w:rsid w:val="00EF3617"/>
    <w:rsid w:val="00EF389C"/>
    <w:rsid w:val="00EF3971"/>
    <w:rsid w:val="00EF4B7E"/>
    <w:rsid w:val="00EF4E1D"/>
    <w:rsid w:val="00EF5277"/>
    <w:rsid w:val="00EF52FC"/>
    <w:rsid w:val="00EF554A"/>
    <w:rsid w:val="00EF5CAD"/>
    <w:rsid w:val="00EF5D0A"/>
    <w:rsid w:val="00EF611F"/>
    <w:rsid w:val="00EF6147"/>
    <w:rsid w:val="00EF619E"/>
    <w:rsid w:val="00EF64F8"/>
    <w:rsid w:val="00EF6FAA"/>
    <w:rsid w:val="00EF7388"/>
    <w:rsid w:val="00EF76E1"/>
    <w:rsid w:val="00EF77E9"/>
    <w:rsid w:val="00EF7B44"/>
    <w:rsid w:val="00EF7E54"/>
    <w:rsid w:val="00EF7E60"/>
    <w:rsid w:val="00F0059F"/>
    <w:rsid w:val="00F008F0"/>
    <w:rsid w:val="00F01653"/>
    <w:rsid w:val="00F01C57"/>
    <w:rsid w:val="00F02EC1"/>
    <w:rsid w:val="00F030A8"/>
    <w:rsid w:val="00F03A50"/>
    <w:rsid w:val="00F03D21"/>
    <w:rsid w:val="00F0401C"/>
    <w:rsid w:val="00F0417F"/>
    <w:rsid w:val="00F04441"/>
    <w:rsid w:val="00F047C1"/>
    <w:rsid w:val="00F04984"/>
    <w:rsid w:val="00F04AF5"/>
    <w:rsid w:val="00F04F49"/>
    <w:rsid w:val="00F052CF"/>
    <w:rsid w:val="00F05318"/>
    <w:rsid w:val="00F057EF"/>
    <w:rsid w:val="00F05A3F"/>
    <w:rsid w:val="00F05B57"/>
    <w:rsid w:val="00F05FE7"/>
    <w:rsid w:val="00F0643E"/>
    <w:rsid w:val="00F06549"/>
    <w:rsid w:val="00F073B1"/>
    <w:rsid w:val="00F07764"/>
    <w:rsid w:val="00F07BA8"/>
    <w:rsid w:val="00F07D65"/>
    <w:rsid w:val="00F10018"/>
    <w:rsid w:val="00F10198"/>
    <w:rsid w:val="00F1030E"/>
    <w:rsid w:val="00F106AD"/>
    <w:rsid w:val="00F108A7"/>
    <w:rsid w:val="00F10925"/>
    <w:rsid w:val="00F1101A"/>
    <w:rsid w:val="00F11863"/>
    <w:rsid w:val="00F119E7"/>
    <w:rsid w:val="00F11D1B"/>
    <w:rsid w:val="00F12DA3"/>
    <w:rsid w:val="00F12F6C"/>
    <w:rsid w:val="00F1328C"/>
    <w:rsid w:val="00F133CF"/>
    <w:rsid w:val="00F13577"/>
    <w:rsid w:val="00F1377D"/>
    <w:rsid w:val="00F13AD8"/>
    <w:rsid w:val="00F13D42"/>
    <w:rsid w:val="00F13DAE"/>
    <w:rsid w:val="00F14306"/>
    <w:rsid w:val="00F146B7"/>
    <w:rsid w:val="00F147F6"/>
    <w:rsid w:val="00F148F5"/>
    <w:rsid w:val="00F14A16"/>
    <w:rsid w:val="00F14B65"/>
    <w:rsid w:val="00F14F44"/>
    <w:rsid w:val="00F1529B"/>
    <w:rsid w:val="00F156E6"/>
    <w:rsid w:val="00F157D8"/>
    <w:rsid w:val="00F165DF"/>
    <w:rsid w:val="00F17017"/>
    <w:rsid w:val="00F1767D"/>
    <w:rsid w:val="00F17F2F"/>
    <w:rsid w:val="00F17FAB"/>
    <w:rsid w:val="00F201AD"/>
    <w:rsid w:val="00F209F5"/>
    <w:rsid w:val="00F2116E"/>
    <w:rsid w:val="00F2130B"/>
    <w:rsid w:val="00F21481"/>
    <w:rsid w:val="00F21B21"/>
    <w:rsid w:val="00F21BCA"/>
    <w:rsid w:val="00F22232"/>
    <w:rsid w:val="00F222BB"/>
    <w:rsid w:val="00F228EE"/>
    <w:rsid w:val="00F23BCE"/>
    <w:rsid w:val="00F23E02"/>
    <w:rsid w:val="00F24908"/>
    <w:rsid w:val="00F2491A"/>
    <w:rsid w:val="00F24960"/>
    <w:rsid w:val="00F24C31"/>
    <w:rsid w:val="00F24EF6"/>
    <w:rsid w:val="00F24F18"/>
    <w:rsid w:val="00F254E4"/>
    <w:rsid w:val="00F25A93"/>
    <w:rsid w:val="00F25EFC"/>
    <w:rsid w:val="00F2630D"/>
    <w:rsid w:val="00F26362"/>
    <w:rsid w:val="00F26536"/>
    <w:rsid w:val="00F26C87"/>
    <w:rsid w:val="00F2792A"/>
    <w:rsid w:val="00F27AF2"/>
    <w:rsid w:val="00F27B57"/>
    <w:rsid w:val="00F27DEF"/>
    <w:rsid w:val="00F3027D"/>
    <w:rsid w:val="00F303D7"/>
    <w:rsid w:val="00F30909"/>
    <w:rsid w:val="00F30BF8"/>
    <w:rsid w:val="00F30F2B"/>
    <w:rsid w:val="00F31259"/>
    <w:rsid w:val="00F31D17"/>
    <w:rsid w:val="00F31F92"/>
    <w:rsid w:val="00F32409"/>
    <w:rsid w:val="00F32705"/>
    <w:rsid w:val="00F33542"/>
    <w:rsid w:val="00F33DF9"/>
    <w:rsid w:val="00F33E6F"/>
    <w:rsid w:val="00F341E4"/>
    <w:rsid w:val="00F34217"/>
    <w:rsid w:val="00F3462B"/>
    <w:rsid w:val="00F350EA"/>
    <w:rsid w:val="00F35D19"/>
    <w:rsid w:val="00F35FC4"/>
    <w:rsid w:val="00F3601E"/>
    <w:rsid w:val="00F36197"/>
    <w:rsid w:val="00F364C5"/>
    <w:rsid w:val="00F36C1E"/>
    <w:rsid w:val="00F36FDE"/>
    <w:rsid w:val="00F37225"/>
    <w:rsid w:val="00F377FB"/>
    <w:rsid w:val="00F37DEE"/>
    <w:rsid w:val="00F401D8"/>
    <w:rsid w:val="00F40A1A"/>
    <w:rsid w:val="00F40D41"/>
    <w:rsid w:val="00F40ECE"/>
    <w:rsid w:val="00F4121E"/>
    <w:rsid w:val="00F41269"/>
    <w:rsid w:val="00F41319"/>
    <w:rsid w:val="00F4196F"/>
    <w:rsid w:val="00F41C93"/>
    <w:rsid w:val="00F41D8B"/>
    <w:rsid w:val="00F42081"/>
    <w:rsid w:val="00F423A4"/>
    <w:rsid w:val="00F424FD"/>
    <w:rsid w:val="00F43329"/>
    <w:rsid w:val="00F43678"/>
    <w:rsid w:val="00F43A2E"/>
    <w:rsid w:val="00F43BCE"/>
    <w:rsid w:val="00F43E79"/>
    <w:rsid w:val="00F43EC5"/>
    <w:rsid w:val="00F44A66"/>
    <w:rsid w:val="00F44B13"/>
    <w:rsid w:val="00F44D61"/>
    <w:rsid w:val="00F44DB7"/>
    <w:rsid w:val="00F44FB8"/>
    <w:rsid w:val="00F455CA"/>
    <w:rsid w:val="00F45B92"/>
    <w:rsid w:val="00F45BE7"/>
    <w:rsid w:val="00F45FB1"/>
    <w:rsid w:val="00F463D7"/>
    <w:rsid w:val="00F46402"/>
    <w:rsid w:val="00F4667B"/>
    <w:rsid w:val="00F46E9A"/>
    <w:rsid w:val="00F470E6"/>
    <w:rsid w:val="00F47425"/>
    <w:rsid w:val="00F47654"/>
    <w:rsid w:val="00F477B6"/>
    <w:rsid w:val="00F50163"/>
    <w:rsid w:val="00F510E2"/>
    <w:rsid w:val="00F513AA"/>
    <w:rsid w:val="00F515F1"/>
    <w:rsid w:val="00F518B6"/>
    <w:rsid w:val="00F518C4"/>
    <w:rsid w:val="00F5254A"/>
    <w:rsid w:val="00F5273A"/>
    <w:rsid w:val="00F52D6B"/>
    <w:rsid w:val="00F52E18"/>
    <w:rsid w:val="00F52EC5"/>
    <w:rsid w:val="00F5367F"/>
    <w:rsid w:val="00F53E52"/>
    <w:rsid w:val="00F54098"/>
    <w:rsid w:val="00F544FC"/>
    <w:rsid w:val="00F546FB"/>
    <w:rsid w:val="00F547F7"/>
    <w:rsid w:val="00F54DD3"/>
    <w:rsid w:val="00F55335"/>
    <w:rsid w:val="00F55A5F"/>
    <w:rsid w:val="00F55DD2"/>
    <w:rsid w:val="00F561D7"/>
    <w:rsid w:val="00F56A39"/>
    <w:rsid w:val="00F56AEC"/>
    <w:rsid w:val="00F57D1C"/>
    <w:rsid w:val="00F60825"/>
    <w:rsid w:val="00F6086A"/>
    <w:rsid w:val="00F60A0F"/>
    <w:rsid w:val="00F60A23"/>
    <w:rsid w:val="00F61537"/>
    <w:rsid w:val="00F617A1"/>
    <w:rsid w:val="00F61EB6"/>
    <w:rsid w:val="00F61F7E"/>
    <w:rsid w:val="00F62129"/>
    <w:rsid w:val="00F62811"/>
    <w:rsid w:val="00F62824"/>
    <w:rsid w:val="00F6284A"/>
    <w:rsid w:val="00F629A6"/>
    <w:rsid w:val="00F62C7C"/>
    <w:rsid w:val="00F62D7C"/>
    <w:rsid w:val="00F63148"/>
    <w:rsid w:val="00F634C8"/>
    <w:rsid w:val="00F634F1"/>
    <w:rsid w:val="00F6351E"/>
    <w:rsid w:val="00F6410A"/>
    <w:rsid w:val="00F64990"/>
    <w:rsid w:val="00F64C36"/>
    <w:rsid w:val="00F64F67"/>
    <w:rsid w:val="00F6554A"/>
    <w:rsid w:val="00F65C09"/>
    <w:rsid w:val="00F65C55"/>
    <w:rsid w:val="00F65F0A"/>
    <w:rsid w:val="00F6681B"/>
    <w:rsid w:val="00F66C33"/>
    <w:rsid w:val="00F66D4E"/>
    <w:rsid w:val="00F67155"/>
    <w:rsid w:val="00F67AC0"/>
    <w:rsid w:val="00F70097"/>
    <w:rsid w:val="00F702A5"/>
    <w:rsid w:val="00F7058F"/>
    <w:rsid w:val="00F70799"/>
    <w:rsid w:val="00F709FA"/>
    <w:rsid w:val="00F70A47"/>
    <w:rsid w:val="00F70D21"/>
    <w:rsid w:val="00F70DDE"/>
    <w:rsid w:val="00F70FEF"/>
    <w:rsid w:val="00F712EF"/>
    <w:rsid w:val="00F71547"/>
    <w:rsid w:val="00F715D9"/>
    <w:rsid w:val="00F71792"/>
    <w:rsid w:val="00F724C4"/>
    <w:rsid w:val="00F738F3"/>
    <w:rsid w:val="00F73945"/>
    <w:rsid w:val="00F74D34"/>
    <w:rsid w:val="00F74DB8"/>
    <w:rsid w:val="00F74F3A"/>
    <w:rsid w:val="00F75C02"/>
    <w:rsid w:val="00F75F48"/>
    <w:rsid w:val="00F76009"/>
    <w:rsid w:val="00F76037"/>
    <w:rsid w:val="00F76E20"/>
    <w:rsid w:val="00F76EA9"/>
    <w:rsid w:val="00F770B7"/>
    <w:rsid w:val="00F77AA0"/>
    <w:rsid w:val="00F77ECB"/>
    <w:rsid w:val="00F812DF"/>
    <w:rsid w:val="00F81869"/>
    <w:rsid w:val="00F81AB2"/>
    <w:rsid w:val="00F81B42"/>
    <w:rsid w:val="00F81BDD"/>
    <w:rsid w:val="00F81E47"/>
    <w:rsid w:val="00F8228B"/>
    <w:rsid w:val="00F824EF"/>
    <w:rsid w:val="00F826BC"/>
    <w:rsid w:val="00F82B89"/>
    <w:rsid w:val="00F83421"/>
    <w:rsid w:val="00F83A13"/>
    <w:rsid w:val="00F845E4"/>
    <w:rsid w:val="00F846B0"/>
    <w:rsid w:val="00F84996"/>
    <w:rsid w:val="00F8574E"/>
    <w:rsid w:val="00F859F0"/>
    <w:rsid w:val="00F85A49"/>
    <w:rsid w:val="00F861B4"/>
    <w:rsid w:val="00F86474"/>
    <w:rsid w:val="00F86808"/>
    <w:rsid w:val="00F8688A"/>
    <w:rsid w:val="00F868B4"/>
    <w:rsid w:val="00F86E2B"/>
    <w:rsid w:val="00F86EEB"/>
    <w:rsid w:val="00F8730A"/>
    <w:rsid w:val="00F875A6"/>
    <w:rsid w:val="00F8786E"/>
    <w:rsid w:val="00F87A3B"/>
    <w:rsid w:val="00F87BD2"/>
    <w:rsid w:val="00F9005F"/>
    <w:rsid w:val="00F90132"/>
    <w:rsid w:val="00F9016F"/>
    <w:rsid w:val="00F90601"/>
    <w:rsid w:val="00F90EA0"/>
    <w:rsid w:val="00F9170B"/>
    <w:rsid w:val="00F91772"/>
    <w:rsid w:val="00F92278"/>
    <w:rsid w:val="00F93311"/>
    <w:rsid w:val="00F93C4A"/>
    <w:rsid w:val="00F941C4"/>
    <w:rsid w:val="00F9442E"/>
    <w:rsid w:val="00F948A0"/>
    <w:rsid w:val="00F94986"/>
    <w:rsid w:val="00F949EB"/>
    <w:rsid w:val="00F94AE5"/>
    <w:rsid w:val="00F94B0E"/>
    <w:rsid w:val="00F94DA4"/>
    <w:rsid w:val="00F95ADC"/>
    <w:rsid w:val="00F95B8F"/>
    <w:rsid w:val="00F964AE"/>
    <w:rsid w:val="00F96FBF"/>
    <w:rsid w:val="00F976E8"/>
    <w:rsid w:val="00F977CB"/>
    <w:rsid w:val="00F97DB8"/>
    <w:rsid w:val="00F97FE0"/>
    <w:rsid w:val="00FA0C44"/>
    <w:rsid w:val="00FA1871"/>
    <w:rsid w:val="00FA1F68"/>
    <w:rsid w:val="00FA2CDD"/>
    <w:rsid w:val="00FA4782"/>
    <w:rsid w:val="00FA4CC2"/>
    <w:rsid w:val="00FA4F47"/>
    <w:rsid w:val="00FA5083"/>
    <w:rsid w:val="00FA5B30"/>
    <w:rsid w:val="00FA71EE"/>
    <w:rsid w:val="00FA7309"/>
    <w:rsid w:val="00FA78FD"/>
    <w:rsid w:val="00FA7CBE"/>
    <w:rsid w:val="00FA7FB8"/>
    <w:rsid w:val="00FB0040"/>
    <w:rsid w:val="00FB0465"/>
    <w:rsid w:val="00FB0495"/>
    <w:rsid w:val="00FB0B4F"/>
    <w:rsid w:val="00FB0DF5"/>
    <w:rsid w:val="00FB11BE"/>
    <w:rsid w:val="00FB1357"/>
    <w:rsid w:val="00FB13E4"/>
    <w:rsid w:val="00FB1B56"/>
    <w:rsid w:val="00FB1C15"/>
    <w:rsid w:val="00FB1E2A"/>
    <w:rsid w:val="00FB2367"/>
    <w:rsid w:val="00FB2D31"/>
    <w:rsid w:val="00FB2E6C"/>
    <w:rsid w:val="00FB3FA0"/>
    <w:rsid w:val="00FB460C"/>
    <w:rsid w:val="00FB4C36"/>
    <w:rsid w:val="00FB4C6F"/>
    <w:rsid w:val="00FB4E88"/>
    <w:rsid w:val="00FB50ED"/>
    <w:rsid w:val="00FB5ED3"/>
    <w:rsid w:val="00FB60F1"/>
    <w:rsid w:val="00FB6878"/>
    <w:rsid w:val="00FB7998"/>
    <w:rsid w:val="00FC01DD"/>
    <w:rsid w:val="00FC051F"/>
    <w:rsid w:val="00FC0A1C"/>
    <w:rsid w:val="00FC0C4C"/>
    <w:rsid w:val="00FC15AD"/>
    <w:rsid w:val="00FC244E"/>
    <w:rsid w:val="00FC3495"/>
    <w:rsid w:val="00FC38AE"/>
    <w:rsid w:val="00FC4195"/>
    <w:rsid w:val="00FC47D0"/>
    <w:rsid w:val="00FC4CE9"/>
    <w:rsid w:val="00FC4D4E"/>
    <w:rsid w:val="00FC4D7B"/>
    <w:rsid w:val="00FC5202"/>
    <w:rsid w:val="00FC575C"/>
    <w:rsid w:val="00FC5C06"/>
    <w:rsid w:val="00FC5E76"/>
    <w:rsid w:val="00FC6701"/>
    <w:rsid w:val="00FC69CF"/>
    <w:rsid w:val="00FC6AFA"/>
    <w:rsid w:val="00FC70D3"/>
    <w:rsid w:val="00FC7214"/>
    <w:rsid w:val="00FC7E32"/>
    <w:rsid w:val="00FC7FF5"/>
    <w:rsid w:val="00FD03CD"/>
    <w:rsid w:val="00FD0B70"/>
    <w:rsid w:val="00FD10F5"/>
    <w:rsid w:val="00FD11B8"/>
    <w:rsid w:val="00FD1247"/>
    <w:rsid w:val="00FD1440"/>
    <w:rsid w:val="00FD1489"/>
    <w:rsid w:val="00FD17D7"/>
    <w:rsid w:val="00FD1B66"/>
    <w:rsid w:val="00FD1BA3"/>
    <w:rsid w:val="00FD1EF5"/>
    <w:rsid w:val="00FD2DA9"/>
    <w:rsid w:val="00FD3202"/>
    <w:rsid w:val="00FD37CA"/>
    <w:rsid w:val="00FD4048"/>
    <w:rsid w:val="00FD44BD"/>
    <w:rsid w:val="00FD454B"/>
    <w:rsid w:val="00FD46D9"/>
    <w:rsid w:val="00FD573C"/>
    <w:rsid w:val="00FD59F1"/>
    <w:rsid w:val="00FD5ADC"/>
    <w:rsid w:val="00FD6A93"/>
    <w:rsid w:val="00FD6FE2"/>
    <w:rsid w:val="00FD74CB"/>
    <w:rsid w:val="00FD7528"/>
    <w:rsid w:val="00FD7543"/>
    <w:rsid w:val="00FD7546"/>
    <w:rsid w:val="00FD76EB"/>
    <w:rsid w:val="00FD7BF5"/>
    <w:rsid w:val="00FE05EC"/>
    <w:rsid w:val="00FE185C"/>
    <w:rsid w:val="00FE233E"/>
    <w:rsid w:val="00FE2858"/>
    <w:rsid w:val="00FE2944"/>
    <w:rsid w:val="00FE2C32"/>
    <w:rsid w:val="00FE3C5F"/>
    <w:rsid w:val="00FE401B"/>
    <w:rsid w:val="00FE41A0"/>
    <w:rsid w:val="00FE4705"/>
    <w:rsid w:val="00FE557C"/>
    <w:rsid w:val="00FE5696"/>
    <w:rsid w:val="00FE5972"/>
    <w:rsid w:val="00FE5AF8"/>
    <w:rsid w:val="00FE5C99"/>
    <w:rsid w:val="00FE604D"/>
    <w:rsid w:val="00FE6636"/>
    <w:rsid w:val="00FE6A19"/>
    <w:rsid w:val="00FE7D2F"/>
    <w:rsid w:val="00FF02EC"/>
    <w:rsid w:val="00FF0496"/>
    <w:rsid w:val="00FF04CB"/>
    <w:rsid w:val="00FF0F53"/>
    <w:rsid w:val="00FF103D"/>
    <w:rsid w:val="00FF11AE"/>
    <w:rsid w:val="00FF1C95"/>
    <w:rsid w:val="00FF1CDB"/>
    <w:rsid w:val="00FF201B"/>
    <w:rsid w:val="00FF22B0"/>
    <w:rsid w:val="00FF2780"/>
    <w:rsid w:val="00FF3031"/>
    <w:rsid w:val="00FF312D"/>
    <w:rsid w:val="00FF3160"/>
    <w:rsid w:val="00FF337F"/>
    <w:rsid w:val="00FF3E05"/>
    <w:rsid w:val="00FF3E43"/>
    <w:rsid w:val="00FF3EB6"/>
    <w:rsid w:val="00FF40CE"/>
    <w:rsid w:val="00FF49D0"/>
    <w:rsid w:val="00FF4C3A"/>
    <w:rsid w:val="00FF5364"/>
    <w:rsid w:val="00FF56DF"/>
    <w:rsid w:val="00FF5ED9"/>
    <w:rsid w:val="00FF62F4"/>
    <w:rsid w:val="00FF6374"/>
    <w:rsid w:val="00FF6519"/>
    <w:rsid w:val="00FF69DD"/>
    <w:rsid w:val="00FF7013"/>
    <w:rsid w:val="00FF7C57"/>
    <w:rsid w:val="00FF7F23"/>
    <w:rsid w:val="00FF7F7B"/>
    <w:rsid w:val="00FF7F90"/>
  </w:rsids>
  <m:mathPr>
    <m:mathFont m:val="Cambria Math"/>
    <m:brkBin m:val="before"/>
    <m:brkBinSub m:val="--"/>
    <m:smallFrac m:val="0"/>
    <m:dispDef/>
    <m:lMargin m:val="0"/>
    <m:rMargin m:val="0"/>
    <m:defJc m:val="centerGroup"/>
    <m:wrapRight/>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876D88E6-FDA0-4F40-A270-DEFE747A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D45"/>
    <w:pPr>
      <w:tabs>
        <w:tab w:val="left" w:pos="567"/>
      </w:tabs>
      <w:spacing w:line="260" w:lineRule="exact"/>
    </w:pPr>
    <w:rPr>
      <w:sz w:val="22"/>
      <w:szCs w:val="22"/>
      <w:lang w:val="en-GB"/>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Indent"/>
    <w:link w:val="Heading2Char1"/>
    <w:uiPriority w:val="99"/>
    <w:qFormat/>
    <w:pPr>
      <w:keepNext/>
      <w:tabs>
        <w:tab w:val="clear" w:pos="567"/>
      </w:tabs>
      <w:spacing w:before="240" w:after="60" w:line="240" w:lineRule="auto"/>
      <w:outlineLvl w:val="1"/>
    </w:pPr>
    <w:rPr>
      <w:b/>
      <w:bCs/>
      <w:sz w:val="24"/>
      <w:szCs w:val="24"/>
      <w:lang w:eastAsia="en-GB"/>
    </w:rPr>
  </w:style>
  <w:style w:type="paragraph" w:styleId="Heading3">
    <w:name w:val="heading 3"/>
    <w:basedOn w:val="Normal"/>
    <w:next w:val="Normal"/>
    <w:link w:val="Heading3Char"/>
    <w:uiPriority w:val="9"/>
    <w:qFormat/>
    <w:rsid w:val="003F6A32"/>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3F6A32"/>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qFormat/>
    <w:rsid w:val="003F6A32"/>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qFormat/>
    <w:rsid w:val="003F6A32"/>
    <w:pPr>
      <w:spacing w:before="240" w:after="60"/>
      <w:outlineLvl w:val="5"/>
    </w:pPr>
    <w:rPr>
      <w:rFonts w:ascii="Calibri" w:eastAsia="Times New Roman" w:hAnsi="Calibri"/>
      <w:b/>
      <w:bCs/>
    </w:rPr>
  </w:style>
  <w:style w:type="paragraph" w:styleId="Heading7">
    <w:name w:val="heading 7"/>
    <w:basedOn w:val="Normal"/>
    <w:next w:val="Normal"/>
    <w:link w:val="Heading7Char"/>
    <w:uiPriority w:val="9"/>
    <w:qFormat/>
    <w:rsid w:val="003F6A32"/>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qFormat/>
    <w:rsid w:val="003F6A32"/>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qFormat/>
    <w:rsid w:val="003F6A32"/>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uiPriority w:val="9"/>
    <w:semiHidden/>
    <w:rPr>
      <w:rFonts w:ascii="Cambria" w:eastAsia="Times New Roman" w:hAnsi="Cambria" w:cs="Times New Roman"/>
      <w:b/>
      <w:bCs/>
      <w:i/>
      <w:iCs/>
      <w:sz w:val="28"/>
      <w:szCs w:val="28"/>
      <w:lang w:val="en-GB" w:eastAsia="en-US"/>
    </w:rPr>
  </w:style>
  <w:style w:type="paragraph" w:styleId="Footer">
    <w:name w:val="footer"/>
    <w:basedOn w:val="Normal"/>
    <w:link w:val="FooterChar"/>
    <w:uiPriority w:val="99"/>
    <w:pPr>
      <w:tabs>
        <w:tab w:val="center" w:pos="4536"/>
        <w:tab w:val="right" w:pos="8306"/>
      </w:tabs>
    </w:pPr>
    <w:rPr>
      <w:rFonts w:ascii="Arial" w:hAnsi="Arial" w:cs="Arial"/>
      <w:sz w:val="16"/>
      <w:szCs w:val="16"/>
    </w:rPr>
  </w:style>
  <w:style w:type="character" w:customStyle="1" w:styleId="FooterChar">
    <w:name w:val="Footer Char"/>
    <w:link w:val="Footer"/>
    <w:uiPriority w:val="99"/>
    <w:rPr>
      <w:lang w:val="en-GB" w:eastAsia="en-US"/>
    </w:rPr>
  </w:style>
  <w:style w:type="paragraph" w:styleId="Header">
    <w:name w:val="header"/>
    <w:basedOn w:val="Normal"/>
    <w:link w:val="HeaderChar"/>
    <w:uiPriority w:val="99"/>
    <w:pPr>
      <w:tabs>
        <w:tab w:val="center" w:pos="4153"/>
        <w:tab w:val="right" w:pos="8306"/>
      </w:tabs>
    </w:pPr>
    <w:rPr>
      <w:rFonts w:ascii="Arial" w:hAnsi="Arial" w:cs="Arial"/>
      <w:sz w:val="20"/>
      <w:szCs w:val="20"/>
    </w:rPr>
  </w:style>
  <w:style w:type="character" w:customStyle="1" w:styleId="HeaderChar">
    <w:name w:val="Header Char"/>
    <w:link w:val="Header"/>
    <w:uiPriority w:val="99"/>
    <w:semiHidden/>
    <w:rPr>
      <w:lang w:val="en-GB" w:eastAsia="en-US"/>
    </w:rPr>
  </w:style>
  <w:style w:type="paragraph" w:customStyle="1" w:styleId="MemoHeaderStyle">
    <w:name w:val="MemoHeaderStyle"/>
    <w:basedOn w:val="Normal"/>
    <w:next w:val="Normal"/>
    <w:uiPriority w:val="99"/>
    <w:pPr>
      <w:spacing w:line="120" w:lineRule="atLeast"/>
      <w:ind w:left="1418"/>
      <w:jc w:val="both"/>
    </w:pPr>
    <w:rPr>
      <w:rFonts w:ascii="Arial" w:hAnsi="Arial" w:cs="Arial"/>
      <w:b/>
      <w:bCs/>
      <w:smallCaps/>
    </w:rPr>
  </w:style>
  <w:style w:type="character" w:styleId="PageNumber">
    <w:name w:val="page number"/>
    <w:basedOn w:val="DefaultParagraphFont"/>
    <w:uiPriority w:val="99"/>
  </w:style>
  <w:style w:type="paragraph" w:styleId="BodyText">
    <w:name w:val="Body Text"/>
    <w:basedOn w:val="Normal"/>
    <w:link w:val="BodyTextChar"/>
    <w:uiPriority w:val="99"/>
    <w:pPr>
      <w:tabs>
        <w:tab w:val="clear" w:pos="567"/>
      </w:tabs>
      <w:spacing w:line="240" w:lineRule="auto"/>
    </w:pPr>
    <w:rPr>
      <w:i/>
      <w:iCs/>
      <w:color w:val="008000"/>
    </w:rPr>
  </w:style>
  <w:style w:type="character" w:customStyle="1" w:styleId="BodyTextChar">
    <w:name w:val="Body Text Char"/>
    <w:link w:val="BodyText"/>
    <w:uiPriority w:val="99"/>
    <w:semiHidden/>
    <w:rPr>
      <w:lang w:val="en-GB" w:eastAsia="en-US"/>
    </w:rPr>
  </w:style>
  <w:style w:type="paragraph" w:styleId="CommentText">
    <w:name w:val="annotation text"/>
    <w:aliases w:val=" Car17, Car17 Car, Char Char Char, Char Char1,Annotationtext,Car17,Car17 Car,Char,Char Char Char,Char Char1,Comment Text Char Char,Comment Text Char Char Char,Comment Text Char Char1 Char,Comment Text Char1 Char,Comment Text Char2 Char"/>
    <w:basedOn w:val="Normal"/>
    <w:link w:val="CommentTextChar1"/>
    <w:uiPriority w:val="99"/>
    <w:qFormat/>
    <w:rsid w:val="00ED1D45"/>
    <w:rPr>
      <w:sz w:val="20"/>
      <w:szCs w:val="20"/>
    </w:rPr>
  </w:style>
  <w:style w:type="character" w:customStyle="1" w:styleId="CommentTextChar">
    <w:name w:val="Comment Text Char"/>
    <w:rsid w:val="00ED1D45"/>
    <w:rPr>
      <w:sz w:val="20"/>
      <w:szCs w:val="20"/>
      <w:lang w:val="en-GB" w:eastAsia="en-US"/>
    </w:rPr>
  </w:style>
  <w:style w:type="character" w:styleId="Hyperlink">
    <w:name w:val="Hyperlink"/>
    <w:uiPriority w:val="99"/>
    <w:rPr>
      <w:color w:val="0000FF"/>
      <w:u w:val="single"/>
    </w:rPr>
  </w:style>
  <w:style w:type="paragraph" w:customStyle="1" w:styleId="EMEAEnBodyText">
    <w:name w:val="EMEA En Body Text"/>
    <w:basedOn w:val="Normal"/>
    <w:uiPriority w:val="99"/>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Pr>
      <w:lang w:val="en-GB" w:eastAsia="en-US"/>
    </w:rPr>
  </w:style>
  <w:style w:type="paragraph" w:customStyle="1" w:styleId="BodytextAgency">
    <w:name w:val="Body text (Agency)"/>
    <w:basedOn w:val="Normal"/>
    <w:link w:val="BodytextAgencyChar"/>
    <w:pPr>
      <w:tabs>
        <w:tab w:val="clear" w:pos="567"/>
      </w:tabs>
      <w:spacing w:after="140" w:line="280" w:lineRule="atLeast"/>
    </w:pPr>
    <w:rPr>
      <w:rFonts w:ascii="Verdana" w:eastAsia="Times New Roman" w:hAnsi="Verdana"/>
      <w:sz w:val="18"/>
      <w:szCs w:val="18"/>
      <w:lang w:eastAsia="en-GB"/>
    </w:rPr>
  </w:style>
  <w:style w:type="character" w:customStyle="1" w:styleId="BodytextAgencyChar">
    <w:name w:val="Body text (Agency) Char"/>
    <w:link w:val="BodytextAgency"/>
    <w:locked/>
    <w:rPr>
      <w:rFonts w:ascii="Verdana" w:eastAsia="Times New Roman" w:hAnsi="Verdana" w:cs="Verdana"/>
      <w:sz w:val="18"/>
      <w:szCs w:val="18"/>
      <w:lang w:val="en-GB" w:eastAsia="en-GB"/>
    </w:rPr>
  </w:style>
  <w:style w:type="paragraph" w:customStyle="1" w:styleId="DraftingNotesAgency">
    <w:name w:val="Drafting Notes (Agency)"/>
    <w:basedOn w:val="Normal"/>
    <w:next w:val="BodytextAgency"/>
    <w:link w:val="DraftingNotesAgencyChar"/>
    <w:uiPriority w:val="99"/>
    <w:pPr>
      <w:tabs>
        <w:tab w:val="clear" w:pos="567"/>
      </w:tabs>
      <w:spacing w:after="140" w:line="280" w:lineRule="atLeast"/>
    </w:pPr>
    <w:rPr>
      <w:rFonts w:ascii="Courier New" w:eastAsia="Times New Roman" w:hAnsi="Courier New"/>
      <w:i/>
      <w:iCs/>
      <w:color w:val="339966"/>
      <w:sz w:val="18"/>
      <w:szCs w:val="18"/>
      <w:lang w:eastAsia="en-GB"/>
    </w:rPr>
  </w:style>
  <w:style w:type="character" w:customStyle="1" w:styleId="DraftingNotesAgencyChar">
    <w:name w:val="Drafting Notes (Agency) Char"/>
    <w:link w:val="DraftingNotesAgency"/>
    <w:uiPriority w:val="99"/>
    <w:locked/>
    <w:rPr>
      <w:rFonts w:ascii="Courier New" w:eastAsia="Times New Roman" w:hAnsi="Courier New" w:cs="Courier New"/>
      <w:i/>
      <w:iCs/>
      <w:color w:val="339966"/>
      <w:sz w:val="18"/>
      <w:szCs w:val="18"/>
      <w:lang w:val="en-GB" w:eastAsia="en-GB"/>
    </w:rPr>
  </w:style>
  <w:style w:type="paragraph" w:customStyle="1" w:styleId="NormalAgency">
    <w:name w:val="Normal (Agency)"/>
    <w:link w:val="NormalAgencyChar"/>
    <w:uiPriority w:val="99"/>
    <w:rPr>
      <w:rFonts w:ascii="Verdana" w:eastAsia="Times New Roman" w:hAnsi="Verdana"/>
      <w:sz w:val="18"/>
      <w:szCs w:val="18"/>
      <w:lang w:val="en-GB" w:eastAsia="en-GB"/>
    </w:rPr>
  </w:style>
  <w:style w:type="table" w:customStyle="1" w:styleId="TablegridAgencyblack">
    <w:name w:val="Table grid (Agency) black"/>
    <w:basedOn w:val="TableNormal"/>
    <w:uiPriority w:val="99"/>
    <w:semiHidden/>
    <w:rPr>
      <w:rFonts w:ascii="Verdana" w:hAnsi="Verdana" w:cs="Verdana"/>
      <w:sz w:val="18"/>
      <w:szCs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uiPriority w:val="99"/>
    <w:pPr>
      <w:keepNext/>
    </w:pPr>
    <w:rPr>
      <w:rFonts w:eastAsia="SimSun"/>
      <w:b/>
      <w:bCs/>
    </w:rPr>
  </w:style>
  <w:style w:type="paragraph" w:customStyle="1" w:styleId="TabletextrowsAgency">
    <w:name w:val="Table text rows (Agency)"/>
    <w:basedOn w:val="Normal"/>
    <w:uiPriority w:val="99"/>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Pr>
      <w:rFonts w:ascii="Verdana" w:eastAsia="Times New Roman" w:hAnsi="Verdana"/>
      <w:sz w:val="18"/>
      <w:szCs w:val="18"/>
      <w:lang w:val="en-GB" w:eastAsia="en-GB" w:bidi="ar-SA"/>
    </w:rPr>
  </w:style>
  <w:style w:type="paragraph" w:customStyle="1" w:styleId="labeltext">
    <w:name w:val="label text"/>
    <w:link w:val="labeltextChar"/>
    <w:uiPriority w:val="99"/>
  </w:style>
  <w:style w:type="character" w:customStyle="1" w:styleId="labeltextChar">
    <w:name w:val="label text Char"/>
    <w:link w:val="labeltext"/>
    <w:uiPriority w:val="99"/>
    <w:locked/>
    <w:rPr>
      <w:lang w:val="en-US" w:eastAsia="en-US" w:bidi="ar-SA"/>
    </w:rPr>
  </w:style>
  <w:style w:type="paragraph" w:customStyle="1" w:styleId="labeltextheading">
    <w:name w:val="label text heading"/>
    <w:basedOn w:val="labeltext"/>
    <w:uiPriority w:val="99"/>
    <w:pPr>
      <w:keepNext/>
    </w:pPr>
    <w:rPr>
      <w:i/>
      <w:iCs/>
    </w:rPr>
  </w:style>
  <w:style w:type="paragraph" w:styleId="NormalIndent">
    <w:name w:val="Normal Indent"/>
    <w:basedOn w:val="Normal"/>
    <w:uiPriority w:val="99"/>
    <w:pPr>
      <w:tabs>
        <w:tab w:val="clear" w:pos="567"/>
      </w:tabs>
      <w:spacing w:after="120" w:line="240" w:lineRule="auto"/>
      <w:ind w:left="720"/>
    </w:pPr>
    <w:rPr>
      <w:lang w:eastAsia="en-GB"/>
    </w:rPr>
  </w:style>
  <w:style w:type="paragraph" w:customStyle="1" w:styleId="documenttext">
    <w:name w:val="document text"/>
    <w:link w:val="documenttextChar1"/>
    <w:pPr>
      <w:spacing w:after="120"/>
    </w:pPr>
    <w:rPr>
      <w:sz w:val="24"/>
      <w:szCs w:val="24"/>
    </w:rPr>
  </w:style>
  <w:style w:type="character" w:customStyle="1" w:styleId="documenttextChar1">
    <w:name w:val="document text Char1"/>
    <w:link w:val="documenttext"/>
    <w:locked/>
    <w:rPr>
      <w:sz w:val="24"/>
      <w:szCs w:val="24"/>
      <w:lang w:val="en-US" w:eastAsia="en-US" w:bidi="ar-SA"/>
    </w:rPr>
  </w:style>
  <w:style w:type="character" w:customStyle="1" w:styleId="CommentTextChar1">
    <w:name w:val="Comment Text Char1"/>
    <w:aliases w:val=" Car17 Char, Car17 Car Char, Char Char Char Char, Char Char1 Char,Annotationtext Char,Car17 Char,Car17 Car Char,Char Char,Char Char Char Char,Char Char1 Char,Comment Text Char Char Char1,Comment Text Char Char Char Char"/>
    <w:link w:val="CommentText"/>
    <w:uiPriority w:val="99"/>
    <w:locked/>
    <w:rPr>
      <w:lang w:val="en-GB"/>
    </w:rPr>
  </w:style>
  <w:style w:type="paragraph" w:customStyle="1" w:styleId="TableTitle">
    <w:name w:val="Table Title"/>
    <w:next w:val="Normal"/>
    <w:link w:val="TableTitleChar"/>
    <w:uiPriority w:val="99"/>
    <w:pPr>
      <w:keepNext/>
      <w:keepLines/>
      <w:tabs>
        <w:tab w:val="num" w:pos="0"/>
        <w:tab w:val="left" w:pos="1440"/>
      </w:tabs>
      <w:spacing w:after="120"/>
      <w:ind w:left="1440" w:hanging="1440"/>
    </w:pPr>
    <w:rPr>
      <w:rFonts w:ascii="Times New Roman Bold" w:hAnsi="Times New Roman Bold" w:cs="Times New Roman Bold"/>
      <w:b/>
      <w:bCs/>
      <w:sz w:val="24"/>
      <w:szCs w:val="24"/>
    </w:rPr>
  </w:style>
  <w:style w:type="paragraph" w:customStyle="1" w:styleId="tabletextleftjustified">
    <w:name w:val="table text left justified"/>
    <w:link w:val="tabletextleftjustifiedChar"/>
    <w:uiPriority w:val="99"/>
    <w:pPr>
      <w:spacing w:before="20" w:after="20"/>
    </w:pPr>
  </w:style>
  <w:style w:type="character" w:customStyle="1" w:styleId="tabletextleftjustifiedChar">
    <w:name w:val="table text left justified Char"/>
    <w:link w:val="tabletextleftjustified"/>
    <w:uiPriority w:val="99"/>
    <w:locked/>
    <w:rPr>
      <w:lang w:val="en-US" w:eastAsia="en-US" w:bidi="ar-SA"/>
    </w:rPr>
  </w:style>
  <w:style w:type="paragraph" w:customStyle="1" w:styleId="tablefootnote">
    <w:name w:val="table footnote"/>
    <w:link w:val="tablefootnoteChar"/>
    <w:uiPriority w:val="99"/>
    <w:pPr>
      <w:tabs>
        <w:tab w:val="left" w:pos="288"/>
      </w:tabs>
    </w:pPr>
  </w:style>
  <w:style w:type="character" w:customStyle="1" w:styleId="tablefootnoteChar">
    <w:name w:val="table footnote Char"/>
    <w:link w:val="tablefootnote"/>
    <w:uiPriority w:val="99"/>
    <w:locked/>
    <w:rPr>
      <w:lang w:val="en-US" w:eastAsia="en-US" w:bidi="ar-SA"/>
    </w:rPr>
  </w:style>
  <w:style w:type="character" w:customStyle="1" w:styleId="TableTitleChar">
    <w:name w:val="Table Title Char"/>
    <w:link w:val="TableTitle"/>
    <w:uiPriority w:val="99"/>
    <w:locked/>
    <w:rPr>
      <w:rFonts w:ascii="Times New Roman Bold" w:hAnsi="Times New Roman Bold" w:cs="Times New Roman Bold"/>
      <w:b/>
      <w:bCs/>
      <w:sz w:val="24"/>
      <w:szCs w:val="24"/>
      <w:lang w:val="en-US" w:eastAsia="en-US" w:bidi="ar-SA"/>
    </w:rPr>
  </w:style>
  <w:style w:type="character" w:customStyle="1" w:styleId="hilighti1">
    <w:name w:val="hilighti1"/>
    <w:uiPriority w:val="99"/>
    <w:rPr>
      <w:b/>
      <w:bCs/>
      <w:color w:val="FF0000"/>
      <w:u w:val="single"/>
    </w:rPr>
  </w:style>
  <w:style w:type="character" w:customStyle="1" w:styleId="hilightu">
    <w:name w:val="hilightu"/>
    <w:basedOn w:val="DefaultParagraphFont"/>
    <w:uiPriority w:val="99"/>
  </w:style>
  <w:style w:type="character" w:customStyle="1" w:styleId="Heading2Char1">
    <w:name w:val="Heading 2 Char1"/>
    <w:link w:val="Heading2"/>
    <w:uiPriority w:val="99"/>
    <w:semiHidden/>
    <w:locked/>
    <w:rPr>
      <w:b/>
      <w:bCs/>
      <w:sz w:val="24"/>
      <w:szCs w:val="24"/>
      <w:lang w:val="en-GB" w:eastAsia="en-GB"/>
    </w:rPr>
  </w:style>
  <w:style w:type="character" w:customStyle="1" w:styleId="DocumentTextChar">
    <w:name w:val="Document Text Char"/>
    <w:link w:val="DocumentText0"/>
    <w:uiPriority w:val="99"/>
    <w:locked/>
    <w:rPr>
      <w:rFonts w:eastAsia="MS Mincho"/>
      <w:sz w:val="22"/>
      <w:szCs w:val="22"/>
      <w:u w:val="single"/>
      <w:lang w:val="en-GB" w:eastAsia="en-GB" w:bidi="ar-SA"/>
    </w:rPr>
  </w:style>
  <w:style w:type="paragraph" w:customStyle="1" w:styleId="DocumentText0">
    <w:name w:val="Document Text"/>
    <w:link w:val="DocumentTextChar"/>
    <w:autoRedefine/>
    <w:uiPriority w:val="99"/>
    <w:rPr>
      <w:rFonts w:eastAsia="MS Mincho"/>
      <w:sz w:val="22"/>
      <w:szCs w:val="22"/>
      <w:u w:val="single"/>
      <w:lang w:val="en-GB" w:eastAsia="en-GB"/>
    </w:rPr>
  </w:style>
  <w:style w:type="paragraph" w:styleId="BodyText2">
    <w:name w:val="Body Text 2"/>
    <w:basedOn w:val="Normal"/>
    <w:link w:val="BodyText2Char"/>
    <w:uiPriority w:val="99"/>
    <w:pPr>
      <w:tabs>
        <w:tab w:val="clear" w:pos="567"/>
      </w:tabs>
      <w:spacing w:after="120" w:line="480" w:lineRule="auto"/>
    </w:pPr>
    <w:rPr>
      <w:lang w:eastAsia="en-GB"/>
    </w:rPr>
  </w:style>
  <w:style w:type="character" w:customStyle="1" w:styleId="BodyText2Char">
    <w:name w:val="Body Text 2 Char"/>
    <w:link w:val="BodyText2"/>
    <w:uiPriority w:val="99"/>
    <w:semiHidden/>
    <w:rPr>
      <w:lang w:val="en-GB" w:eastAsia="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ootnotelast">
    <w:name w:val="table footnote last"/>
    <w:basedOn w:val="tablefootnote"/>
    <w:link w:val="tablefootnotelastChar"/>
    <w:uiPriority w:val="99"/>
    <w:pPr>
      <w:spacing w:after="240"/>
    </w:pPr>
  </w:style>
  <w:style w:type="character" w:customStyle="1" w:styleId="tablefootnotelastChar">
    <w:name w:val="table footnote last Char"/>
    <w:link w:val="tablefootnotelast"/>
    <w:uiPriority w:val="99"/>
    <w:locked/>
    <w:rPr>
      <w:lang w:val="en-US" w:eastAsia="en-US"/>
    </w:rPr>
  </w:style>
  <w:style w:type="paragraph" w:customStyle="1" w:styleId="tabletextcenterjustified">
    <w:name w:val="table text center justified"/>
    <w:link w:val="tabletextcenterjustifiedChar"/>
    <w:uiPriority w:val="99"/>
    <w:pPr>
      <w:spacing w:before="20" w:after="20"/>
      <w:jc w:val="center"/>
    </w:pPr>
  </w:style>
  <w:style w:type="character" w:customStyle="1" w:styleId="tabletextcenterjustifiedChar">
    <w:name w:val="table text center justified Char"/>
    <w:link w:val="tabletextcenterjustified"/>
    <w:uiPriority w:val="99"/>
    <w:locked/>
    <w:rPr>
      <w:lang w:val="en-US" w:eastAsia="en-US" w:bidi="ar-SA"/>
    </w:rPr>
  </w:style>
  <w:style w:type="paragraph" w:customStyle="1" w:styleId="Default">
    <w:name w:val="Default"/>
    <w:pPr>
      <w:autoSpaceDE w:val="0"/>
      <w:autoSpaceDN w:val="0"/>
      <w:adjustRightInd w:val="0"/>
    </w:pPr>
    <w:rPr>
      <w:color w:val="000000"/>
      <w:sz w:val="24"/>
      <w:szCs w:val="24"/>
    </w:rPr>
  </w:style>
  <w:style w:type="character" w:styleId="CommentReference">
    <w:name w:val="annotation reference"/>
    <w:uiPriority w:val="99"/>
    <w:rsid w:val="00E238A9"/>
    <w:rPr>
      <w:sz w:val="16"/>
      <w:szCs w:val="16"/>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Pr>
      <w:b/>
      <w:bCs/>
      <w:sz w:val="20"/>
      <w:szCs w:val="20"/>
      <w:lang w:val="en-GB" w:eastAsia="en-US"/>
    </w:rPr>
  </w:style>
  <w:style w:type="paragraph" w:customStyle="1" w:styleId="Revisin1">
    <w:name w:val="Revisión1"/>
    <w:hidden/>
    <w:uiPriority w:val="99"/>
    <w:semiHidden/>
    <w:rPr>
      <w:sz w:val="22"/>
      <w:szCs w:val="22"/>
      <w:lang w:val="en-GB"/>
    </w:rPr>
  </w:style>
  <w:style w:type="character" w:customStyle="1" w:styleId="aalonsog">
    <w:name w:val="aalonsog"/>
    <w:semiHidden/>
    <w:rPr>
      <w:rFonts w:ascii="Verdana" w:hAnsi="Verdana"/>
      <w:b w:val="0"/>
      <w:bCs w:val="0"/>
      <w:i w:val="0"/>
      <w:iCs w:val="0"/>
      <w:strike w:val="0"/>
      <w:color w:val="000080"/>
      <w:sz w:val="18"/>
      <w:szCs w:val="18"/>
      <w:u w:val="none"/>
    </w:rPr>
  </w:style>
  <w:style w:type="character" w:customStyle="1" w:styleId="NormalAgencyCar">
    <w:name w:val="Normal (Agency) Car"/>
    <w:rPr>
      <w:rFonts w:ascii="Verdana" w:eastAsia="Verdana" w:hAnsi="Verdana" w:cs="Verdana"/>
      <w:sz w:val="18"/>
      <w:szCs w:val="18"/>
      <w:lang w:val="en-GB" w:eastAsia="en-GB" w:bidi="ar-SA"/>
    </w:rPr>
  </w:style>
  <w:style w:type="paragraph" w:styleId="NormalWeb">
    <w:name w:val="Normal (Web)"/>
    <w:basedOn w:val="Normal"/>
    <w:pPr>
      <w:tabs>
        <w:tab w:val="clear" w:pos="567"/>
      </w:tabs>
      <w:spacing w:before="100" w:beforeAutospacing="1" w:after="100" w:afterAutospacing="1" w:line="240" w:lineRule="auto"/>
    </w:pPr>
    <w:rPr>
      <w:rFonts w:eastAsia="MS Mincho"/>
      <w:sz w:val="24"/>
      <w:szCs w:val="24"/>
      <w:lang w:val="en-US" w:eastAsia="ja-JP"/>
    </w:rPr>
  </w:style>
  <w:style w:type="paragraph" w:styleId="Caption">
    <w:name w:val="caption"/>
    <w:aliases w:val="Caption 3,appendix,c"/>
    <w:next w:val="Normal"/>
    <w:link w:val="CaptionChar"/>
    <w:qFormat/>
    <w:pPr>
      <w:keepNext/>
      <w:widowControl w:val="0"/>
      <w:spacing w:before="120" w:after="60"/>
      <w:ind w:left="1440" w:hanging="1440"/>
    </w:pPr>
    <w:rPr>
      <w:rFonts w:ascii="Times New Roman Bold" w:eastAsia="Times New Roman" w:hAnsi="Times New Roman Bold"/>
      <w:b/>
      <w:bCs/>
      <w:snapToGrid w:val="0"/>
      <w:sz w:val="24"/>
    </w:rPr>
  </w:style>
  <w:style w:type="character" w:customStyle="1" w:styleId="CaptionChar">
    <w:name w:val="Caption Char"/>
    <w:aliases w:val="Caption 3 Char,appendix Char,c Char"/>
    <w:link w:val="Caption"/>
    <w:rPr>
      <w:rFonts w:ascii="Times New Roman Bold" w:hAnsi="Times New Roman Bold"/>
      <w:b/>
      <w:bCs/>
      <w:snapToGrid w:val="0"/>
      <w:sz w:val="24"/>
      <w:lang w:val="en-US" w:eastAsia="en-US" w:bidi="ar-SA"/>
    </w:rPr>
  </w:style>
  <w:style w:type="paragraph" w:customStyle="1" w:styleId="normal-p">
    <w:name w:val="normal-p"/>
    <w:basedOn w:val="Normal"/>
    <w:pPr>
      <w:tabs>
        <w:tab w:val="clear" w:pos="567"/>
      </w:tabs>
      <w:spacing w:line="260" w:lineRule="atLeast"/>
    </w:pPr>
    <w:rPr>
      <w:rFonts w:eastAsia="MS Mincho"/>
      <w:sz w:val="20"/>
      <w:szCs w:val="20"/>
      <w:lang w:val="en-US" w:eastAsia="ja-JP"/>
    </w:rPr>
  </w:style>
  <w:style w:type="character" w:customStyle="1" w:styleId="normal-h1">
    <w:name w:val="normal-h1"/>
    <w:rPr>
      <w:rFonts w:ascii="Times New Roman" w:hAnsi="Times New Roman" w:cs="Times New Roman" w:hint="default"/>
      <w:sz w:val="22"/>
      <w:szCs w:val="22"/>
    </w:rPr>
  </w:style>
  <w:style w:type="character" w:customStyle="1" w:styleId="hilightd1">
    <w:name w:val="hilightd1"/>
    <w:rPr>
      <w:strike/>
      <w:color w:val="FF0000"/>
    </w:rPr>
  </w:style>
  <w:style w:type="character" w:styleId="Emphasis">
    <w:name w:val="Emphasis"/>
    <w:qFormat/>
    <w:rPr>
      <w:i/>
      <w:iCs/>
    </w:rPr>
  </w:style>
  <w:style w:type="character" w:styleId="FollowedHyperlink">
    <w:name w:val="FollowedHyperlink"/>
    <w:rPr>
      <w:color w:val="800080"/>
      <w:u w:val="single"/>
    </w:rPr>
  </w:style>
  <w:style w:type="paragraph" w:customStyle="1" w:styleId="FooterAgency">
    <w:name w:val="Footer (Agency)"/>
    <w:basedOn w:val="Normal"/>
    <w:link w:val="FooterAgencyCharChar"/>
    <w:pPr>
      <w:tabs>
        <w:tab w:val="clear" w:pos="567"/>
      </w:tabs>
      <w:spacing w:line="240" w:lineRule="auto"/>
    </w:pPr>
    <w:rPr>
      <w:rFonts w:ascii="Verdana" w:eastAsia="Verdana" w:hAnsi="Verdana" w:cs="Verdana"/>
      <w:color w:val="6D6F71"/>
      <w:sz w:val="14"/>
      <w:szCs w:val="14"/>
      <w:lang w:eastAsia="en-GB"/>
    </w:rPr>
  </w:style>
  <w:style w:type="character" w:customStyle="1" w:styleId="FooterAgencyCharChar">
    <w:name w:val="Footer (Agency) Char Char"/>
    <w:link w:val="FooterAgency"/>
    <w:semiHidden/>
    <w:rPr>
      <w:rFonts w:ascii="Verdana" w:eastAsia="Verdana" w:hAnsi="Verdana" w:cs="Verdana"/>
      <w:color w:val="6D6F71"/>
      <w:sz w:val="14"/>
      <w:szCs w:val="14"/>
      <w:lang w:val="en-GB" w:eastAsia="en-GB" w:bidi="ar-SA"/>
    </w:rPr>
  </w:style>
  <w:style w:type="paragraph" w:customStyle="1" w:styleId="No-numheading3Agency">
    <w:name w:val="No-num heading 3 (Agency)"/>
    <w:basedOn w:val="Normal"/>
    <w:next w:val="BodytextAgency"/>
    <w:link w:val="No-numheading3AgencyChar"/>
    <w:pPr>
      <w:keepNext/>
      <w:tabs>
        <w:tab w:val="clear" w:pos="567"/>
      </w:tabs>
      <w:spacing w:before="280" w:after="220" w:line="240" w:lineRule="auto"/>
      <w:outlineLvl w:val="2"/>
    </w:pPr>
    <w:rPr>
      <w:rFonts w:ascii="Verdana" w:eastAsia="Verdana" w:hAnsi="Verdana" w:cs="Arial"/>
      <w:b/>
      <w:bCs/>
      <w:kern w:val="32"/>
      <w:lang w:eastAsia="en-GB"/>
    </w:rPr>
  </w:style>
  <w:style w:type="character" w:customStyle="1" w:styleId="No-numheading3AgencyChar">
    <w:name w:val="No-num heading 3 (Agency) Char"/>
    <w:link w:val="No-numheading3Agency"/>
    <w:rPr>
      <w:rFonts w:ascii="Verdana" w:eastAsia="Verdana" w:hAnsi="Verdana" w:cs="Arial"/>
      <w:b/>
      <w:bCs/>
      <w:kern w:val="32"/>
      <w:sz w:val="22"/>
      <w:szCs w:val="22"/>
      <w:lang w:val="en-GB" w:eastAsia="en-GB" w:bidi="ar-SA"/>
    </w:rPr>
  </w:style>
  <w:style w:type="paragraph" w:customStyle="1" w:styleId="TitleA">
    <w:name w:val="Title A"/>
    <w:basedOn w:val="Heading1"/>
    <w:qFormat/>
    <w:rsid w:val="00306513"/>
    <w:pPr>
      <w:spacing w:before="0" w:after="0" w:line="240" w:lineRule="auto"/>
      <w:jc w:val="center"/>
    </w:pPr>
    <w:rPr>
      <w:rFonts w:ascii="Times New Roman" w:hAnsi="Times New Roman" w:cs="Times New Roman"/>
      <w:sz w:val="22"/>
      <w:szCs w:val="22"/>
    </w:rPr>
  </w:style>
  <w:style w:type="paragraph" w:customStyle="1" w:styleId="TitleB">
    <w:name w:val="Title B"/>
    <w:basedOn w:val="No-numheading3Agency"/>
    <w:qFormat/>
    <w:rsid w:val="00CE1C1E"/>
    <w:pPr>
      <w:spacing w:before="0" w:after="0"/>
      <w:ind w:left="567" w:hanging="567"/>
    </w:pPr>
    <w:rPr>
      <w:rFonts w:ascii="Times New Roman Bold" w:hAnsi="Times New Roman Bold" w:cs="Times New Roman"/>
      <w:caps/>
    </w:rPr>
  </w:style>
  <w:style w:type="paragraph" w:customStyle="1" w:styleId="DocsubtitleAgency">
    <w:name w:val="Doc subtitle (Agency)"/>
    <w:basedOn w:val="Normal"/>
    <w:next w:val="Normal"/>
    <w:pPr>
      <w:tabs>
        <w:tab w:val="clear" w:pos="567"/>
      </w:tabs>
      <w:spacing w:after="640" w:line="360" w:lineRule="atLeast"/>
    </w:pPr>
    <w:rPr>
      <w:rFonts w:ascii="Verdana" w:eastAsia="Verdana" w:hAnsi="Verdana" w:cs="Verdana"/>
      <w:sz w:val="24"/>
      <w:szCs w:val="24"/>
      <w:lang w:eastAsia="en-GB"/>
    </w:rPr>
  </w:style>
  <w:style w:type="paragraph" w:styleId="Revision">
    <w:name w:val="Revision"/>
    <w:hidden/>
    <w:uiPriority w:val="99"/>
    <w:semiHidden/>
    <w:rPr>
      <w:sz w:val="22"/>
      <w:szCs w:val="22"/>
      <w:lang w:val="en-GB"/>
    </w:rPr>
  </w:style>
  <w:style w:type="paragraph" w:styleId="ListParagraph">
    <w:name w:val="List Paragraph"/>
    <w:basedOn w:val="Normal"/>
    <w:uiPriority w:val="34"/>
    <w:qFormat/>
    <w:pPr>
      <w:tabs>
        <w:tab w:val="clear" w:pos="567"/>
      </w:tabs>
      <w:spacing w:line="240" w:lineRule="auto"/>
      <w:ind w:left="720"/>
      <w:contextualSpacing/>
    </w:pPr>
    <w:rPr>
      <w:rFonts w:eastAsia="Times New Roman"/>
      <w:lang w:val="en-US"/>
    </w:rPr>
  </w:style>
  <w:style w:type="paragraph" w:styleId="PlainText">
    <w:name w:val="Plain Text"/>
    <w:basedOn w:val="Normal"/>
    <w:link w:val="PlainTextChar"/>
    <w:uiPriority w:val="99"/>
    <w:semiHidden/>
    <w:unhideWhenUsed/>
    <w:rsid w:val="002C4D50"/>
    <w:rPr>
      <w:rFonts w:ascii="Courier New" w:hAnsi="Courier New" w:cs="Courier New"/>
      <w:sz w:val="20"/>
      <w:szCs w:val="20"/>
    </w:rPr>
  </w:style>
  <w:style w:type="character" w:customStyle="1" w:styleId="PlainTextChar">
    <w:name w:val="Plain Text Char"/>
    <w:link w:val="PlainText"/>
    <w:uiPriority w:val="99"/>
    <w:semiHidden/>
    <w:rsid w:val="002C4D50"/>
    <w:rPr>
      <w:rFonts w:ascii="Courier New" w:hAnsi="Courier New" w:cs="Courier New"/>
      <w:lang w:val="en-GB"/>
    </w:rPr>
  </w:style>
  <w:style w:type="character" w:customStyle="1" w:styleId="s10">
    <w:name w:val="s10"/>
    <w:rsid w:val="00096B0E"/>
  </w:style>
  <w:style w:type="paragraph" w:customStyle="1" w:styleId="s15">
    <w:name w:val="s15"/>
    <w:basedOn w:val="Normal"/>
    <w:uiPriority w:val="99"/>
    <w:rsid w:val="004B5786"/>
    <w:pPr>
      <w:tabs>
        <w:tab w:val="clear" w:pos="567"/>
      </w:tabs>
      <w:spacing w:before="100" w:beforeAutospacing="1" w:after="100" w:afterAutospacing="1" w:line="240" w:lineRule="auto"/>
    </w:pPr>
    <w:rPr>
      <w:sz w:val="24"/>
      <w:szCs w:val="24"/>
      <w:lang w:val="en-US"/>
    </w:rPr>
  </w:style>
  <w:style w:type="paragraph" w:styleId="Bibliography">
    <w:name w:val="Bibliography"/>
    <w:basedOn w:val="Normal"/>
    <w:next w:val="Normal"/>
    <w:uiPriority w:val="37"/>
    <w:semiHidden/>
    <w:unhideWhenUsed/>
    <w:rsid w:val="003F6A32"/>
  </w:style>
  <w:style w:type="paragraph" w:styleId="BlockText">
    <w:name w:val="Block Text"/>
    <w:basedOn w:val="Normal"/>
    <w:uiPriority w:val="99"/>
    <w:semiHidden/>
    <w:unhideWhenUsed/>
    <w:rsid w:val="003F6A32"/>
    <w:pPr>
      <w:spacing w:after="120"/>
      <w:ind w:left="1440" w:right="1440"/>
    </w:pPr>
  </w:style>
  <w:style w:type="paragraph" w:styleId="BodyText3">
    <w:name w:val="Body Text 3"/>
    <w:basedOn w:val="Normal"/>
    <w:link w:val="BodyText3Char"/>
    <w:uiPriority w:val="99"/>
    <w:semiHidden/>
    <w:unhideWhenUsed/>
    <w:rsid w:val="003F6A32"/>
    <w:pPr>
      <w:spacing w:after="120"/>
    </w:pPr>
    <w:rPr>
      <w:sz w:val="16"/>
      <w:szCs w:val="16"/>
    </w:rPr>
  </w:style>
  <w:style w:type="character" w:customStyle="1" w:styleId="BodyText3Char">
    <w:name w:val="Body Text 3 Char"/>
    <w:link w:val="BodyText3"/>
    <w:uiPriority w:val="99"/>
    <w:semiHidden/>
    <w:rsid w:val="003F6A32"/>
    <w:rPr>
      <w:sz w:val="16"/>
      <w:szCs w:val="16"/>
      <w:lang w:val="en-GB"/>
    </w:rPr>
  </w:style>
  <w:style w:type="paragraph" w:styleId="BodyTextFirstIndent">
    <w:name w:val="Body Text First Indent"/>
    <w:basedOn w:val="BodyText"/>
    <w:link w:val="BodyTextFirstIndentChar"/>
    <w:uiPriority w:val="99"/>
    <w:semiHidden/>
    <w:unhideWhenUsed/>
    <w:rsid w:val="003F6A32"/>
    <w:pPr>
      <w:tabs>
        <w:tab w:val="left" w:pos="567"/>
      </w:tabs>
      <w:spacing w:after="120" w:line="260" w:lineRule="exact"/>
      <w:ind w:firstLine="210"/>
    </w:pPr>
    <w:rPr>
      <w:i w:val="0"/>
      <w:iCs w:val="0"/>
      <w:color w:val="auto"/>
    </w:rPr>
  </w:style>
  <w:style w:type="character" w:customStyle="1" w:styleId="BodyTextFirstIndentChar">
    <w:name w:val="Body Text First Indent Char"/>
    <w:link w:val="BodyTextFirstIndent"/>
    <w:uiPriority w:val="99"/>
    <w:semiHidden/>
    <w:rsid w:val="003F6A32"/>
    <w:rPr>
      <w:sz w:val="22"/>
      <w:szCs w:val="22"/>
      <w:lang w:val="en-GB" w:eastAsia="en-US"/>
    </w:rPr>
  </w:style>
  <w:style w:type="paragraph" w:styleId="BodyTextIndent">
    <w:name w:val="Body Text Indent"/>
    <w:basedOn w:val="Normal"/>
    <w:link w:val="BodyTextIndentChar"/>
    <w:uiPriority w:val="99"/>
    <w:semiHidden/>
    <w:unhideWhenUsed/>
    <w:rsid w:val="003F6A32"/>
    <w:pPr>
      <w:spacing w:after="120"/>
      <w:ind w:left="283"/>
    </w:pPr>
  </w:style>
  <w:style w:type="character" w:customStyle="1" w:styleId="BodyTextIndentChar">
    <w:name w:val="Body Text Indent Char"/>
    <w:link w:val="BodyTextIndent"/>
    <w:uiPriority w:val="99"/>
    <w:semiHidden/>
    <w:rsid w:val="003F6A32"/>
    <w:rPr>
      <w:sz w:val="22"/>
      <w:szCs w:val="22"/>
      <w:lang w:val="en-GB"/>
    </w:rPr>
  </w:style>
  <w:style w:type="paragraph" w:styleId="BodyTextFirstIndent2">
    <w:name w:val="Body Text First Indent 2"/>
    <w:basedOn w:val="BodyTextIndent"/>
    <w:link w:val="BodyTextFirstIndent2Char"/>
    <w:uiPriority w:val="99"/>
    <w:semiHidden/>
    <w:unhideWhenUsed/>
    <w:rsid w:val="003F6A32"/>
    <w:pPr>
      <w:ind w:firstLine="210"/>
    </w:pPr>
  </w:style>
  <w:style w:type="character" w:customStyle="1" w:styleId="BodyTextFirstIndent2Char">
    <w:name w:val="Body Text First Indent 2 Char"/>
    <w:basedOn w:val="BodyTextIndentChar"/>
    <w:link w:val="BodyTextFirstIndent2"/>
    <w:uiPriority w:val="99"/>
    <w:semiHidden/>
    <w:rsid w:val="003F6A32"/>
    <w:rPr>
      <w:sz w:val="22"/>
      <w:szCs w:val="22"/>
      <w:lang w:val="en-GB"/>
    </w:rPr>
  </w:style>
  <w:style w:type="paragraph" w:styleId="BodyTextIndent2">
    <w:name w:val="Body Text Indent 2"/>
    <w:basedOn w:val="Normal"/>
    <w:link w:val="BodyTextIndent2Char"/>
    <w:uiPriority w:val="99"/>
    <w:semiHidden/>
    <w:unhideWhenUsed/>
    <w:rsid w:val="003F6A32"/>
    <w:pPr>
      <w:spacing w:after="120" w:line="480" w:lineRule="auto"/>
      <w:ind w:left="283"/>
    </w:pPr>
  </w:style>
  <w:style w:type="character" w:customStyle="1" w:styleId="BodyTextIndent2Char">
    <w:name w:val="Body Text Indent 2 Char"/>
    <w:link w:val="BodyTextIndent2"/>
    <w:uiPriority w:val="99"/>
    <w:semiHidden/>
    <w:rsid w:val="003F6A32"/>
    <w:rPr>
      <w:sz w:val="22"/>
      <w:szCs w:val="22"/>
      <w:lang w:val="en-GB"/>
    </w:rPr>
  </w:style>
  <w:style w:type="paragraph" w:styleId="BodyTextIndent3">
    <w:name w:val="Body Text Indent 3"/>
    <w:basedOn w:val="Normal"/>
    <w:link w:val="BodyTextIndent3Char"/>
    <w:uiPriority w:val="99"/>
    <w:semiHidden/>
    <w:unhideWhenUsed/>
    <w:rsid w:val="003F6A32"/>
    <w:pPr>
      <w:spacing w:after="120"/>
      <w:ind w:left="283"/>
    </w:pPr>
    <w:rPr>
      <w:sz w:val="16"/>
      <w:szCs w:val="16"/>
    </w:rPr>
  </w:style>
  <w:style w:type="character" w:customStyle="1" w:styleId="BodyTextIndent3Char">
    <w:name w:val="Body Text Indent 3 Char"/>
    <w:link w:val="BodyTextIndent3"/>
    <w:uiPriority w:val="99"/>
    <w:semiHidden/>
    <w:rsid w:val="003F6A32"/>
    <w:rPr>
      <w:sz w:val="16"/>
      <w:szCs w:val="16"/>
      <w:lang w:val="en-GB"/>
    </w:rPr>
  </w:style>
  <w:style w:type="paragraph" w:styleId="Closing">
    <w:name w:val="Closing"/>
    <w:basedOn w:val="Normal"/>
    <w:link w:val="ClosingChar"/>
    <w:uiPriority w:val="99"/>
    <w:semiHidden/>
    <w:unhideWhenUsed/>
    <w:rsid w:val="003F6A32"/>
    <w:pPr>
      <w:ind w:left="4252"/>
    </w:pPr>
  </w:style>
  <w:style w:type="character" w:customStyle="1" w:styleId="ClosingChar">
    <w:name w:val="Closing Char"/>
    <w:link w:val="Closing"/>
    <w:uiPriority w:val="99"/>
    <w:semiHidden/>
    <w:rsid w:val="003F6A32"/>
    <w:rPr>
      <w:sz w:val="22"/>
      <w:szCs w:val="22"/>
      <w:lang w:val="en-GB"/>
    </w:rPr>
  </w:style>
  <w:style w:type="paragraph" w:styleId="Date">
    <w:name w:val="Date"/>
    <w:basedOn w:val="Normal"/>
    <w:next w:val="Normal"/>
    <w:link w:val="DateChar"/>
    <w:uiPriority w:val="99"/>
    <w:semiHidden/>
    <w:unhideWhenUsed/>
    <w:rsid w:val="003F6A32"/>
  </w:style>
  <w:style w:type="character" w:customStyle="1" w:styleId="DateChar">
    <w:name w:val="Date Char"/>
    <w:link w:val="Date"/>
    <w:uiPriority w:val="99"/>
    <w:semiHidden/>
    <w:rsid w:val="003F6A32"/>
    <w:rPr>
      <w:sz w:val="22"/>
      <w:szCs w:val="22"/>
      <w:lang w:val="en-GB"/>
    </w:rPr>
  </w:style>
  <w:style w:type="paragraph" w:styleId="DocumentMap">
    <w:name w:val="Document Map"/>
    <w:basedOn w:val="Normal"/>
    <w:link w:val="DocumentMapChar"/>
    <w:uiPriority w:val="99"/>
    <w:semiHidden/>
    <w:unhideWhenUsed/>
    <w:rsid w:val="003F6A32"/>
    <w:rPr>
      <w:rFonts w:ascii="Tahoma" w:hAnsi="Tahoma" w:cs="Tahoma"/>
      <w:sz w:val="16"/>
      <w:szCs w:val="16"/>
    </w:rPr>
  </w:style>
  <w:style w:type="character" w:customStyle="1" w:styleId="DocumentMapChar">
    <w:name w:val="Document Map Char"/>
    <w:link w:val="DocumentMap"/>
    <w:uiPriority w:val="99"/>
    <w:semiHidden/>
    <w:rsid w:val="003F6A32"/>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3F6A32"/>
  </w:style>
  <w:style w:type="character" w:customStyle="1" w:styleId="E-mailSignatureChar">
    <w:name w:val="E-mail Signature Char"/>
    <w:link w:val="E-mailSignature"/>
    <w:uiPriority w:val="99"/>
    <w:semiHidden/>
    <w:rsid w:val="003F6A32"/>
    <w:rPr>
      <w:sz w:val="22"/>
      <w:szCs w:val="22"/>
      <w:lang w:val="en-GB"/>
    </w:rPr>
  </w:style>
  <w:style w:type="paragraph" w:styleId="EndnoteText">
    <w:name w:val="endnote text"/>
    <w:basedOn w:val="Normal"/>
    <w:link w:val="EndnoteTextChar"/>
    <w:uiPriority w:val="99"/>
    <w:semiHidden/>
    <w:unhideWhenUsed/>
    <w:rsid w:val="003F6A32"/>
    <w:rPr>
      <w:sz w:val="20"/>
      <w:szCs w:val="20"/>
    </w:rPr>
  </w:style>
  <w:style w:type="character" w:customStyle="1" w:styleId="EndnoteTextChar">
    <w:name w:val="Endnote Text Char"/>
    <w:link w:val="EndnoteText"/>
    <w:uiPriority w:val="99"/>
    <w:semiHidden/>
    <w:rsid w:val="003F6A32"/>
    <w:rPr>
      <w:lang w:val="en-GB"/>
    </w:rPr>
  </w:style>
  <w:style w:type="paragraph" w:styleId="EnvelopeAddress">
    <w:name w:val="envelope address"/>
    <w:basedOn w:val="Normal"/>
    <w:uiPriority w:val="99"/>
    <w:semiHidden/>
    <w:unhideWhenUsed/>
    <w:rsid w:val="003F6A32"/>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3F6A32"/>
    <w:rPr>
      <w:rFonts w:ascii="Cambria" w:eastAsia="Times New Roman" w:hAnsi="Cambria"/>
      <w:sz w:val="20"/>
      <w:szCs w:val="20"/>
    </w:rPr>
  </w:style>
  <w:style w:type="paragraph" w:styleId="FootnoteText">
    <w:name w:val="footnote text"/>
    <w:basedOn w:val="Normal"/>
    <w:link w:val="FootnoteTextChar"/>
    <w:uiPriority w:val="99"/>
    <w:semiHidden/>
    <w:unhideWhenUsed/>
    <w:rsid w:val="003F6A32"/>
    <w:rPr>
      <w:sz w:val="20"/>
      <w:szCs w:val="20"/>
    </w:rPr>
  </w:style>
  <w:style w:type="character" w:customStyle="1" w:styleId="FootnoteTextChar">
    <w:name w:val="Footnote Text Char"/>
    <w:link w:val="FootnoteText"/>
    <w:uiPriority w:val="99"/>
    <w:semiHidden/>
    <w:rsid w:val="003F6A32"/>
    <w:rPr>
      <w:lang w:val="en-GB"/>
    </w:rPr>
  </w:style>
  <w:style w:type="character" w:customStyle="1" w:styleId="Heading3Char">
    <w:name w:val="Heading 3 Char"/>
    <w:link w:val="Heading3"/>
    <w:uiPriority w:val="9"/>
    <w:semiHidden/>
    <w:rsid w:val="003F6A32"/>
    <w:rPr>
      <w:rFonts w:ascii="Cambria" w:eastAsia="Times New Roman" w:hAnsi="Cambria" w:cs="Times New Roman"/>
      <w:b/>
      <w:bCs/>
      <w:sz w:val="26"/>
      <w:szCs w:val="26"/>
      <w:lang w:val="en-GB"/>
    </w:rPr>
  </w:style>
  <w:style w:type="character" w:customStyle="1" w:styleId="Heading4Char">
    <w:name w:val="Heading 4 Char"/>
    <w:link w:val="Heading4"/>
    <w:uiPriority w:val="9"/>
    <w:semiHidden/>
    <w:rsid w:val="003F6A32"/>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3F6A32"/>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3F6A32"/>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3F6A32"/>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3F6A32"/>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3F6A32"/>
    <w:rPr>
      <w:rFonts w:ascii="Cambria" w:eastAsia="Times New Roman" w:hAnsi="Cambria" w:cs="Times New Roman"/>
      <w:sz w:val="22"/>
      <w:szCs w:val="22"/>
      <w:lang w:val="en-GB"/>
    </w:rPr>
  </w:style>
  <w:style w:type="paragraph" w:styleId="HTMLAddress">
    <w:name w:val="HTML Address"/>
    <w:basedOn w:val="Normal"/>
    <w:link w:val="HTMLAddressChar"/>
    <w:uiPriority w:val="99"/>
    <w:semiHidden/>
    <w:unhideWhenUsed/>
    <w:rsid w:val="003F6A32"/>
    <w:rPr>
      <w:i/>
      <w:iCs/>
    </w:rPr>
  </w:style>
  <w:style w:type="character" w:customStyle="1" w:styleId="HTMLAddressChar">
    <w:name w:val="HTML Address Char"/>
    <w:link w:val="HTMLAddress"/>
    <w:uiPriority w:val="99"/>
    <w:semiHidden/>
    <w:rsid w:val="003F6A32"/>
    <w:rPr>
      <w:i/>
      <w:iCs/>
      <w:sz w:val="22"/>
      <w:szCs w:val="22"/>
      <w:lang w:val="en-GB"/>
    </w:rPr>
  </w:style>
  <w:style w:type="paragraph" w:styleId="HTMLPreformatted">
    <w:name w:val="HTML Preformatted"/>
    <w:basedOn w:val="Normal"/>
    <w:link w:val="HTMLPreformattedChar"/>
    <w:uiPriority w:val="99"/>
    <w:semiHidden/>
    <w:unhideWhenUsed/>
    <w:rsid w:val="003F6A32"/>
    <w:rPr>
      <w:rFonts w:ascii="Courier New" w:hAnsi="Courier New" w:cs="Courier New"/>
      <w:sz w:val="20"/>
      <w:szCs w:val="20"/>
    </w:rPr>
  </w:style>
  <w:style w:type="character" w:customStyle="1" w:styleId="HTMLPreformattedChar">
    <w:name w:val="HTML Preformatted Char"/>
    <w:link w:val="HTMLPreformatted"/>
    <w:uiPriority w:val="99"/>
    <w:semiHidden/>
    <w:rsid w:val="003F6A32"/>
    <w:rPr>
      <w:rFonts w:ascii="Courier New" w:hAnsi="Courier New" w:cs="Courier New"/>
      <w:lang w:val="en-GB"/>
    </w:rPr>
  </w:style>
  <w:style w:type="paragraph" w:styleId="Index1">
    <w:name w:val="index 1"/>
    <w:basedOn w:val="Normal"/>
    <w:next w:val="Normal"/>
    <w:autoRedefine/>
    <w:uiPriority w:val="99"/>
    <w:semiHidden/>
    <w:unhideWhenUsed/>
    <w:rsid w:val="003F6A32"/>
    <w:pPr>
      <w:tabs>
        <w:tab w:val="clear" w:pos="567"/>
      </w:tabs>
      <w:ind w:left="220" w:hanging="220"/>
    </w:pPr>
  </w:style>
  <w:style w:type="paragraph" w:styleId="Index2">
    <w:name w:val="index 2"/>
    <w:basedOn w:val="Normal"/>
    <w:next w:val="Normal"/>
    <w:autoRedefine/>
    <w:uiPriority w:val="99"/>
    <w:semiHidden/>
    <w:unhideWhenUsed/>
    <w:rsid w:val="003F6A32"/>
    <w:pPr>
      <w:tabs>
        <w:tab w:val="clear" w:pos="567"/>
      </w:tabs>
      <w:ind w:left="440" w:hanging="220"/>
    </w:pPr>
  </w:style>
  <w:style w:type="paragraph" w:styleId="Index3">
    <w:name w:val="index 3"/>
    <w:basedOn w:val="Normal"/>
    <w:next w:val="Normal"/>
    <w:autoRedefine/>
    <w:uiPriority w:val="99"/>
    <w:semiHidden/>
    <w:unhideWhenUsed/>
    <w:rsid w:val="003F6A32"/>
    <w:pPr>
      <w:tabs>
        <w:tab w:val="clear" w:pos="567"/>
      </w:tabs>
      <w:ind w:left="660" w:hanging="220"/>
    </w:pPr>
  </w:style>
  <w:style w:type="paragraph" w:styleId="Index4">
    <w:name w:val="index 4"/>
    <w:basedOn w:val="Normal"/>
    <w:next w:val="Normal"/>
    <w:autoRedefine/>
    <w:uiPriority w:val="99"/>
    <w:semiHidden/>
    <w:unhideWhenUsed/>
    <w:rsid w:val="003F6A32"/>
    <w:pPr>
      <w:tabs>
        <w:tab w:val="clear" w:pos="567"/>
      </w:tabs>
      <w:ind w:left="880" w:hanging="220"/>
    </w:pPr>
  </w:style>
  <w:style w:type="paragraph" w:styleId="Index5">
    <w:name w:val="index 5"/>
    <w:basedOn w:val="Normal"/>
    <w:next w:val="Normal"/>
    <w:autoRedefine/>
    <w:uiPriority w:val="99"/>
    <w:semiHidden/>
    <w:unhideWhenUsed/>
    <w:rsid w:val="003F6A32"/>
    <w:pPr>
      <w:tabs>
        <w:tab w:val="clear" w:pos="567"/>
      </w:tabs>
      <w:ind w:left="1100" w:hanging="220"/>
    </w:pPr>
  </w:style>
  <w:style w:type="paragraph" w:styleId="Index6">
    <w:name w:val="index 6"/>
    <w:basedOn w:val="Normal"/>
    <w:next w:val="Normal"/>
    <w:autoRedefine/>
    <w:uiPriority w:val="99"/>
    <w:semiHidden/>
    <w:unhideWhenUsed/>
    <w:rsid w:val="003F6A32"/>
    <w:pPr>
      <w:tabs>
        <w:tab w:val="clear" w:pos="567"/>
      </w:tabs>
      <w:ind w:left="1320" w:hanging="220"/>
    </w:pPr>
  </w:style>
  <w:style w:type="paragraph" w:styleId="Index7">
    <w:name w:val="index 7"/>
    <w:basedOn w:val="Normal"/>
    <w:next w:val="Normal"/>
    <w:autoRedefine/>
    <w:uiPriority w:val="99"/>
    <w:semiHidden/>
    <w:unhideWhenUsed/>
    <w:rsid w:val="003F6A32"/>
    <w:pPr>
      <w:tabs>
        <w:tab w:val="clear" w:pos="567"/>
      </w:tabs>
      <w:ind w:left="1540" w:hanging="220"/>
    </w:pPr>
  </w:style>
  <w:style w:type="paragraph" w:styleId="Index8">
    <w:name w:val="index 8"/>
    <w:basedOn w:val="Normal"/>
    <w:next w:val="Normal"/>
    <w:autoRedefine/>
    <w:uiPriority w:val="99"/>
    <w:semiHidden/>
    <w:unhideWhenUsed/>
    <w:rsid w:val="003F6A32"/>
    <w:pPr>
      <w:tabs>
        <w:tab w:val="clear" w:pos="567"/>
      </w:tabs>
      <w:ind w:left="1760" w:hanging="220"/>
    </w:pPr>
  </w:style>
  <w:style w:type="paragraph" w:styleId="Index9">
    <w:name w:val="index 9"/>
    <w:basedOn w:val="Normal"/>
    <w:next w:val="Normal"/>
    <w:autoRedefine/>
    <w:uiPriority w:val="99"/>
    <w:semiHidden/>
    <w:unhideWhenUsed/>
    <w:rsid w:val="003F6A32"/>
    <w:pPr>
      <w:tabs>
        <w:tab w:val="clear" w:pos="567"/>
      </w:tabs>
      <w:ind w:left="1980" w:hanging="220"/>
    </w:pPr>
  </w:style>
  <w:style w:type="paragraph" w:styleId="IndexHeading">
    <w:name w:val="index heading"/>
    <w:basedOn w:val="Normal"/>
    <w:next w:val="Index1"/>
    <w:uiPriority w:val="99"/>
    <w:semiHidden/>
    <w:unhideWhenUsed/>
    <w:rsid w:val="003F6A32"/>
    <w:rPr>
      <w:rFonts w:ascii="Cambria" w:eastAsia="Times New Roman" w:hAnsi="Cambria"/>
      <w:b/>
      <w:bCs/>
    </w:rPr>
  </w:style>
  <w:style w:type="paragraph" w:styleId="IntenseQuote">
    <w:name w:val="Intense Quote"/>
    <w:basedOn w:val="Normal"/>
    <w:next w:val="Normal"/>
    <w:link w:val="IntenseQuoteChar"/>
    <w:uiPriority w:val="30"/>
    <w:qFormat/>
    <w:rsid w:val="003F6A3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6A32"/>
    <w:rPr>
      <w:b/>
      <w:bCs/>
      <w:i/>
      <w:iCs/>
      <w:color w:val="4F81BD"/>
      <w:sz w:val="22"/>
      <w:szCs w:val="22"/>
      <w:lang w:val="en-GB"/>
    </w:rPr>
  </w:style>
  <w:style w:type="paragraph" w:styleId="List">
    <w:name w:val="List"/>
    <w:basedOn w:val="Normal"/>
    <w:uiPriority w:val="99"/>
    <w:semiHidden/>
    <w:unhideWhenUsed/>
    <w:rsid w:val="003F6A32"/>
    <w:pPr>
      <w:ind w:left="283" w:hanging="283"/>
      <w:contextualSpacing/>
    </w:pPr>
  </w:style>
  <w:style w:type="paragraph" w:styleId="List2">
    <w:name w:val="List 2"/>
    <w:basedOn w:val="Normal"/>
    <w:uiPriority w:val="99"/>
    <w:semiHidden/>
    <w:unhideWhenUsed/>
    <w:rsid w:val="003F6A32"/>
    <w:pPr>
      <w:ind w:left="566" w:hanging="283"/>
      <w:contextualSpacing/>
    </w:pPr>
  </w:style>
  <w:style w:type="paragraph" w:styleId="List3">
    <w:name w:val="List 3"/>
    <w:basedOn w:val="Normal"/>
    <w:uiPriority w:val="99"/>
    <w:semiHidden/>
    <w:unhideWhenUsed/>
    <w:rsid w:val="003F6A32"/>
    <w:pPr>
      <w:ind w:left="849" w:hanging="283"/>
      <w:contextualSpacing/>
    </w:pPr>
  </w:style>
  <w:style w:type="paragraph" w:styleId="List4">
    <w:name w:val="List 4"/>
    <w:basedOn w:val="Normal"/>
    <w:uiPriority w:val="99"/>
    <w:semiHidden/>
    <w:unhideWhenUsed/>
    <w:rsid w:val="003F6A32"/>
    <w:pPr>
      <w:ind w:left="1132" w:hanging="283"/>
      <w:contextualSpacing/>
    </w:pPr>
  </w:style>
  <w:style w:type="paragraph" w:styleId="List5">
    <w:name w:val="List 5"/>
    <w:basedOn w:val="Normal"/>
    <w:uiPriority w:val="99"/>
    <w:semiHidden/>
    <w:unhideWhenUsed/>
    <w:rsid w:val="003F6A32"/>
    <w:pPr>
      <w:ind w:left="1415" w:hanging="283"/>
      <w:contextualSpacing/>
    </w:pPr>
  </w:style>
  <w:style w:type="paragraph" w:styleId="ListBullet">
    <w:name w:val="List Bullet"/>
    <w:basedOn w:val="Normal"/>
    <w:uiPriority w:val="99"/>
    <w:semiHidden/>
    <w:unhideWhenUsed/>
    <w:rsid w:val="003F6A32"/>
    <w:pPr>
      <w:numPr>
        <w:numId w:val="21"/>
      </w:numPr>
      <w:contextualSpacing/>
    </w:pPr>
  </w:style>
  <w:style w:type="paragraph" w:styleId="ListBullet2">
    <w:name w:val="List Bullet 2"/>
    <w:basedOn w:val="Normal"/>
    <w:uiPriority w:val="99"/>
    <w:semiHidden/>
    <w:unhideWhenUsed/>
    <w:rsid w:val="003F6A32"/>
    <w:pPr>
      <w:numPr>
        <w:numId w:val="22"/>
      </w:numPr>
      <w:contextualSpacing/>
    </w:pPr>
  </w:style>
  <w:style w:type="paragraph" w:styleId="ListBullet3">
    <w:name w:val="List Bullet 3"/>
    <w:basedOn w:val="Normal"/>
    <w:uiPriority w:val="99"/>
    <w:semiHidden/>
    <w:unhideWhenUsed/>
    <w:rsid w:val="003F6A32"/>
    <w:pPr>
      <w:numPr>
        <w:numId w:val="23"/>
      </w:numPr>
      <w:contextualSpacing/>
    </w:pPr>
  </w:style>
  <w:style w:type="paragraph" w:styleId="ListBullet4">
    <w:name w:val="List Bullet 4"/>
    <w:basedOn w:val="Normal"/>
    <w:uiPriority w:val="99"/>
    <w:semiHidden/>
    <w:unhideWhenUsed/>
    <w:rsid w:val="003F6A32"/>
    <w:pPr>
      <w:numPr>
        <w:numId w:val="24"/>
      </w:numPr>
      <w:contextualSpacing/>
    </w:pPr>
  </w:style>
  <w:style w:type="paragraph" w:styleId="ListBullet5">
    <w:name w:val="List Bullet 5"/>
    <w:basedOn w:val="Normal"/>
    <w:uiPriority w:val="99"/>
    <w:semiHidden/>
    <w:unhideWhenUsed/>
    <w:rsid w:val="003F6A32"/>
    <w:pPr>
      <w:numPr>
        <w:numId w:val="25"/>
      </w:numPr>
      <w:contextualSpacing/>
    </w:pPr>
  </w:style>
  <w:style w:type="paragraph" w:styleId="ListContinue">
    <w:name w:val="List Continue"/>
    <w:basedOn w:val="Normal"/>
    <w:uiPriority w:val="99"/>
    <w:semiHidden/>
    <w:unhideWhenUsed/>
    <w:rsid w:val="003F6A32"/>
    <w:pPr>
      <w:spacing w:after="120"/>
      <w:ind w:left="283"/>
      <w:contextualSpacing/>
    </w:pPr>
  </w:style>
  <w:style w:type="paragraph" w:styleId="ListContinue2">
    <w:name w:val="List Continue 2"/>
    <w:basedOn w:val="Normal"/>
    <w:uiPriority w:val="99"/>
    <w:semiHidden/>
    <w:unhideWhenUsed/>
    <w:rsid w:val="003F6A32"/>
    <w:pPr>
      <w:spacing w:after="120"/>
      <w:ind w:left="566"/>
      <w:contextualSpacing/>
    </w:pPr>
  </w:style>
  <w:style w:type="paragraph" w:styleId="ListContinue3">
    <w:name w:val="List Continue 3"/>
    <w:basedOn w:val="Normal"/>
    <w:uiPriority w:val="99"/>
    <w:semiHidden/>
    <w:unhideWhenUsed/>
    <w:rsid w:val="003F6A32"/>
    <w:pPr>
      <w:spacing w:after="120"/>
      <w:ind w:left="849"/>
      <w:contextualSpacing/>
    </w:pPr>
  </w:style>
  <w:style w:type="paragraph" w:styleId="ListContinue4">
    <w:name w:val="List Continue 4"/>
    <w:basedOn w:val="Normal"/>
    <w:uiPriority w:val="99"/>
    <w:semiHidden/>
    <w:unhideWhenUsed/>
    <w:rsid w:val="003F6A32"/>
    <w:pPr>
      <w:spacing w:after="120"/>
      <w:ind w:left="1132"/>
      <w:contextualSpacing/>
    </w:pPr>
  </w:style>
  <w:style w:type="paragraph" w:styleId="ListContinue5">
    <w:name w:val="List Continue 5"/>
    <w:basedOn w:val="Normal"/>
    <w:uiPriority w:val="99"/>
    <w:semiHidden/>
    <w:unhideWhenUsed/>
    <w:rsid w:val="003F6A32"/>
    <w:pPr>
      <w:spacing w:after="120"/>
      <w:ind w:left="1415"/>
      <w:contextualSpacing/>
    </w:pPr>
  </w:style>
  <w:style w:type="paragraph" w:styleId="ListNumber">
    <w:name w:val="List Number"/>
    <w:basedOn w:val="Normal"/>
    <w:uiPriority w:val="99"/>
    <w:semiHidden/>
    <w:unhideWhenUsed/>
    <w:rsid w:val="003F6A32"/>
    <w:pPr>
      <w:numPr>
        <w:numId w:val="26"/>
      </w:numPr>
      <w:contextualSpacing/>
    </w:pPr>
  </w:style>
  <w:style w:type="paragraph" w:styleId="ListNumber2">
    <w:name w:val="List Number 2"/>
    <w:basedOn w:val="Normal"/>
    <w:uiPriority w:val="99"/>
    <w:semiHidden/>
    <w:unhideWhenUsed/>
    <w:rsid w:val="003F6A32"/>
    <w:pPr>
      <w:numPr>
        <w:numId w:val="27"/>
      </w:numPr>
      <w:contextualSpacing/>
    </w:pPr>
  </w:style>
  <w:style w:type="paragraph" w:styleId="ListNumber3">
    <w:name w:val="List Number 3"/>
    <w:basedOn w:val="Normal"/>
    <w:uiPriority w:val="99"/>
    <w:semiHidden/>
    <w:unhideWhenUsed/>
    <w:rsid w:val="003F6A32"/>
    <w:pPr>
      <w:numPr>
        <w:numId w:val="28"/>
      </w:numPr>
      <w:contextualSpacing/>
    </w:pPr>
  </w:style>
  <w:style w:type="paragraph" w:styleId="ListNumber4">
    <w:name w:val="List Number 4"/>
    <w:basedOn w:val="Normal"/>
    <w:uiPriority w:val="99"/>
    <w:semiHidden/>
    <w:unhideWhenUsed/>
    <w:rsid w:val="003F6A32"/>
    <w:pPr>
      <w:numPr>
        <w:numId w:val="29"/>
      </w:numPr>
      <w:contextualSpacing/>
    </w:pPr>
  </w:style>
  <w:style w:type="paragraph" w:styleId="ListNumber5">
    <w:name w:val="List Number 5"/>
    <w:basedOn w:val="Normal"/>
    <w:uiPriority w:val="99"/>
    <w:semiHidden/>
    <w:unhideWhenUsed/>
    <w:rsid w:val="003F6A32"/>
    <w:pPr>
      <w:numPr>
        <w:numId w:val="30"/>
      </w:numPr>
      <w:contextualSpacing/>
    </w:pPr>
  </w:style>
  <w:style w:type="paragraph" w:styleId="MacroText">
    <w:name w:val="macro"/>
    <w:link w:val="MacroTextChar"/>
    <w:uiPriority w:val="99"/>
    <w:semiHidden/>
    <w:unhideWhenUsed/>
    <w:rsid w:val="003F6A32"/>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lang w:val="en-GB"/>
    </w:rPr>
  </w:style>
  <w:style w:type="character" w:customStyle="1" w:styleId="MacroTextChar">
    <w:name w:val="Macro Text Char"/>
    <w:link w:val="MacroText"/>
    <w:uiPriority w:val="99"/>
    <w:semiHidden/>
    <w:rsid w:val="003F6A32"/>
    <w:rPr>
      <w:rFonts w:ascii="Courier New" w:hAnsi="Courier New" w:cs="Courier New"/>
      <w:lang w:val="en-GB"/>
    </w:rPr>
  </w:style>
  <w:style w:type="paragraph" w:styleId="MessageHeader">
    <w:name w:val="Message Header"/>
    <w:basedOn w:val="Normal"/>
    <w:link w:val="MessageHeaderChar"/>
    <w:uiPriority w:val="99"/>
    <w:semiHidden/>
    <w:unhideWhenUsed/>
    <w:rsid w:val="003F6A3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F6A32"/>
    <w:rPr>
      <w:rFonts w:ascii="Cambria" w:eastAsia="Times New Roman" w:hAnsi="Cambria" w:cs="Times New Roman"/>
      <w:sz w:val="24"/>
      <w:szCs w:val="24"/>
      <w:shd w:val="pct20" w:color="auto" w:fill="auto"/>
      <w:lang w:val="en-GB"/>
    </w:rPr>
  </w:style>
  <w:style w:type="paragraph" w:styleId="NoSpacing">
    <w:name w:val="No Spacing"/>
    <w:uiPriority w:val="1"/>
    <w:qFormat/>
    <w:rsid w:val="003F6A32"/>
    <w:pPr>
      <w:tabs>
        <w:tab w:val="left" w:pos="567"/>
      </w:tabs>
    </w:pPr>
    <w:rPr>
      <w:sz w:val="22"/>
      <w:szCs w:val="22"/>
      <w:lang w:val="en-GB"/>
    </w:rPr>
  </w:style>
  <w:style w:type="paragraph" w:styleId="NoteHeading">
    <w:name w:val="Note Heading"/>
    <w:basedOn w:val="Normal"/>
    <w:next w:val="Normal"/>
    <w:link w:val="NoteHeadingChar"/>
    <w:uiPriority w:val="99"/>
    <w:semiHidden/>
    <w:unhideWhenUsed/>
    <w:rsid w:val="003F6A32"/>
  </w:style>
  <w:style w:type="character" w:customStyle="1" w:styleId="NoteHeadingChar">
    <w:name w:val="Note Heading Char"/>
    <w:link w:val="NoteHeading"/>
    <w:uiPriority w:val="99"/>
    <w:semiHidden/>
    <w:rsid w:val="003F6A32"/>
    <w:rPr>
      <w:sz w:val="22"/>
      <w:szCs w:val="22"/>
      <w:lang w:val="en-GB"/>
    </w:rPr>
  </w:style>
  <w:style w:type="paragraph" w:styleId="Quote">
    <w:name w:val="Quote"/>
    <w:basedOn w:val="Normal"/>
    <w:next w:val="Normal"/>
    <w:link w:val="QuoteChar"/>
    <w:uiPriority w:val="29"/>
    <w:qFormat/>
    <w:rsid w:val="003F6A32"/>
    <w:rPr>
      <w:i/>
      <w:iCs/>
      <w:color w:val="000000"/>
    </w:rPr>
  </w:style>
  <w:style w:type="character" w:customStyle="1" w:styleId="QuoteChar">
    <w:name w:val="Quote Char"/>
    <w:link w:val="Quote"/>
    <w:uiPriority w:val="29"/>
    <w:rsid w:val="003F6A32"/>
    <w:rPr>
      <w:i/>
      <w:iCs/>
      <w:color w:val="000000"/>
      <w:sz w:val="22"/>
      <w:szCs w:val="22"/>
      <w:lang w:val="en-GB"/>
    </w:rPr>
  </w:style>
  <w:style w:type="paragraph" w:styleId="Salutation">
    <w:name w:val="Salutation"/>
    <w:basedOn w:val="Normal"/>
    <w:next w:val="Normal"/>
    <w:link w:val="SalutationChar"/>
    <w:uiPriority w:val="99"/>
    <w:semiHidden/>
    <w:unhideWhenUsed/>
    <w:rsid w:val="003F6A32"/>
  </w:style>
  <w:style w:type="character" w:customStyle="1" w:styleId="SalutationChar">
    <w:name w:val="Salutation Char"/>
    <w:link w:val="Salutation"/>
    <w:uiPriority w:val="99"/>
    <w:semiHidden/>
    <w:rsid w:val="003F6A32"/>
    <w:rPr>
      <w:sz w:val="22"/>
      <w:szCs w:val="22"/>
      <w:lang w:val="en-GB"/>
    </w:rPr>
  </w:style>
  <w:style w:type="paragraph" w:styleId="Signature">
    <w:name w:val="Signature"/>
    <w:basedOn w:val="Normal"/>
    <w:link w:val="SignatureChar"/>
    <w:uiPriority w:val="99"/>
    <w:semiHidden/>
    <w:unhideWhenUsed/>
    <w:rsid w:val="003F6A32"/>
    <w:pPr>
      <w:ind w:left="4252"/>
    </w:pPr>
  </w:style>
  <w:style w:type="character" w:customStyle="1" w:styleId="SignatureChar">
    <w:name w:val="Signature Char"/>
    <w:link w:val="Signature"/>
    <w:uiPriority w:val="99"/>
    <w:semiHidden/>
    <w:rsid w:val="003F6A32"/>
    <w:rPr>
      <w:sz w:val="22"/>
      <w:szCs w:val="22"/>
      <w:lang w:val="en-GB"/>
    </w:rPr>
  </w:style>
  <w:style w:type="paragraph" w:styleId="Subtitle">
    <w:name w:val="Subtitle"/>
    <w:basedOn w:val="Normal"/>
    <w:next w:val="Normal"/>
    <w:link w:val="SubtitleChar"/>
    <w:uiPriority w:val="11"/>
    <w:qFormat/>
    <w:rsid w:val="003F6A32"/>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3F6A32"/>
    <w:rPr>
      <w:rFonts w:ascii="Cambria" w:eastAsia="Times New Roman" w:hAnsi="Cambria" w:cs="Times New Roman"/>
      <w:sz w:val="24"/>
      <w:szCs w:val="24"/>
      <w:lang w:val="en-GB"/>
    </w:rPr>
  </w:style>
  <w:style w:type="paragraph" w:styleId="TableofAuthorities">
    <w:name w:val="table of authorities"/>
    <w:basedOn w:val="Normal"/>
    <w:next w:val="Normal"/>
    <w:uiPriority w:val="99"/>
    <w:semiHidden/>
    <w:unhideWhenUsed/>
    <w:rsid w:val="003F6A32"/>
    <w:pPr>
      <w:tabs>
        <w:tab w:val="clear" w:pos="567"/>
      </w:tabs>
      <w:ind w:left="220" w:hanging="220"/>
    </w:pPr>
  </w:style>
  <w:style w:type="paragraph" w:styleId="TableofFigures">
    <w:name w:val="table of figures"/>
    <w:basedOn w:val="Normal"/>
    <w:next w:val="Normal"/>
    <w:uiPriority w:val="99"/>
    <w:semiHidden/>
    <w:unhideWhenUsed/>
    <w:rsid w:val="003F6A32"/>
    <w:pPr>
      <w:tabs>
        <w:tab w:val="clear" w:pos="567"/>
      </w:tabs>
    </w:pPr>
  </w:style>
  <w:style w:type="paragraph" w:styleId="Title">
    <w:name w:val="Title"/>
    <w:basedOn w:val="Normal"/>
    <w:next w:val="Normal"/>
    <w:link w:val="TitleChar"/>
    <w:uiPriority w:val="10"/>
    <w:qFormat/>
    <w:rsid w:val="003F6A32"/>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F6A32"/>
    <w:rPr>
      <w:rFonts w:ascii="Cambria" w:eastAsia="Times New Roman" w:hAnsi="Cambria" w:cs="Times New Roman"/>
      <w:b/>
      <w:bCs/>
      <w:kern w:val="28"/>
      <w:sz w:val="32"/>
      <w:szCs w:val="32"/>
      <w:lang w:val="en-GB"/>
    </w:rPr>
  </w:style>
  <w:style w:type="paragraph" w:styleId="TOAHeading">
    <w:name w:val="toa heading"/>
    <w:basedOn w:val="Normal"/>
    <w:next w:val="Normal"/>
    <w:uiPriority w:val="99"/>
    <w:semiHidden/>
    <w:unhideWhenUsed/>
    <w:rsid w:val="003F6A32"/>
    <w:pPr>
      <w:spacing w:before="120"/>
    </w:pPr>
    <w:rPr>
      <w:rFonts w:ascii="Cambria" w:eastAsia="Times New Roman" w:hAnsi="Cambria"/>
      <w:b/>
      <w:bCs/>
      <w:sz w:val="24"/>
      <w:szCs w:val="24"/>
    </w:rPr>
  </w:style>
  <w:style w:type="paragraph" w:styleId="TOC1">
    <w:name w:val="toc 1"/>
    <w:basedOn w:val="Normal"/>
    <w:next w:val="Normal"/>
    <w:autoRedefine/>
    <w:uiPriority w:val="39"/>
    <w:semiHidden/>
    <w:unhideWhenUsed/>
    <w:rsid w:val="003F6A32"/>
    <w:pPr>
      <w:tabs>
        <w:tab w:val="clear" w:pos="567"/>
      </w:tabs>
    </w:pPr>
  </w:style>
  <w:style w:type="paragraph" w:styleId="TOC2">
    <w:name w:val="toc 2"/>
    <w:basedOn w:val="Normal"/>
    <w:next w:val="Normal"/>
    <w:autoRedefine/>
    <w:uiPriority w:val="39"/>
    <w:semiHidden/>
    <w:unhideWhenUsed/>
    <w:rsid w:val="003F6A32"/>
    <w:pPr>
      <w:tabs>
        <w:tab w:val="clear" w:pos="567"/>
      </w:tabs>
      <w:ind w:left="220"/>
    </w:pPr>
  </w:style>
  <w:style w:type="paragraph" w:styleId="TOC3">
    <w:name w:val="toc 3"/>
    <w:basedOn w:val="Normal"/>
    <w:next w:val="Normal"/>
    <w:autoRedefine/>
    <w:uiPriority w:val="39"/>
    <w:semiHidden/>
    <w:unhideWhenUsed/>
    <w:rsid w:val="003F6A32"/>
    <w:pPr>
      <w:tabs>
        <w:tab w:val="clear" w:pos="567"/>
      </w:tabs>
      <w:ind w:left="440"/>
    </w:pPr>
  </w:style>
  <w:style w:type="paragraph" w:styleId="TOC4">
    <w:name w:val="toc 4"/>
    <w:basedOn w:val="Normal"/>
    <w:next w:val="Normal"/>
    <w:autoRedefine/>
    <w:uiPriority w:val="39"/>
    <w:semiHidden/>
    <w:unhideWhenUsed/>
    <w:rsid w:val="003F6A32"/>
    <w:pPr>
      <w:tabs>
        <w:tab w:val="clear" w:pos="567"/>
      </w:tabs>
      <w:ind w:left="660"/>
    </w:pPr>
  </w:style>
  <w:style w:type="paragraph" w:styleId="TOC5">
    <w:name w:val="toc 5"/>
    <w:basedOn w:val="Normal"/>
    <w:next w:val="Normal"/>
    <w:autoRedefine/>
    <w:uiPriority w:val="39"/>
    <w:semiHidden/>
    <w:unhideWhenUsed/>
    <w:rsid w:val="003F6A32"/>
    <w:pPr>
      <w:tabs>
        <w:tab w:val="clear" w:pos="567"/>
      </w:tabs>
      <w:ind w:left="880"/>
    </w:pPr>
  </w:style>
  <w:style w:type="paragraph" w:styleId="TOC6">
    <w:name w:val="toc 6"/>
    <w:basedOn w:val="Normal"/>
    <w:next w:val="Normal"/>
    <w:autoRedefine/>
    <w:uiPriority w:val="39"/>
    <w:semiHidden/>
    <w:unhideWhenUsed/>
    <w:rsid w:val="003F6A32"/>
    <w:pPr>
      <w:tabs>
        <w:tab w:val="clear" w:pos="567"/>
      </w:tabs>
      <w:ind w:left="1100"/>
    </w:pPr>
  </w:style>
  <w:style w:type="paragraph" w:styleId="TOC7">
    <w:name w:val="toc 7"/>
    <w:basedOn w:val="Normal"/>
    <w:next w:val="Normal"/>
    <w:autoRedefine/>
    <w:uiPriority w:val="39"/>
    <w:semiHidden/>
    <w:unhideWhenUsed/>
    <w:rsid w:val="003F6A32"/>
    <w:pPr>
      <w:tabs>
        <w:tab w:val="clear" w:pos="567"/>
      </w:tabs>
      <w:ind w:left="1320"/>
    </w:pPr>
  </w:style>
  <w:style w:type="paragraph" w:styleId="TOC8">
    <w:name w:val="toc 8"/>
    <w:basedOn w:val="Normal"/>
    <w:next w:val="Normal"/>
    <w:autoRedefine/>
    <w:uiPriority w:val="39"/>
    <w:semiHidden/>
    <w:unhideWhenUsed/>
    <w:rsid w:val="003F6A32"/>
    <w:pPr>
      <w:tabs>
        <w:tab w:val="clear" w:pos="567"/>
      </w:tabs>
      <w:ind w:left="1540"/>
    </w:pPr>
  </w:style>
  <w:style w:type="paragraph" w:styleId="TOC9">
    <w:name w:val="toc 9"/>
    <w:basedOn w:val="Normal"/>
    <w:next w:val="Normal"/>
    <w:autoRedefine/>
    <w:uiPriority w:val="39"/>
    <w:semiHidden/>
    <w:unhideWhenUsed/>
    <w:rsid w:val="003F6A32"/>
    <w:pPr>
      <w:tabs>
        <w:tab w:val="clear" w:pos="567"/>
      </w:tabs>
      <w:ind w:left="1760"/>
    </w:pPr>
  </w:style>
  <w:style w:type="paragraph" w:styleId="TOCHeading">
    <w:name w:val="TOC Heading"/>
    <w:basedOn w:val="Heading1"/>
    <w:next w:val="Normal"/>
    <w:uiPriority w:val="39"/>
    <w:qFormat/>
    <w:rsid w:val="003F6A32"/>
    <w:pPr>
      <w:outlineLvl w:val="9"/>
    </w:pPr>
    <w:rPr>
      <w:rFonts w:ascii="Cambria" w:eastAsia="Times New Roman" w:hAnsi="Cambria" w:cs="Times New Roman"/>
    </w:rPr>
  </w:style>
  <w:style w:type="paragraph" w:customStyle="1" w:styleId="2">
    <w:name w:val="2"/>
    <w:basedOn w:val="Normal"/>
    <w:next w:val="CommentText"/>
    <w:link w:val="TextocomentarioCar"/>
    <w:uiPriority w:val="99"/>
    <w:rsid w:val="007E0D8E"/>
    <w:rPr>
      <w:sz w:val="20"/>
      <w:szCs w:val="20"/>
    </w:rPr>
  </w:style>
  <w:style w:type="character" w:customStyle="1" w:styleId="TextocomentarioCar">
    <w:name w:val="Texto comentario Car"/>
    <w:link w:val="2"/>
    <w:uiPriority w:val="99"/>
    <w:locked/>
    <w:rsid w:val="007E0D8E"/>
    <w:rPr>
      <w:lang w:val="en-GB"/>
    </w:rPr>
  </w:style>
  <w:style w:type="paragraph" w:customStyle="1" w:styleId="1">
    <w:name w:val="1"/>
    <w:basedOn w:val="Normal"/>
    <w:next w:val="CommentText"/>
    <w:uiPriority w:val="99"/>
    <w:rsid w:val="00695508"/>
    <w:rPr>
      <w:sz w:val="20"/>
      <w:szCs w:val="20"/>
    </w:rPr>
  </w:style>
  <w:style w:type="paragraph" w:customStyle="1" w:styleId="Nessunaspaziatura">
    <w:name w:val="Nessuna spaziatura"/>
    <w:uiPriority w:val="1"/>
    <w:qFormat/>
    <w:rsid w:val="00695508"/>
    <w:rPr>
      <w:rFonts w:ascii="Calibri" w:eastAsia="Calibri" w:hAnsi="Calibri"/>
      <w:sz w:val="22"/>
      <w:szCs w:val="22"/>
    </w:rPr>
  </w:style>
  <w:style w:type="character" w:styleId="LineNumber">
    <w:name w:val="line number"/>
    <w:uiPriority w:val="99"/>
    <w:semiHidden/>
    <w:unhideWhenUsed/>
    <w:rsid w:val="00695508"/>
  </w:style>
  <w:style w:type="table" w:customStyle="1" w:styleId="TableGrid1">
    <w:name w:val="Table Grid1"/>
    <w:basedOn w:val="TableNormal"/>
    <w:next w:val="TableGrid"/>
    <w:uiPriority w:val="59"/>
    <w:rsid w:val="0019781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n">
    <w:name w:val="Revisión"/>
    <w:hidden/>
    <w:uiPriority w:val="99"/>
    <w:semiHidden/>
    <w:rsid w:val="00E238A9"/>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ema.europa.eu"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http://schemas.openxmlformats.org/officeDocument/2006/bibliography"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http://schemas.openxmlformats.org/officeDocument/2006/bibliography" xmlns:b="http://schemas.openxmlformats.org/officeDocument/2006/bibliography" SelectedStyle="\APA.XSL" StyleName="APA"/>
</file>

<file path=customXml/item6.xml><?xml version="1.0" encoding="utf-8"?>
<b:Sources xmlns="http://schemas.openxmlformats.org/officeDocument/2006/bibliography" xmlns:b="http://schemas.openxmlformats.org/officeDocument/2006/bibliography" SelectedStyle="\APA.XSL" StyleName="APA"/>
</file>

<file path=customXml/item7.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1103767D-DD73-479D-A943-8ED0FD361D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0A11BD-03D8-48DB-A8E6-2CB80DB5B28C}">
  <ds:schemaRefs>
    <ds:schemaRef ds:uri="http://schemas.openxmlformats.org/officeDocument/2006/bibliography"/>
  </ds:schemaRefs>
</ds:datastoreItem>
</file>

<file path=customXml/itemProps3.xml><?xml version="1.0" encoding="utf-8"?>
<ds:datastoreItem xmlns:ds="http://schemas.openxmlformats.org/officeDocument/2006/customXml" ds:itemID="{89212380-2D00-415B-B7C3-7385BCD39C0E}">
  <ds:schemaRefs>
    <ds:schemaRef ds:uri="http://schemas.microsoft.com/sharepoint/v3/contenttype/forms"/>
  </ds:schemaRefs>
</ds:datastoreItem>
</file>

<file path=customXml/itemProps4.xml><?xml version="1.0" encoding="utf-8"?>
<ds:datastoreItem xmlns:ds="http://schemas.openxmlformats.org/officeDocument/2006/customXml" ds:itemID="{C1BC6594-923B-4AA8-B933-2F588D61A728}">
  <ds:schemaRefs>
    <ds:schemaRef ds:uri="653cdcb5-02e7-4bda-b933-42425bf6da11"/>
    <ds:schemaRef ds:uri="http://purl.org/dc/terms/"/>
    <ds:schemaRef ds:uri="http://www.w3.org/XML/1998/namespace"/>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5.xml><?xml version="1.0" encoding="utf-8"?>
<ds:datastoreItem xmlns:ds="http://schemas.openxmlformats.org/officeDocument/2006/customXml" ds:itemID="{43036AA9-D02E-4416-A35A-5B28BB175A0B}">
  <ds:schemaRefs>
    <ds:schemaRef ds:uri="http://schemas.openxmlformats.org/officeDocument/2006/bibliography"/>
  </ds:schemaRefs>
</ds:datastoreItem>
</file>

<file path=customXml/itemProps6.xml><?xml version="1.0" encoding="utf-8"?>
<ds:datastoreItem xmlns:ds="http://schemas.openxmlformats.org/officeDocument/2006/customXml" ds:itemID="{2BCF5D4F-3150-4F05-AFC4-846C2FC35F00}">
  <ds:schemaRefs>
    <ds:schemaRef ds:uri="http://schemas.openxmlformats.org/officeDocument/2006/bibliography"/>
  </ds:schemaRefs>
</ds:datastoreItem>
</file>

<file path=customXml/itemProps7.xml><?xml version="1.0" encoding="utf-8"?>
<ds:datastoreItem xmlns:ds="http://schemas.openxmlformats.org/officeDocument/2006/customXml" ds:itemID="{32C9E0EC-76F8-4486-B054-61EB25C8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26035</Words>
  <Characters>148406</Characters>
  <Application>Microsoft Office Word</Application>
  <DocSecurity>0</DocSecurity>
  <Lines>1236</Lines>
  <Paragraphs>348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Kalydeco_II-85_Product_Information_Updated</vt:lpstr>
      <vt:lpstr>Kalydeco, INN-ivacaftor</vt:lpstr>
    </vt:vector>
  </TitlesOfParts>
  <Company>Hewlett-Packard Company</Company>
  <LinksUpToDate>false</LinksUpToDate>
  <CharactersWithSpaces>174093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Kalydeco II-86-PI-clean</dc:title>
  <dc:subject>EPAR</dc:subject>
  <dc:creator>CHMP</dc:creator>
  <cp:keywords>Kalydeco, INN-ivacaftor</cp:keywords>
  <cp:lastModifiedBy>P Reshma Sagar</cp:lastModifiedBy>
  <cp:revision>2</cp:revision>
  <cp:lastPrinted>2020-07-18T01:48:00Z</cp:lastPrinted>
  <dcterms:created xsi:type="dcterms:W3CDTF">2021-05-19T09:22:00Z</dcterms:created>
  <dcterms:modified xsi:type="dcterms:W3CDTF">2021-05-19T09:22:00Z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 All EMA Staff and Contractors</vt:lpwstr>
  </property>
  <property fmtid="{D5CDD505-2E9C-101B-9397-08002B2CF9AE}" pid="3" name="ContentTypeId">
    <vt:lpwstr>0x010100726F91DD1AE57B44B1BCEB7F1056F5D0</vt:lpwstr>
  </property>
  <property fmtid="{D5CDD505-2E9C-101B-9397-08002B2CF9AE}" pid="4" name="DM_Author">
    <vt:lpwstr/>
  </property>
  <property fmtid="{D5CDD505-2E9C-101B-9397-08002B2CF9AE}" pid="5" name="DM_Authors">
    <vt:lpwstr/>
  </property>
  <property fmtid="{D5CDD505-2E9C-101B-9397-08002B2CF9AE}" pid="6" name="DM_Category">
    <vt:lpwstr>Product Information</vt:lpwstr>
  </property>
  <property fmtid="{D5CDD505-2E9C-101B-9397-08002B2CF9AE}" pid="7" name="DM_Creation_Date">
    <vt:lpwstr>25/09/2020 09:00:01</vt:lpwstr>
  </property>
  <property fmtid="{D5CDD505-2E9C-101B-9397-08002B2CF9AE}" pid="8" name="DM_Creator_Name">
    <vt:lpwstr>De Chiara Denisa</vt:lpwstr>
  </property>
  <property fmtid="{D5CDD505-2E9C-101B-9397-08002B2CF9AE}" pid="9" name="DM_DocRefId">
    <vt:lpwstr>EMA/497493/2020</vt:lpwstr>
  </property>
  <property fmtid="{D5CDD505-2E9C-101B-9397-08002B2CF9AE}" pid="10" name="DM_emea_bcc">
    <vt:lpwstr/>
  </property>
  <property fmtid="{D5CDD505-2E9C-101B-9397-08002B2CF9AE}" pid="11" name="DM_emea_cc">
    <vt:lpwstr/>
  </property>
  <property fmtid="{D5CDD505-2E9C-101B-9397-08002B2CF9AE}" pid="12" name="DM_emea_doc_category">
    <vt:lpwstr>General</vt:lpwstr>
  </property>
  <property fmtid="{D5CDD505-2E9C-101B-9397-08002B2CF9AE}" pid="13" name="DM_emea_doc_lang">
    <vt:lpwstr/>
  </property>
  <property fmtid="{D5CDD505-2E9C-101B-9397-08002B2CF9AE}" pid="14" name="DM_emea_doc_number">
    <vt:lpwstr>423415</vt:lpwstr>
  </property>
  <property fmtid="{D5CDD505-2E9C-101B-9397-08002B2CF9AE}" pid="15" name="DM_emea_doc_ref_id">
    <vt:lpwstr>EMA/497493/2020</vt:lpwstr>
  </property>
  <property fmtid="{D5CDD505-2E9C-101B-9397-08002B2CF9AE}" pid="16" name="DM_emea_from">
    <vt:lpwstr/>
  </property>
  <property fmtid="{D5CDD505-2E9C-101B-9397-08002B2CF9AE}" pid="17" name="DM_emea_internal_label">
    <vt:lpwstr>EMA</vt:lpwstr>
  </property>
  <property fmtid="{D5CDD505-2E9C-101B-9397-08002B2CF9AE}" pid="18" name="DM_emea_legal_date">
    <vt:lpwstr>nulldate</vt:lpwstr>
  </property>
  <property fmtid="{D5CDD505-2E9C-101B-9397-08002B2CF9AE}" pid="19" name="DM_emea_meeting_action">
    <vt:lpwstr/>
  </property>
  <property fmtid="{D5CDD505-2E9C-101B-9397-08002B2CF9AE}" pid="20" name="DM_emea_meeting_flags">
    <vt:lpwstr/>
  </property>
  <property fmtid="{D5CDD505-2E9C-101B-9397-08002B2CF9AE}" pid="21" name="DM_emea_meeting_hyperlink">
    <vt:lpwstr/>
  </property>
  <property fmtid="{D5CDD505-2E9C-101B-9397-08002B2CF9AE}" pid="22" name="DM_emea_meeting_ref">
    <vt:lpwstr/>
  </property>
  <property fmtid="{D5CDD505-2E9C-101B-9397-08002B2CF9AE}" pid="23" name="DM_emea_meeting_status">
    <vt:lpwstr/>
  </property>
  <property fmtid="{D5CDD505-2E9C-101B-9397-08002B2CF9AE}" pid="24" name="DM_emea_meeting_title">
    <vt:lpwstr/>
  </property>
  <property fmtid="{D5CDD505-2E9C-101B-9397-08002B2CF9AE}" pid="25" name="DM_emea_message_subject">
    <vt:lpwstr/>
  </property>
  <property fmtid="{D5CDD505-2E9C-101B-9397-08002B2CF9AE}" pid="26" name="DM_emea_received_date">
    <vt:lpwstr>nulldate</vt:lpwstr>
  </property>
  <property fmtid="{D5CDD505-2E9C-101B-9397-08002B2CF9AE}" pid="27" name="DM_emea_resp_body">
    <vt:lpwstr/>
  </property>
  <property fmtid="{D5CDD505-2E9C-101B-9397-08002B2CF9AE}" pid="28" name="DM_emea_revision_label">
    <vt:lpwstr/>
  </property>
  <property fmtid="{D5CDD505-2E9C-101B-9397-08002B2CF9AE}" pid="29" name="DM_emea_sent_date">
    <vt:lpwstr>nulldate</vt:lpwstr>
  </property>
  <property fmtid="{D5CDD505-2E9C-101B-9397-08002B2CF9AE}" pid="30" name="DM_emea_to">
    <vt:lpwstr/>
  </property>
  <property fmtid="{D5CDD505-2E9C-101B-9397-08002B2CF9AE}" pid="31" name="DM_emea_year">
    <vt:lpwstr>2010</vt:lpwstr>
  </property>
  <property fmtid="{D5CDD505-2E9C-101B-9397-08002B2CF9AE}" pid="32" name="DM_Keywords">
    <vt:lpwstr/>
  </property>
  <property fmtid="{D5CDD505-2E9C-101B-9397-08002B2CF9AE}" pid="33" name="DM_Language">
    <vt:lpwstr/>
  </property>
  <property fmtid="{D5CDD505-2E9C-101B-9397-08002B2CF9AE}" pid="34" name="DM_Modifer_Name">
    <vt:lpwstr>De Chiara Denisa</vt:lpwstr>
  </property>
  <property fmtid="{D5CDD505-2E9C-101B-9397-08002B2CF9AE}" pid="35" name="DM_Modified_Date">
    <vt:lpwstr>25/09/2020 09:07:01</vt:lpwstr>
  </property>
  <property fmtid="{D5CDD505-2E9C-101B-9397-08002B2CF9AE}" pid="36" name="DM_Modifier_Name">
    <vt:lpwstr>De Chiara Denisa</vt:lpwstr>
  </property>
  <property fmtid="{D5CDD505-2E9C-101B-9397-08002B2CF9AE}" pid="37" name="DM_Modify_Date">
    <vt:lpwstr>25/09/2020 09:07:01</vt:lpwstr>
  </property>
  <property fmtid="{D5CDD505-2E9C-101B-9397-08002B2CF9AE}" pid="38" name="DM_Name">
    <vt:lpwstr>Kalydeco II-86-PI-clean</vt:lpwstr>
  </property>
  <property fmtid="{D5CDD505-2E9C-101B-9397-08002B2CF9AE}" pid="39" name="DM_Owner">
    <vt:lpwstr>Espinasse Claire</vt:lpwstr>
  </property>
  <property fmtid="{D5CDD505-2E9C-101B-9397-08002B2CF9AE}" pid="40" name="DM_Path">
    <vt:lpwstr>/01. Evaluation of Medicines/H-C/J-L/Kalydeco (Ivacaftor Vertex Pharmaceuticals)- 002494/05 Post Authorisation/Post Activities/2020-xx-xx-2494-II-0086-(EoI)-I-IIIB/03. Opinion</vt:lpwstr>
  </property>
  <property fmtid="{D5CDD505-2E9C-101B-9397-08002B2CF9AE}" pid="41" name="DM_Status">
    <vt:lpwstr/>
  </property>
  <property fmtid="{D5CDD505-2E9C-101B-9397-08002B2CF9AE}" pid="42" name="DM_Subject">
    <vt:lpwstr/>
  </property>
  <property fmtid="{D5CDD505-2E9C-101B-9397-08002B2CF9AE}" pid="43" name="DM_Title">
    <vt:lpwstr/>
  </property>
  <property fmtid="{D5CDD505-2E9C-101B-9397-08002B2CF9AE}" pid="44" name="DM_Type">
    <vt:lpwstr>emea_document</vt:lpwstr>
  </property>
  <property fmtid="{D5CDD505-2E9C-101B-9397-08002B2CF9AE}" pid="45" name="DM_Version">
    <vt:lpwstr>1.1,CURRENT</vt:lpwstr>
  </property>
  <property fmtid="{D5CDD505-2E9C-101B-9397-08002B2CF9AE}" pid="46" name="MSIP_Label_0eea11ca-d417-4147-80ed-01a58412c458_ActionId">
    <vt:lpwstr>79b4a345-51e7-46f2-ab67-69f89ed7e5a1</vt:lpwstr>
  </property>
  <property fmtid="{D5CDD505-2E9C-101B-9397-08002B2CF9AE}" pid="47" name="MSIP_Label_0eea11ca-d417-4147-80ed-01a58412c458_Application">
    <vt:lpwstr>Microsoft Azure Information Protection</vt:lpwstr>
  </property>
  <property fmtid="{D5CDD505-2E9C-101B-9397-08002B2CF9AE}" pid="48" name="MSIP_Label_0eea11ca-d417-4147-80ed-01a58412c458_Enabled">
    <vt:lpwstr>True</vt:lpwstr>
  </property>
  <property fmtid="{D5CDD505-2E9C-101B-9397-08002B2CF9AE}" pid="49" name="MSIP_Label_0eea11ca-d417-4147-80ed-01a58412c458_Extended_MSFT_Method">
    <vt:lpwstr>Automatic</vt:lpwstr>
  </property>
  <property fmtid="{D5CDD505-2E9C-101B-9397-08002B2CF9AE}" pid="50" name="MSIP_Label_0eea11ca-d417-4147-80ed-01a58412c458_Name">
    <vt:lpwstr>All EMA Staff and Contractors</vt:lpwstr>
  </property>
  <property fmtid="{D5CDD505-2E9C-101B-9397-08002B2CF9AE}" pid="51" name="MSIP_Label_0eea11ca-d417-4147-80ed-01a58412c458_Owner">
    <vt:lpwstr>suina.maamar@ema.europa.eu</vt:lpwstr>
  </property>
  <property fmtid="{D5CDD505-2E9C-101B-9397-08002B2CF9AE}" pid="52" name="MSIP_Label_0eea11ca-d417-4147-80ed-01a58412c458_Parent">
    <vt:lpwstr>afe1b31d-cec0-4074-b4bd-f07689e43d84</vt:lpwstr>
  </property>
  <property fmtid="{D5CDD505-2E9C-101B-9397-08002B2CF9AE}" pid="53" name="MSIP_Label_0eea11ca-d417-4147-80ed-01a58412c458_SetDate">
    <vt:lpwstr>2020-07-16T09:45:29.1153437Z</vt:lpwstr>
  </property>
  <property fmtid="{D5CDD505-2E9C-101B-9397-08002B2CF9AE}" pid="54" name="MSIP_Label_0eea11ca-d417-4147-80ed-01a58412c458_SiteId">
    <vt:lpwstr>bc9dc15c-61bc-4f03-b60b-e5b6d8922839</vt:lpwstr>
  </property>
  <property fmtid="{D5CDD505-2E9C-101B-9397-08002B2CF9AE}" pid="55" name="MSIP_Label_afe1b31d-cec0-4074-b4bd-f07689e43d84_ActionId">
    <vt:lpwstr>79b4a345-51e7-46f2-ab67-69f89ed7e5a1</vt:lpwstr>
  </property>
  <property fmtid="{D5CDD505-2E9C-101B-9397-08002B2CF9AE}" pid="56" name="MSIP_Label_afe1b31d-cec0-4074-b4bd-f07689e43d84_Application">
    <vt:lpwstr>Microsoft Azure Information Protection</vt:lpwstr>
  </property>
  <property fmtid="{D5CDD505-2E9C-101B-9397-08002B2CF9AE}" pid="57" name="MSIP_Label_afe1b31d-cec0-4074-b4bd-f07689e43d84_Enabled">
    <vt:lpwstr>True</vt:lpwstr>
  </property>
  <property fmtid="{D5CDD505-2E9C-101B-9397-08002B2CF9AE}" pid="58" name="MSIP_Label_afe1b31d-cec0-4074-b4bd-f07689e43d84_Extended_MSFT_Method">
    <vt:lpwstr>Automatic</vt:lpwstr>
  </property>
  <property fmtid="{D5CDD505-2E9C-101B-9397-08002B2CF9AE}" pid="59" name="MSIP_Label_afe1b31d-cec0-4074-b4bd-f07689e43d84_Name">
    <vt:lpwstr>Internal</vt:lpwstr>
  </property>
  <property fmtid="{D5CDD505-2E9C-101B-9397-08002B2CF9AE}" pid="60" name="MSIP_Label_afe1b31d-cec0-4074-b4bd-f07689e43d84_Owner">
    <vt:lpwstr>suina.maamar@ema.europa.eu</vt:lpwstr>
  </property>
  <property fmtid="{D5CDD505-2E9C-101B-9397-08002B2CF9AE}" pid="61" name="MSIP_Label_afe1b31d-cec0-4074-b4bd-f07689e43d84_SetDate">
    <vt:lpwstr>2020-07-16T09:45:29.1153437Z</vt:lpwstr>
  </property>
  <property fmtid="{D5CDD505-2E9C-101B-9397-08002B2CF9AE}" pid="62" name="MSIP_Label_afe1b31d-cec0-4074-b4bd-f07689e43d84_SiteId">
    <vt:lpwstr>bc9dc15c-61bc-4f03-b60b-e5b6d8922839</vt:lpwstr>
  </property>
</Properties>
</file>