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ource-verification-report"/>
    <w:p>
      <w:pPr>
        <w:pStyle w:val="Heading1"/>
      </w:pPr>
      <w:r>
        <w:t xml:space="preserve">Source verification report</w:t>
      </w:r>
    </w:p>
    <w:p>
      <w:pPr>
        <w:pStyle w:val="FirstParagraph"/>
      </w:pPr>
      <w:r>
        <w:t xml:space="preserve">Prepared alongside the rewritten manuscript. Every numerical value reproduced in the text and figures was checked against the primary record. Bibliographic metadata was checked against NCBI E-utilities; quantitative values were checked against PubMed Central full text where the article is deposited there.</w:t>
      </w:r>
    </w:p>
    <w:p>
      <w:r>
        <w:pict>
          <v:rect style="width:0;height:1.5pt" o:hralign="center" o:hrstd="t" o:hr="t"/>
        </w:pict>
      </w:r>
    </w:p>
    <w:bookmarkStart w:id="20" w:name="bibliographic-metadata"/>
    <w:p>
      <w:pPr>
        <w:pStyle w:val="Heading2"/>
      </w:pPr>
      <w:r>
        <w:t xml:space="preserve">1. Bibliographic metadata</w:t>
      </w:r>
    </w:p>
    <w:p>
      <w:pPr>
        <w:pStyle w:val="FirstParagraph"/>
      </w:pPr>
      <w:r>
        <w:t xml:space="preserve">All 33 PubMed-indexed references were queried in a single E-utilities batch.</w:t>
      </w:r>
      <w:r>
        <w:t xml:space="preserve"> </w:t>
      </w:r>
      <w:r>
        <w:rPr>
          <w:bCs/>
          <w:b/>
        </w:rPr>
        <w:t xml:space="preserve">Journal, year, volume, issue and page range match the manuscript reference list in every case.</w:t>
      </w:r>
      <w:r>
        <w:t xml:space="preserve"> </w:t>
      </w:r>
      <w:r>
        <w:t xml:space="preserve">No reference required correction.</w:t>
      </w:r>
    </w:p>
    <w:p>
      <w:pPr>
        <w:pStyle w:val="BodyText"/>
      </w:pPr>
      <w:r>
        <w:t xml:space="preserve">This includes the two 2026 references, which a reviewer might reasonably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Record</w:t>
            </w:r>
          </w:p>
        </w:tc>
        <w:tc>
          <w:tcPr/>
          <w:p>
            <w:pPr>
              <w:pStyle w:val="Compact"/>
              <w:jc w:val="left"/>
            </w:pPr>
            <w:r>
              <w:t xml:space="preserve">Status</w:t>
            </w:r>
          </w:p>
        </w:tc>
      </w:tr>
      <w:tr>
        <w:tc>
          <w:tcPr/>
          <w:p>
            <w:pPr>
              <w:pStyle w:val="Compact"/>
              <w:jc w:val="left"/>
            </w:pPr>
            <w:r>
              <w:t xml:space="preserve">20</w:t>
            </w:r>
          </w:p>
        </w:tc>
        <w:tc>
          <w:tcPr/>
          <w:p>
            <w:pPr>
              <w:pStyle w:val="Compact"/>
              <w:jc w:val="left"/>
            </w:pPr>
            <w:r>
              <w:t xml:space="preserve">Vicil, Serttas, Erdogan.</w:t>
            </w:r>
            <w:r>
              <w:t xml:space="preserve"> </w:t>
            </w:r>
            <w:r>
              <w:rPr>
                <w:iCs/>
                <w:i/>
              </w:rPr>
              <w:t xml:space="preserve">Sci Rep</w:t>
            </w:r>
            <w:r>
              <w:t xml:space="preserve"> </w:t>
            </w:r>
            <w:r>
              <w:t xml:space="preserve">2026 Jul 23; 16(1). PMID 42675095</w:t>
            </w:r>
          </w:p>
        </w:tc>
        <w:tc>
          <w:tcPr/>
          <w:p>
            <w:pPr>
              <w:pStyle w:val="Compact"/>
              <w:jc w:val="left"/>
            </w:pPr>
            <w:r>
              <w:t xml:space="preserve">real, metadata correct</w:t>
            </w:r>
          </w:p>
        </w:tc>
      </w:tr>
      <w:tr>
        <w:tc>
          <w:tcPr/>
          <w:p>
            <w:pPr>
              <w:pStyle w:val="Compact"/>
              <w:jc w:val="left"/>
            </w:pPr>
            <w:r>
              <w:t xml:space="preserve">21</w:t>
            </w:r>
          </w:p>
        </w:tc>
        <w:tc>
          <w:tcPr/>
          <w:p>
            <w:pPr>
              <w:pStyle w:val="Compact"/>
              <w:jc w:val="left"/>
            </w:pPr>
            <w:r>
              <w:t xml:space="preserve">Alzhrani et al. </w:t>
            </w:r>
            <w:r>
              <w:rPr>
                <w:iCs/>
                <w:i/>
              </w:rPr>
              <w:t xml:space="preserve">Int J Mol Sci</w:t>
            </w:r>
            <w:r>
              <w:t xml:space="preserve"> </w:t>
            </w:r>
            <w:r>
              <w:t xml:space="preserve">2026 Aug 25; 27(17). PMID 42737496</w:t>
            </w:r>
          </w:p>
        </w:tc>
        <w:tc>
          <w:tcPr/>
          <w:p>
            <w:pPr>
              <w:pStyle w:val="Compact"/>
              <w:jc w:val="left"/>
            </w:pPr>
            <w:r>
              <w:t xml:space="preserve">real, metadata correct</w:t>
            </w:r>
          </w:p>
        </w:tc>
      </w:tr>
    </w:tbl>
    <w:p>
      <w:pPr>
        <w:pStyle w:val="BodyText"/>
      </w:pPr>
      <w:r>
        <w:t xml:space="preserve">References 32 and 33 are AACR conference abstracts without PMIDs and were checked by DOI only.</w:t>
      </w:r>
    </w:p>
    <w:p>
      <w:r>
        <w:pict>
          <v:rect style="width:0;height:1.5pt" o:hralign="center" o:hrstd="t" o:hr="t"/>
        </w:pict>
      </w:r>
    </w:p>
    <w:bookmarkEnd w:id="20"/>
    <w:bookmarkStart w:id="21" w:name="Xa6a22cb598c1166f2250162a665b532541c40b3"/>
    <w:p>
      <w:pPr>
        <w:pStyle w:val="Heading2"/>
      </w:pPr>
      <w:r>
        <w:t xml:space="preserve">2. Quantitative claims confirmed against full text</w:t>
      </w:r>
    </w:p>
    <w:p>
      <w:pPr>
        <w:pStyle w:val="FirstParagraph"/>
      </w:pPr>
      <w:r>
        <w:rPr>
          <w:bCs/>
          <w:b/>
        </w:rPr>
        <w:t xml:space="preserve">Reference 1, Siddiqui 2009.</w:t>
      </w:r>
      <w:r>
        <w:t xml:space="preserve"> </w:t>
      </w:r>
      <w:r>
        <w:t xml:space="preserve">Confirmed verbatim: three groups of seven; 100 µg nano-EGCG and 1 mg free EGCG per mouse, both intraperitoneal, three times weekly; day-45 volumes 1,242, 854 and 707 mm³.</w:t>
      </w:r>
      <w:r>
        <w:t xml:space="preserve"> </w:t>
      </w:r>
      <w:r>
        <w:t xml:space="preserve">Two details were added to the rewrite because they bear on interpretation: the study was terminated when control tumors reached 1,300 mm³, so the endpoint was triggered by control growth rather than fixed in advance; and the tumor-growth figure plots standard error, not standard deviation.</w:t>
      </w:r>
    </w:p>
    <w:p>
      <w:pPr>
        <w:pStyle w:val="BodyText"/>
      </w:pPr>
      <w:r>
        <w:rPr>
          <w:bCs/>
          <w:b/>
        </w:rPr>
        <w:t xml:space="preserve">Reference 7, Sanna 2017.</w:t>
      </w:r>
      <w:r>
        <w:t xml:space="preserve"> </w:t>
      </w:r>
      <w:r>
        <w:t xml:space="preserve">All three alleged reporting conflicts confirmed directly:</w:t>
      </w:r>
      <w:r>
        <w:t xml:space="preserve"> </w:t>
      </w:r>
      <w:r>
        <w:t xml:space="preserve">- Methods state 100 mg/mice/day for both nanoparticle arms; results state 100 μg/mice/day. A thousandfold discrepancy.</w:t>
      </w:r>
      <w:r>
        <w:t xml:space="preserve"> </w:t>
      </w:r>
      <w:r>
        <w:t xml:space="preserve">- The methods passage states only that</w:t>
      </w:r>
      <w:r>
        <w:t xml:space="preserve"> </w:t>
      </w:r>
      <w:r>
        <w:t xml:space="preserve">“</w:t>
      </w:r>
      <w:r>
        <w:t xml:space="preserve">all treatments were provided five times a week</w:t>
      </w:r>
      <w:r>
        <w:t xml:space="preserve">”</w:t>
      </w:r>
      <w:r>
        <w:t xml:space="preserve"> </w:t>
      </w:r>
      <w:r>
        <w:t xml:space="preserve">and never gives a route.</w:t>
      </w:r>
      <w:r>
        <w:t xml:space="preserve"> </w:t>
      </w:r>
      <w:r>
        <w:t xml:space="preserve">- The statistics section states means ± standard error; the Figure 10 legend states mean ± SD for the same experiment.</w:t>
      </w:r>
    </w:p>
    <w:p>
      <w:pPr>
        <w:pStyle w:val="BodyText"/>
      </w:pPr>
      <w:r>
        <w:t xml:space="preserve">Endpoint volumes 2,685 / 1,895 / 1,230 / 1,073 mm³ confirmed. Group size n = 12 confirmed, with the control group composed of two subgroups of six receiving void nanoparticles or vehicle; the earlier draft removed this n as unsupported, which was itself an error, and it has been restored.</w:t>
      </w:r>
    </w:p>
    <w:p>
      <w:pPr>
        <w:pStyle w:val="BodyText"/>
      </w:pPr>
      <w:r>
        <w:t xml:space="preserve">Two things the manuscript did not report were added: tumor weights of 3.0, 2.1, 1.3 and 1.1 g, which track the volume ranking closely and now form Figure 2C; and the fact that</w:t>
      </w:r>
      <w:r>
        <w:t xml:space="preserve"> </w:t>
      </w:r>
      <w:r>
        <w:rPr>
          <w:bCs/>
          <w:b/>
        </w:rPr>
        <w:t xml:space="preserve">treatment began 24 hours after cell inoculation</w:t>
      </w:r>
      <w:r>
        <w:t xml:space="preserve">. The manuscript criticised the oral chitosan study for exactly this design choice while leaving it unmentioned here.</w:t>
      </w:r>
    </w:p>
    <w:p>
      <w:pPr>
        <w:pStyle w:val="BodyText"/>
      </w:pPr>
      <w:r>
        <w:rPr>
          <w:bCs/>
          <w:b/>
        </w:rPr>
        <w:t xml:space="preserve">Reference 9, Ma 2019.</w:t>
      </w:r>
      <w:r>
        <w:t xml:space="preserve"> </w:t>
      </w:r>
      <w:r>
        <w:t xml:space="preserve">Table 3 confirmed in full, including the day-1 baseline column the manuscript never mentioned: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Arm</w:t>
            </w:r>
          </w:p>
        </w:tc>
        <w:tc>
          <w:tcPr/>
          <w:p>
            <w:pPr>
              <w:pStyle w:val="Compact"/>
              <w:jc w:val="left"/>
            </w:pPr>
            <w:r>
              <w:t xml:space="preserve">day 1</w:t>
            </w:r>
          </w:p>
        </w:tc>
        <w:tc>
          <w:tcPr/>
          <w:p>
            <w:pPr>
              <w:pStyle w:val="Compact"/>
              <w:jc w:val="left"/>
            </w:pPr>
            <w:r>
              <w:t xml:space="preserve">endpoint</w:t>
            </w:r>
          </w:p>
        </w:tc>
        <w:tc>
          <w:tcPr/>
          <w:p>
            <w:pPr>
              <w:pStyle w:val="Compact"/>
              <w:jc w:val="left"/>
            </w:pPr>
            <w:r>
              <w:t xml:space="preserve">weight (g)</w:t>
            </w:r>
          </w:p>
        </w:tc>
        <w:tc>
          <w:tcPr/>
          <w:p>
            <w:pPr>
              <w:pStyle w:val="Compact"/>
              <w:jc w:val="left"/>
            </w:pPr>
            <w:r>
              <w:t xml:space="preserve">relative growth</w:t>
            </w:r>
          </w:p>
        </w:tc>
      </w:tr>
      <w:tr>
        <w:tc>
          <w:tcPr/>
          <w:p>
            <w:pPr>
              <w:pStyle w:val="Compact"/>
              <w:jc w:val="left"/>
            </w:pPr>
            <w:r>
              <w:t xml:space="preserve">blank liposomes</w:t>
            </w:r>
          </w:p>
        </w:tc>
        <w:tc>
          <w:tcPr/>
          <w:p>
            <w:pPr>
              <w:pStyle w:val="Compact"/>
              <w:jc w:val="left"/>
            </w:pPr>
            <w:r>
              <w:t xml:space="preserve">129 ± 26</w:t>
            </w:r>
          </w:p>
        </w:tc>
        <w:tc>
          <w:tcPr/>
          <w:p>
            <w:pPr>
              <w:pStyle w:val="Compact"/>
              <w:jc w:val="left"/>
            </w:pPr>
            <w:r>
              <w:t xml:space="preserve">659 ± 136</w:t>
            </w:r>
          </w:p>
        </w:tc>
        <w:tc>
          <w:tcPr/>
          <w:p>
            <w:pPr>
              <w:pStyle w:val="Compact"/>
              <w:jc w:val="left"/>
            </w:pPr>
            <w:r>
              <w:t xml:space="preserve">0.625 ± 0.167</w:t>
            </w:r>
          </w:p>
        </w:tc>
        <w:tc>
          <w:tcPr/>
          <w:p>
            <w:pPr>
              <w:pStyle w:val="Compact"/>
              <w:jc w:val="left"/>
            </w:pPr>
            <w:r>
              <w:t xml:space="preserve">5.11</w:t>
            </w:r>
          </w:p>
        </w:tc>
      </w:tr>
      <w:tr>
        <w:tc>
          <w:tcPr/>
          <w:p>
            <w:pPr>
              <w:pStyle w:val="Compact"/>
              <w:jc w:val="left"/>
            </w:pPr>
            <w:r>
              <w:t xml:space="preserve">free curcumin</w:t>
            </w:r>
          </w:p>
        </w:tc>
        <w:tc>
          <w:tcPr/>
          <w:p>
            <w:pPr>
              <w:pStyle w:val="Compact"/>
              <w:jc w:val="left"/>
            </w:pPr>
            <w:r>
              <w:t xml:space="preserve">131 ± 22</w:t>
            </w:r>
          </w:p>
        </w:tc>
        <w:tc>
          <w:tcPr/>
          <w:p>
            <w:pPr>
              <w:pStyle w:val="Compact"/>
              <w:jc w:val="left"/>
            </w:pPr>
            <w:r>
              <w:t xml:space="preserve">365 ± 156</w:t>
            </w:r>
          </w:p>
        </w:tc>
        <w:tc>
          <w:tcPr/>
          <w:p>
            <w:pPr>
              <w:pStyle w:val="Compact"/>
              <w:jc w:val="left"/>
            </w:pPr>
            <w:r>
              <w:t xml:space="preserve">0.325 ± 0.119</w:t>
            </w:r>
          </w:p>
        </w:tc>
        <w:tc>
          <w:tcPr/>
          <w:p>
            <w:pPr>
              <w:pStyle w:val="Compact"/>
              <w:jc w:val="left"/>
            </w:pPr>
            <w:r>
              <w:t xml:space="preserve">2.79</w:t>
            </w:r>
          </w:p>
        </w:tc>
      </w:tr>
      <w:tr>
        <w:tc>
          <w:tcPr/>
          <w:p>
            <w:pPr>
              <w:pStyle w:val="Compact"/>
              <w:jc w:val="left"/>
            </w:pPr>
            <w:r>
              <w:t xml:space="preserve">untargeted</w:t>
            </w:r>
          </w:p>
        </w:tc>
        <w:tc>
          <w:tcPr/>
          <w:p>
            <w:pPr>
              <w:pStyle w:val="Compact"/>
              <w:jc w:val="left"/>
            </w:pPr>
            <w:r>
              <w:t xml:space="preserve">126 ± 28</w:t>
            </w:r>
          </w:p>
        </w:tc>
        <w:tc>
          <w:tcPr/>
          <w:p>
            <w:pPr>
              <w:pStyle w:val="Compact"/>
              <w:jc w:val="left"/>
            </w:pPr>
            <w:r>
              <w:t xml:space="preserve">275 ± 135</w:t>
            </w:r>
          </w:p>
        </w:tc>
        <w:tc>
          <w:tcPr/>
          <w:p>
            <w:pPr>
              <w:pStyle w:val="Compact"/>
              <w:jc w:val="left"/>
            </w:pPr>
            <w:r>
              <w:t xml:space="preserve">0.219 ± 0.107</w:t>
            </w:r>
          </w:p>
        </w:tc>
        <w:tc>
          <w:tcPr/>
          <w:p>
            <w:pPr>
              <w:pStyle w:val="Compact"/>
              <w:jc w:val="left"/>
            </w:pPr>
            <w:r>
              <w:t xml:space="preserve">2.18</w:t>
            </w:r>
          </w:p>
        </w:tc>
      </w:tr>
      <w:tr>
        <w:tc>
          <w:tcPr/>
          <w:p>
            <w:pPr>
              <w:pStyle w:val="Compact"/>
              <w:jc w:val="left"/>
            </w:pPr>
            <w:r>
              <w:t xml:space="preserve">A15 targeted</w:t>
            </w:r>
          </w:p>
        </w:tc>
        <w:tc>
          <w:tcPr/>
          <w:p>
            <w:pPr>
              <w:pStyle w:val="Compact"/>
              <w:jc w:val="left"/>
            </w:pPr>
            <w:r>
              <w:t xml:space="preserve">131 ± 31</w:t>
            </w:r>
          </w:p>
        </w:tc>
        <w:tc>
          <w:tcPr/>
          <w:p>
            <w:pPr>
              <w:pStyle w:val="Compact"/>
              <w:jc w:val="left"/>
            </w:pPr>
            <w:r>
              <w:t xml:space="preserve">121 ± 72</w:t>
            </w:r>
          </w:p>
        </w:tc>
        <w:tc>
          <w:tcPr/>
          <w:p>
            <w:pPr>
              <w:pStyle w:val="Compact"/>
              <w:jc w:val="left"/>
            </w:pPr>
            <w:r>
              <w:t xml:space="preserve">0.116 ± 0.049</w:t>
            </w:r>
          </w:p>
        </w:tc>
        <w:tc>
          <w:tcPr/>
          <w:p>
            <w:pPr>
              <w:pStyle w:val="Compact"/>
              <w:jc w:val="left"/>
            </w:pPr>
            <w:r>
              <w:t xml:space="preserve">0.92</w:t>
            </w:r>
          </w:p>
        </w:tc>
      </w:tr>
    </w:tbl>
    <w:p>
      <w:pPr>
        <w:pStyle w:val="BodyText"/>
      </w:pPr>
      <w:r>
        <w:t xml:space="preserve">The targeted arm ends below its own baseline. By the manuscript’s own definition this is regression, and it is the only such result in the review. It is now stated in the text and drawn in Figure 3A.</w:t>
      </w:r>
    </w:p>
    <w:p>
      <w:pPr>
        <w:pStyle w:val="BodyText"/>
      </w:pPr>
      <w:r>
        <w:t xml:space="preserve">The day 7 versus day 10 conflict is confirmed: the methods say animals were euthanised seven days after treatment, the table heads its columns d1 and d10. The vehicle mismatch is confirmed: free curcumin in DMSO, both liposome arms in buffered saline.</w:t>
      </w:r>
    </w:p>
    <w:p>
      <w:pPr>
        <w:pStyle w:val="BodyText"/>
      </w:pPr>
      <w:r>
        <w:t xml:space="preserve">Table 4 confirmed: tumor AUC 1,032.3 / 1,484.3 / 4,356.3 ng·h/g, with plasma AUC 2,305.5 / 1,833.5 / 1,475.0 falling as tumor exposure rises. The prose reports a targeting index of 3.12 against the 4.2 ratio printed in the same table, and describes a 24-hour window against the table’s AUC0–12h heading. The table states n = 6 while the methods describe three animals at each of four time points. All four inconsistencies confirmed.</w:t>
      </w:r>
    </w:p>
    <w:p>
      <w:pPr>
        <w:pStyle w:val="BodyText"/>
      </w:pPr>
      <w:r>
        <w:rPr>
          <w:bCs/>
          <w:b/>
        </w:rPr>
        <w:t xml:space="preserve">Reference 10, Akanda.</w:t>
      </w:r>
      <w:r>
        <w:t xml:space="preserve"> </w:t>
      </w:r>
      <w:r>
        <w:t xml:space="preserve">Dosing confirmed: 20 mg/kg intravenously, twice weekly, 30 days. Endpoint values confirmed and extended: control 1,412.0, blank carriers 1,375.2, free curcumin 1,155.1, loaded carriers 778.4 mm³. The blank-carrier arm does not differ appreciably from control, which is useful evidence that the carrier is inert here; the manuscript omitted both control arms.</w:t>
      </w:r>
      <w:r>
        <w:t xml:space="preserve"> </w:t>
      </w:r>
      <w:r>
        <w:t xml:space="preserve">The formulation-table error is confirmed: the nominally blank carrier is listed with the same curcumin content as the loaded carrier.</w:t>
      </w:r>
    </w:p>
    <w:p>
      <w:pPr>
        <w:pStyle w:val="BodyText"/>
      </w:pPr>
      <w:r>
        <w:rPr>
          <w:bCs/>
          <w:b/>
        </w:rPr>
        <w:t xml:space="preserve">Reference 11, De Velasco 2020.</w:t>
      </w:r>
      <w:r>
        <w:t xml:space="preserve"> </w:t>
      </w:r>
      <w:r>
        <w:t xml:space="preserve">Confirmed: 76 or 380 mg/kg/day dietary supplementation for sixteen weeks; no change in tumor burden; reduced proliferation at the high dose at 12 and 16 weeks of age; liver enlarged with no effect on body weight or spleen size.</w:t>
      </w:r>
    </w:p>
    <w:p>
      <w:pPr>
        <w:pStyle w:val="BodyText"/>
      </w:pPr>
      <w:r>
        <w:rPr>
          <w:bCs/>
          <w:b/>
        </w:rPr>
        <w:t xml:space="preserve">Reference 8, Lin 2021.</w:t>
      </w:r>
      <w:r>
        <w:t xml:space="preserve"> </w:t>
      </w:r>
      <w:r>
        <w:t xml:space="preserve">Confirmed: 36 mice in six groups of six; 10 and 20 mg/kg body weight for both extract and nanoemulsion; intraperitoneal injection every three days for six injections; tumor-weight reductions of 27.9%, 52.6%, 48.3% and 77.5%. The unit discrepancy is confirmed, with the abstract expressing animal doses in µg/mL where the methods use mg/kg body weight.</w:t>
      </w:r>
      <w:r>
        <w:t xml:space="preserve"> </w:t>
      </w:r>
      <w:r>
        <w:t xml:space="preserve">Two findings were added. Treatment began only once mean tumor volume reached about 200 mm³, which makes this the cleanest test of established disease in the set and deserves credit the manuscript did not give it. And the study included a</w:t>
      </w:r>
      <w:r>
        <w:t xml:space="preserve"> </w:t>
      </w:r>
      <w:r>
        <w:rPr>
          <w:bCs/>
          <w:b/>
        </w:rPr>
        <w:t xml:space="preserve">paclitaxel positive control that reduced tumor weight by 90.8%, outperforming every nanoemulsion arm</w:t>
      </w:r>
      <w:r>
        <w:t xml:space="preserve"> </w:t>
      </w:r>
      <w:r>
        <w:t xml:space="preserve">— absent from the manuscript, and reported as 90.6% in the article’s own abstract.</w:t>
      </w:r>
    </w:p>
    <w:p>
      <w:pPr>
        <w:pStyle w:val="BodyText"/>
      </w:pPr>
      <w:r>
        <w:rPr>
          <w:bCs/>
          <w:b/>
        </w:rPr>
        <w:t xml:space="preserve">Reference 2, Yallapu 2014.</w:t>
      </w:r>
      <w:r>
        <w:t xml:space="preserve"> </w:t>
      </w:r>
      <w:r>
        <w:t xml:space="preserve">Confirmed: C4-2 xenografts, four groups of six, 25 µg curcumin equivalent, intratumoral; free curcumin in DMSO against nanoparticles in buffered saline; the radiolabelled PSMA-antibody experiments delivered intraperitoneally.</w:t>
      </w:r>
    </w:p>
    <w:p>
      <w:pPr>
        <w:pStyle w:val="BodyText"/>
      </w:pPr>
      <w:r>
        <w:rPr>
          <w:bCs/>
          <w:b/>
        </w:rPr>
        <w:t xml:space="preserve">Reference 31, Greil 2018.</w:t>
      </w:r>
      <w:r>
        <w:t xml:space="preserve"> </w:t>
      </w:r>
      <w:r>
        <w:t xml:space="preserve">Confirmed and sharpened: 32 patients; no dose-limiting toxicity in 26 patients at 100–300 mg/m² over 8 hours; among six patients at 300 mg/m² over the shorter 6-hour infusion, one hemolysis and three hemoglobin decreases above 2 g/dL. Of eight patients assessed at 8 weeks, all had progressive disease; of 15 assessed between weeks 4 and 8, 14 had progressive disease and one stable disease. No objective response.</w:t>
      </w:r>
    </w:p>
    <w:p>
      <w:r>
        <w:pict>
          <v:rect style="width:0;height:1.5pt" o:hralign="center" o:hrstd="t" o:hr="t"/>
        </w:pict>
      </w:r>
    </w:p>
    <w:bookmarkEnd w:id="21"/>
    <w:bookmarkStart w:id="22" w:name="claims-that-did-not-survive-verification"/>
    <w:p>
      <w:pPr>
        <w:pStyle w:val="Heading2"/>
      </w:pPr>
      <w:r>
        <w:t xml:space="preserve">3. Claims that did not survive verification</w:t>
      </w:r>
    </w:p>
    <w:p>
      <w:pPr>
        <w:pStyle w:val="FirstParagraph"/>
      </w:pPr>
      <w:r>
        <w:rPr>
          <w:bCs/>
          <w:b/>
        </w:rPr>
        <w:t xml:space="preserve">The group size attributed to reference 10 is not in the source.</w:t>
      </w:r>
      <w:r>
        <w:t xml:space="preserve"> </w:t>
      </w:r>
      <w:r>
        <w:t xml:space="preserve">The manuscript stated that Akanda used</w:t>
      </w:r>
      <w:r>
        <w:t xml:space="preserve"> </w:t>
      </w:r>
      <w:r>
        <w:t xml:space="preserve">“</w:t>
      </w:r>
      <w:r>
        <w:t xml:space="preserve">six animals per group</w:t>
      </w:r>
      <w:r>
        <w:t xml:space="preserve">”</w:t>
      </w:r>
      <w:r>
        <w:t xml:space="preserve">, repeated it in the Figure 3B legend, and built a criticism on it:</w:t>
      </w:r>
      <w:r>
        <w:t xml:space="preserve"> </w:t>
      </w:r>
      <w:r>
        <w:t xml:space="preserve">“</w:t>
      </w:r>
      <w:r>
        <w:t xml:space="preserve">the statistical description gives a general n of three despite six animals per efficacy group.</w:t>
      </w:r>
      <w:r>
        <w:t xml:space="preserve">”</w:t>
      </w:r>
      <w:r>
        <w:t xml:space="preserve"> </w:t>
      </w:r>
      <w:r>
        <w:t xml:space="preserve">The article states no group size for the efficacy experiment anywhere. The only n it gives is n = 3, in the statistics section. The six is unsupported, the criticism as phrased cannot stand, and both have been corrected. The underlying point survives in a defensible form: the study reports no group size at all, which is a more serious reporting failure than an inconsistent one.</w:t>
      </w:r>
    </w:p>
    <w:p>
      <w:pPr>
        <w:pStyle w:val="BodyText"/>
      </w:pPr>
      <w:r>
        <w:rPr>
          <w:bCs/>
          <w:b/>
        </w:rPr>
        <w:t xml:space="preserve">The injection-count discrepancy attributed to reference 8 could not be found.</w:t>
      </w:r>
      <w:r>
        <w:t xml:space="preserve"> </w:t>
      </w:r>
      <w:r>
        <w:t xml:space="preserve">The manuscript stated that the catechin nanoemulsion article</w:t>
      </w:r>
      <w:r>
        <w:t xml:space="preserve"> </w:t>
      </w:r>
      <w:r>
        <w:t xml:space="preserve">“</w:t>
      </w:r>
      <w:r>
        <w:t xml:space="preserve">differs between its methods and results on injection count</w:t>
      </w:r>
      <w:r>
        <w:t xml:space="preserve">”</w:t>
      </w:r>
      <w:r>
        <w:t xml:space="preserve">. The only count in the article is</w:t>
      </w:r>
      <w:r>
        <w:t xml:space="preserve"> </w:t>
      </w:r>
      <w:r>
        <w:t xml:space="preserve">“</w:t>
      </w:r>
      <w:r>
        <w:t xml:space="preserve">every 3 days for a total of 6 injections</w:t>
      </w:r>
      <w:r>
        <w:t xml:space="preserve">”</w:t>
      </w:r>
      <w:r>
        <w:t xml:space="preserve">, and it is consistent with the day-15 endpoint in the results. The claim has been withdrawn from the text and from the Figure 5A audit matrix, where that column has been replaced by vehicle matching, which is verifiable.</w:t>
      </w:r>
    </w:p>
    <w:p>
      <w:r>
        <w:pict>
          <v:rect style="width:0;height:1.5pt" o:hralign="center" o:hrstd="t" o:hr="t"/>
        </w:pict>
      </w:r>
    </w:p>
    <w:bookmarkEnd w:id="22"/>
    <w:bookmarkStart w:id="23" w:name="claim-that-proved-recoverable"/>
    <w:p>
      <w:pPr>
        <w:pStyle w:val="Heading2"/>
      </w:pPr>
      <w:r>
        <w:t xml:space="preserve">4. Claim that proved recoverable</w:t>
      </w:r>
    </w:p>
    <w:p>
      <w:pPr>
        <w:pStyle w:val="FirstParagraph"/>
      </w:pPr>
      <w:r>
        <w:t xml:space="preserve">The manuscript stated that for reference 13 the</w:t>
      </w:r>
      <w:r>
        <w:t xml:space="preserve"> </w:t>
      </w:r>
      <w:r>
        <w:t xml:space="preserve">“</w:t>
      </w:r>
      <w:r>
        <w:t xml:space="preserve">full dose, route and numerical endpoint variance were not recovered</w:t>
      </w:r>
      <w:r>
        <w:t xml:space="preserve">”</w:t>
      </w:r>
      <w:r>
        <w:t xml:space="preserve">. The dose and model are recoverable: quercetin-equivalent 30 mg/kg in PC-3 xenografts. Only the endpoint variance is genuinely unavailable. The text now says so.</w:t>
      </w:r>
    </w:p>
    <w:p>
      <w:r>
        <w:pict>
          <v:rect style="width:0;height:1.5pt" o:hralign="center" o:hrstd="t" o:hr="t"/>
        </w:pict>
      </w:r>
    </w:p>
    <w:bookmarkEnd w:id="23"/>
    <w:bookmarkStart w:id="24" w:name="not-verifiable"/>
    <w:p>
      <w:pPr>
        <w:pStyle w:val="Heading2"/>
      </w:pPr>
      <w:r>
        <w:t xml:space="preserve">5. Not verifiable</w:t>
      </w:r>
    </w:p>
    <w:p>
      <w:pPr>
        <w:pStyle w:val="FirstParagraph"/>
      </w:pPr>
      <w:r>
        <w:rPr>
          <w:bCs/>
          <w:b/>
        </w:rPr>
        <w:t xml:space="preserve">Reference 6, Khan 2014.</w:t>
      </w:r>
      <w:r>
        <w:t xml:space="preserve"> </w:t>
      </w:r>
      <w:r>
        <w:t xml:space="preserve">The PubMed Central deposit contains the abstract only, and the publisher blocked retrieval of the full text. The doses, day-32 volumes and group structure are therefore reproduced as extracted rather than independently re-checked. Figure 2B and its legend say so explicitly. If you have the PDF, this is the one panel worth checking by hand before submission.</w:t>
      </w:r>
    </w:p>
    <w:p>
      <w:r>
        <w:pict>
          <v:rect style="width:0;height:1.5pt" o:hralign="center" o:hrstd="t" o:hr="t"/>
        </w:pict>
      </w:r>
    </w:p>
    <w:bookmarkEnd w:id="24"/>
    <w:bookmarkStart w:id="25" w:name="arithmetic"/>
    <w:p>
      <w:pPr>
        <w:pStyle w:val="Heading2"/>
      </w:pPr>
      <w:r>
        <w:t xml:space="preserve">6. Arithmetic</w:t>
      </w:r>
    </w:p>
    <w:p>
      <w:pPr>
        <w:pStyle w:val="FirstParagraph"/>
      </w:pPr>
      <w:r>
        <w:t xml:space="preserve">Every derived ratio and percentage was recomputed from the group means now verified against source. All are correct, including the four that depend on values confirmed only in this pass. The lnRR sampling-variance formula is the standard delta-method expression and is correctly stated.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2026-10-09T09:16:56Z</dcterms:created>
  <dcterms:modified xsi:type="dcterms:W3CDTF">2026-10-09T09:16:56Z</dcterms:modified>
</cp:coreProperties>
</file>

<file path=docProps/custom.xml><?xml version="1.0" encoding="utf-8"?>
<Properties xmlns="http://schemas.openxmlformats.org/officeDocument/2006/custom-properties" xmlns:vt="http://schemas.openxmlformats.org/officeDocument/2006/docPropsVTypes"/>
</file>