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0B2545"/>
          <w:sz w:val="72"/>
          <w:szCs w:val="72"/>
        </w:rPr>
        <w:t xml:space="preserve">ULPF</w:t>
      </w:r>
    </w:p>
    <w:p>
      <w:pPr>
        <w:spacing w:after="200"/>
        <w:jc w:val="center"/>
      </w:pPr>
      <w:r>
        <w:rPr>
          <w:b/>
          <w:bCs/>
          <w:color w:val="0044A8"/>
          <w:sz w:val="34"/>
          <w:szCs w:val="34"/>
        </w:rPr>
        <w:t xml:space="preserve">Universal Log Pre-processing Framework</w:t>
      </w:r>
    </w:p>
    <w:p>
      <w:pPr>
        <w:spacing w:after="600"/>
        <w:jc w:val="center"/>
      </w:pPr>
      <w:r>
        <w:rPr>
          <w:i/>
          <w:iCs/>
          <w:color w:val="595959"/>
          <w:sz w:val="26"/>
          <w:szCs w:val="26"/>
        </w:rPr>
        <w:t xml:space="preserve">Project Documentation</w:t>
      </w:r>
    </w:p>
    <w:p>
      <w:pPr>
        <w:spacing w:after="80"/>
        <w:jc w:val="center"/>
      </w:pPr>
      <w:r>
        <w:rPr>
          <w:b/>
          <w:bCs/>
          <w:color w:val="0B2545"/>
          <w:sz w:val="22"/>
          <w:szCs w:val="22"/>
        </w:rPr>
        <w:t xml:space="preserve">Smart India Hackathon — Problem Statement 26156</w:t>
      </w:r>
    </w:p>
    <w:p>
      <w:pPr>
        <w:spacing w:after="1600"/>
        <w:jc w:val="center"/>
      </w:pPr>
      <w:r>
        <w:rPr>
          <w:color w:val="595959"/>
          <w:sz w:val="20"/>
          <w:szCs w:val="20"/>
        </w:rPr>
        <w:t xml:space="preserve">Heterogeneous Log Ingestion, Normalization &amp; Tamper-Evident Integrity for Security Operations</w:t>
      </w:r>
    </w:p>
    <w:p>
      <w:pPr>
        <w:spacing w:after="60"/>
        <w:jc w:val="center"/>
      </w:pPr>
      <w:r>
        <w:rPr>
          <w:b/>
          <w:bCs/>
          <w:color w:val="595959"/>
          <w:sz w:val="18"/>
          <w:szCs w:val="18"/>
        </w:rPr>
        <w:t xml:space="preserve">Live-verified system status at time of writing</w:t>
      </w:r>
    </w:p>
    <w:p>
      <w:pPr>
        <w:jc w:val="center"/>
      </w:pPr>
      <w:r>
        <w:rPr>
          <w:b/>
          <w:bCs/>
          <w:color w:val="1B7A3D"/>
          <w:sz w:val="18"/>
          <w:szCs w:val="18"/>
        </w:rPr>
        <w:t xml:space="preserve">34,626 real log events ingested · 99.9% parse success rate · 13 log formats natively supported</w:t>
      </w:r>
    </w:p>
    <w:p>
      <w:r>
        <w:br w:type="page"/>
      </w:r>
    </w:p>
    <w:p>
      <w:pPr>
        <w:pStyle w:val="Heading1"/>
        <w:pBdr>
          <w:bottom w:val="single" w:color="0044A8" w:sz="8" w:space="4"/>
        </w:pBdr>
        <w:spacing w:after="200" w:before="480"/>
      </w:pPr>
      <w:r>
        <w:rPr>
          <w:b/>
          <w:bCs/>
          <w:color w:val="0B2545"/>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44A8" w:sz="8" w:space="4"/>
        </w:pBdr>
        <w:spacing w:after="200" w:before="480"/>
      </w:pPr>
      <w:r>
        <w:rPr>
          <w:b/>
          <w:bCs/>
          <w:color w:val="0B2545"/>
        </w:rPr>
        <w:t xml:space="preserve">Executive Summary</w:t>
      </w:r>
    </w:p>
    <w:p>
      <w:pPr>
        <w:spacing w:after="160" w:line="300"/>
      </w:pPr>
      <w:r>
        <w:rPr>
          <w:color w:val="222222"/>
          <w:sz w:val="21"/>
          <w:szCs w:val="21"/>
        </w:rPr>
        <w:t xml:space="preserve">ULPF (Universal Log Pre-processing Framework) is a security-focused log ingestion and normalization platform built to solve a problem every Security Operations Centre (SOC) faces: logs arrive from dozens of vendor devices, each speaking a different dialect — CEF, LEEF, JSON, XML, key-value pairs, CSV, or raw freeform text — and nothing downstream (search, correlation, detection, forensics) can work reliably until those dialects are identified, parsed, and normalized into one consistent, queryable schema.</w:t>
      </w:r>
    </w:p>
    <w:p>
      <w:pPr>
        <w:spacing w:after="160" w:line="300"/>
      </w:pPr>
      <w:r>
        <w:rPr>
          <w:color w:val="222222"/>
          <w:sz w:val="21"/>
          <w:szCs w:val="21"/>
        </w:rPr>
        <w:t xml:space="preserve">Rather than a single parser or a fixed set of vendor plugins, ULPF is a pipeline: it detects the format of an incoming log automatically, parses it with either a deterministic parser or a human-approved “source pack,” maps its fields into a canonical ECS-like schema, redacts PII, scores risk, and — critically — cryptographically proves that the stored record was never altered after ingestion, using a Merkle-tree integrity log modeled on RFC 6962 (the same design used by Certificate Transparency).</w:t>
      </w:r>
    </w:p>
    <w:p>
      <w:pPr>
        <w:spacing w:after="160" w:line="300"/>
      </w:pPr>
      <w:r>
        <w:rPr>
          <w:color w:val="222222"/>
          <w:sz w:val="21"/>
          <w:szCs w:val="21"/>
        </w:rPr>
        <w:t xml:space="preserve">On top of this pipeline sits a full analyst-facing application: a correlation engine, entity-behaviour profiling, an attack-path reconstruction view, incident case management with on-call notification, a threat-hunting workspace, and a parser-authoring “Lab” where an analyst can bring an entirely new, previously unseen log format online in minutes rather than by writing custom code.</w:t>
      </w:r>
    </w:p>
    <w:p>
      <w:pPr>
        <w:spacing w:after="160" w:line="300"/>
      </w:pPr>
      <w:r>
        <w:rPr>
          <w:color w:val="222222"/>
          <w:sz w:val="21"/>
          <w:szCs w:val="21"/>
        </w:rPr>
        <w:t xml:space="preserve">This document describes what has actually been built and verified, distinguishing clearly between what runs and has been tested against real data today, and what is designed and documented as a production-scale path but not yet exercised end-to-end in this environment. Every number in this document was measured against the live running system, not estimated.</w:t>
      </w:r>
    </w:p>
    <w:tbl>
      <w:tblPr>
        <w:tblW w:type="dxa" w:w="9026"/>
        <w:tblBorders>
          <w:top w:val="single" w:color="1B7A3D" w:sz="4"/>
          <w:left w:val="single" w:color="1B7A3D" w:sz="24"/>
          <w:bottom w:val="single" w:color="1B7A3D" w:sz="4"/>
          <w:right w:val="single" w:color="1B7A3D" w:sz="4"/>
          <w:insideH w:val="none"/>
          <w:insideV w:val="none"/>
        </w:tblBorders>
      </w:tblPr>
      <w:tblGrid>
        <w:gridCol w:w="9026"/>
      </w:tblGrid>
      <w:tr>
        <w:tc>
          <w:tcPr>
            <w:tcW w:type="dxa" w:w="9026"/>
            <w:shd w:fill="F7F9FC" w:val="clear"/>
            <w:tcMar>
              <w:top w:type="dxa" w:w="140"/>
              <w:left w:type="dxa" w:w="200"/>
              <w:bottom w:type="dxa" w:w="140"/>
              <w:right w:type="dxa" w:w="200"/>
            </w:tcMar>
          </w:tcPr>
          <w:p>
            <w:pPr>
              <w:spacing w:after="60"/>
            </w:pPr>
            <w:r>
              <w:rPr>
                <w:b/>
                <w:bCs/>
                <w:color w:val="1B7A3D"/>
                <w:sz w:val="20"/>
                <w:szCs w:val="20"/>
              </w:rPr>
              <w:t xml:space="preserve">Current, live-verified status</w:t>
            </w:r>
          </w:p>
          <w:p>
            <w:pPr>
              <w:spacing w:after="0" w:line="280"/>
            </w:pPr>
            <w:r>
              <w:rPr>
                <w:color w:val="333333"/>
                <w:sz w:val="20"/>
                <w:szCs w:val="20"/>
              </w:rPr>
              <w:t xml:space="preserve">34,608 of 34,626 real ingested log events (99.9%) successfully parsed and normalized across 13 supported log formats, drawn from genuine public security-log corpora (OpenSSH, HDFS/Hadoop, Zookeeper, BlueGene/L HPC, Apache, Windows, AWS CloudTrail, Windows Event Log attack-technique captures, and Zeek/Bro IDS output) — not synthetic filler data. 160 automated backend tests passing.</w:t>
            </w:r>
          </w:p>
        </w:tc>
      </w:tr>
    </w:tbl>
    <w:p>
      <w:pPr>
        <w:pStyle w:val="Heading1"/>
        <w:pBdr>
          <w:bottom w:val="single" w:color="0044A8" w:sz="8" w:space="4"/>
        </w:pBdr>
        <w:spacing w:after="200" w:before="480"/>
      </w:pPr>
      <w:r>
        <w:rPr>
          <w:b/>
          <w:bCs/>
          <w:color w:val="0B2545"/>
        </w:rPr>
        <w:t xml:space="preserve">1. Problem Statement</w:t>
      </w:r>
    </w:p>
    <w:p>
      <w:pPr>
        <w:spacing w:after="160" w:line="300"/>
      </w:pPr>
      <w:r>
        <w:rPr>
          <w:color w:val="222222"/>
          <w:sz w:val="21"/>
          <w:szCs w:val="21"/>
        </w:rPr>
        <w:t xml:space="preserve">Smart India Hackathon — Problem Statement 26156 targets a foundational gap in security monitoring infrastructure: before a Security Information and Event Management (SIEM) system, a SOC analyst, or any automated detection logic can act on log data, that data has to be understood. In any real enterprise or Critical Sector Entity (CSE) environment, logs arrive from:</w:t>
      </w:r>
    </w:p>
    <w:p>
      <w:pPr>
        <w:pStyle w:val="ListParagraph"/>
        <w:numPr>
          <w:ilvl w:val="0"/>
          <w:numId w:val="2"/>
        </w:numPr>
        <w:spacing w:after="90" w:line="290"/>
      </w:pPr>
      <w:r>
        <w:rPr>
          <w:color w:val="222222"/>
          <w:sz w:val="21"/>
          <w:szCs w:val="21"/>
        </w:rPr>
        <w:t xml:space="preserve">Network security appliances (firewalls, IDS/IPS) emitting CEF, LEEF, or vendor-specific key-value syslog</w:t>
      </w:r>
    </w:p>
    <w:p>
      <w:pPr>
        <w:pStyle w:val="ListParagraph"/>
        <w:numPr>
          <w:ilvl w:val="0"/>
          <w:numId w:val="2"/>
        </w:numPr>
        <w:spacing w:after="90" w:line="290"/>
      </w:pPr>
      <w:r>
        <w:rPr>
          <w:color w:val="222222"/>
          <w:sz w:val="21"/>
          <w:szCs w:val="21"/>
        </w:rPr>
        <w:t xml:space="preserve">Operating systems and applications (Windows Event Log XML, Linux/Unix syslog, application-specific text logs)</w:t>
      </w:r>
    </w:p>
    <w:p>
      <w:pPr>
        <w:pStyle w:val="ListParagraph"/>
        <w:numPr>
          <w:ilvl w:val="0"/>
          <w:numId w:val="2"/>
        </w:numPr>
        <w:spacing w:after="90" w:line="290"/>
      </w:pPr>
      <w:r>
        <w:rPr>
          <w:color w:val="222222"/>
          <w:sz w:val="21"/>
          <w:szCs w:val="21"/>
        </w:rPr>
        <w:t xml:space="preserve">Cloud platforms (JSON-based audit trails such as AWS CloudTrail)</w:t>
      </w:r>
    </w:p>
    <w:p>
      <w:pPr>
        <w:pStyle w:val="ListParagraph"/>
        <w:numPr>
          <w:ilvl w:val="0"/>
          <w:numId w:val="2"/>
        </w:numPr>
        <w:spacing w:after="90" w:line="290"/>
      </w:pPr>
      <w:r>
        <w:rPr>
          <w:color w:val="222222"/>
          <w:sz w:val="21"/>
          <w:szCs w:val="21"/>
        </w:rPr>
        <w:t xml:space="preserve">Distributed infrastructure (Hadoop/HDFS, Zookeeper, HPC cluster logs, web servers)</w:t>
      </w:r>
    </w:p>
    <w:p>
      <w:pPr>
        <w:spacing w:after="160" w:line="300"/>
      </w:pPr>
      <w:r>
        <w:rPr>
          <w:color w:val="222222"/>
          <w:sz w:val="21"/>
          <w:szCs w:val="21"/>
        </w:rPr>
        <w:t xml:space="preserve">Each of these speaks a different wire format, uses different field names for the same concept (an IP address might be “src”, “srcip”, “source_ip”, or “SourceAddress” depending on vendor), and none of them come with a built-in way to prove — after the fact, to an auditor, a court, or an incident-response team — that the stored copy of a log is exactly what was originally produced.</w:t>
      </w:r>
    </w:p>
    <w:p>
      <w:pPr>
        <w:pStyle w:val="Heading3"/>
        <w:spacing w:after="100" w:before="220"/>
      </w:pPr>
      <w:r>
        <w:rPr>
          <w:b/>
          <w:bCs/>
          <w:color w:val="0B2545"/>
        </w:rPr>
        <w:t xml:space="preserve">The specific sub-problems this project addresses</w:t>
      </w:r>
    </w:p>
    <w:p>
      <w:pPr>
        <w:pStyle w:val="ListParagraph"/>
        <w:numPr>
          <w:ilvl w:val="0"/>
          <w:numId w:val="2"/>
        </w:numPr>
        <w:spacing w:after="90" w:line="290"/>
      </w:pPr>
      <w:r>
        <w:rPr>
          <w:color w:val="222222"/>
          <w:sz w:val="21"/>
          <w:szCs w:val="21"/>
        </w:rPr>
        <w:t xml:space="preserve">Format heterogeneity: no single parser handles every vendor's log shape.</w:t>
      </w:r>
    </w:p>
    <w:p>
      <w:pPr>
        <w:pStyle w:val="ListParagraph"/>
        <w:numPr>
          <w:ilvl w:val="0"/>
          <w:numId w:val="2"/>
        </w:numPr>
        <w:spacing w:after="90" w:line="290"/>
      </w:pPr>
      <w:r>
        <w:rPr>
          <w:color w:val="222222"/>
          <w:sz w:val="21"/>
          <w:szCs w:val="21"/>
        </w:rPr>
        <w:t xml:space="preserve">Field-mapping ambiguity: semantically identical fields carry different names across vendors and must be reconciled into one canonical schema without silently dropping data the pipeline doesn't yet recognize.</w:t>
      </w:r>
    </w:p>
    <w:p>
      <w:pPr>
        <w:pStyle w:val="ListParagraph"/>
        <w:numPr>
          <w:ilvl w:val="0"/>
          <w:numId w:val="2"/>
        </w:numPr>
        <w:spacing w:after="90" w:line="290"/>
      </w:pPr>
      <w:r>
        <w:rPr>
          <w:color w:val="222222"/>
          <w:sz w:val="21"/>
          <w:szCs w:val="21"/>
        </w:rPr>
        <w:t xml:space="preserve">Unknown-format onboarding: bringing a new, previously unseen log source online traditionally requires a developer to hand-write and test a new parser.</w:t>
      </w:r>
    </w:p>
    <w:p>
      <w:pPr>
        <w:pStyle w:val="ListParagraph"/>
        <w:numPr>
          <w:ilvl w:val="0"/>
          <w:numId w:val="2"/>
        </w:numPr>
        <w:spacing w:after="90" w:line="290"/>
      </w:pPr>
      <w:r>
        <w:rPr>
          <w:color w:val="222222"/>
          <w:sz w:val="21"/>
          <w:szCs w:val="21"/>
        </w:rPr>
        <w:t xml:space="preserve">Evidentiary integrity: once a log is stored, there must be a way to cryptographically prove it hasn't been altered — a requirement directly relevant to incident response, compliance, and legal admissibility.</w:t>
      </w:r>
    </w:p>
    <w:p>
      <w:pPr>
        <w:pStyle w:val="ListParagraph"/>
        <w:numPr>
          <w:ilvl w:val="0"/>
          <w:numId w:val="2"/>
        </w:numPr>
        <w:spacing w:after="90" w:line="290"/>
      </w:pPr>
      <w:r>
        <w:rPr>
          <w:color w:val="222222"/>
          <w:sz w:val="21"/>
          <w:szCs w:val="21"/>
        </w:rPr>
        <w:t xml:space="preserve">Operational visibility: raw normalized data alone isn't actionable; analysts need correlation, entity behaviour, attack-path reconstruction, and case management built on top of it.</w:t>
      </w:r>
    </w:p>
    <w:p>
      <w:pPr>
        <w:pStyle w:val="Heading1"/>
        <w:pBdr>
          <w:bottom w:val="single" w:color="0044A8" w:sz="8" w:space="4"/>
        </w:pBdr>
        <w:spacing w:after="200" w:before="480"/>
      </w:pPr>
      <w:r>
        <w:rPr>
          <w:b/>
          <w:bCs/>
          <w:color w:val="0B2545"/>
        </w:rPr>
        <w:t xml:space="preserve">2. Solution Overview</w:t>
      </w:r>
    </w:p>
    <w:p>
      <w:pPr>
        <w:spacing w:after="160" w:line="300"/>
      </w:pPr>
      <w:r>
        <w:rPr>
          <w:color w:val="222222"/>
          <w:sz w:val="21"/>
          <w:szCs w:val="21"/>
        </w:rPr>
        <w:t xml:space="preserve">ULPF answers each sub-problem with a purpose-built subsystem, all wired into one live pipeline rather than left as disconnected concepts:</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2708"/>
        <w:gridCol w:w="6318"/>
      </w:tblGrid>
      <w:tr>
        <w:trPr>
          <w:tblHeader/>
        </w:trPr>
        <w:tc>
          <w:tcPr>
            <w:tcW w:type="dxa" w:w="2708"/>
            <w:shd w:fill="0B2545" w:val="clear"/>
            <w:tcMar>
              <w:top w:type="dxa" w:w="80"/>
              <w:left w:type="dxa" w:w="100"/>
              <w:bottom w:type="dxa" w:w="80"/>
              <w:right w:type="dxa" w:w="100"/>
            </w:tcMar>
            <w:vAlign w:val="center"/>
          </w:tcPr>
          <w:p>
            <w:pPr>
              <w:jc w:val="left"/>
            </w:pPr>
            <w:r>
              <w:rPr>
                <w:b/>
                <w:bCs/>
                <w:color w:val="FFFFFF"/>
                <w:sz w:val="19"/>
                <w:szCs w:val="19"/>
              </w:rPr>
              <w:t xml:space="preserve">Problem</w:t>
            </w:r>
          </w:p>
        </w:tc>
        <w:tc>
          <w:tcPr>
            <w:tcW w:type="dxa" w:w="6318"/>
            <w:shd w:fill="0B2545" w:val="clear"/>
            <w:tcMar>
              <w:top w:type="dxa" w:w="80"/>
              <w:left w:type="dxa" w:w="100"/>
              <w:bottom w:type="dxa" w:w="80"/>
              <w:right w:type="dxa" w:w="100"/>
            </w:tcMar>
            <w:vAlign w:val="center"/>
          </w:tcPr>
          <w:p>
            <w:pPr>
              <w:jc w:val="left"/>
            </w:pPr>
            <w:r>
              <w:rPr>
                <w:b/>
                <w:bCs/>
                <w:color w:val="FFFFFF"/>
                <w:sz w:val="19"/>
                <w:szCs w:val="19"/>
              </w:rPr>
              <w:t xml:space="preserve">ULPF's answer</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Format heterogeneity</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An extensible format-detector + deterministic parser library covering 13 formats out of the box, with a YAML-defined “source pack” mechanism for vendor-specific field mapping</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Field-mapping ambiguity</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 canonical ECS-like schema (plus a best-effort OCSF 1.x mapping) that every format normalizes into, preserving anything unmapped rather than discarding it</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Unknown-format onboarding</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Drain3-based log clustering plus an LLM-assisted “pack drafting” workflow that proposes a field mapping from real samples — always gated behind mandatory human approval before it can process live traffic</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Evidentiary integrity</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An RFC 6962-style Merkle tree with Ed25519 (or PKCS#11 HSM-backed) signed checkpoints, RFC 3161 trusted timestamps, and a standalone offline verifier that can prove tamper-evidence with zero dependency on the ULPF application itself</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Operational visibility</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A correlation engine, entity-behaviour (“Sentinel”) profiling, attack-path reconstruction, incident case management with severity-tiered notification, and a threat-hunting workspace — all built on the same normalized data</w:t>
            </w:r>
          </w:p>
        </w:tc>
      </w:tr>
    </w:tbl>
    <w:p>
      <w:pPr>
        <w:spacing w:after="120"/>
      </w:pPr>
    </w:p>
    <w:p>
      <w:pPr>
        <w:pStyle w:val="Heading3"/>
        <w:spacing w:after="100" w:before="220"/>
      </w:pPr>
      <w:r>
        <w:rPr>
          <w:b/>
          <w:bCs/>
          <w:color w:val="0B2545"/>
        </w:rPr>
        <w:t xml:space="preserve">End-to-end pipeline</w:t>
      </w:r>
    </w:p>
    <w:p>
      <w:pPr>
        <w:spacing w:after="160" w:line="300"/>
      </w:pPr>
      <w:r>
        <w:rPr>
          <w:color w:val="222222"/>
          <w:sz w:val="21"/>
          <w:szCs w:val="21"/>
        </w:rPr>
        <w:t xml:space="preserve">Every event — regardless of source or format — passes through the same synchronous pipeline (“app/core/processing.py”), summarized below:</w:t>
      </w:r>
    </w:p>
    <w:p>
      <w:pPr>
        <w:pStyle w:val="ListParagraph"/>
        <w:numPr>
          <w:ilvl w:val="0"/>
          <w:numId w:val="2"/>
        </w:numPr>
        <w:spacing w:after="90" w:line="290"/>
      </w:pPr>
      <w:r>
        <w:rPr>
          <w:color w:val="222222"/>
          <w:sz w:val="21"/>
          <w:szCs w:val="21"/>
        </w:rPr>
        <w:t xml:space="preserve">1. Ingestion — raw bytes are SHA-256 hashed and written to an append-only, gzip-compressed (optionally Fernet-encrypted) raw vault before anything else happens, so the original is preserved regardless of what parsing decides later.</w:t>
      </w:r>
    </w:p>
    <w:p>
      <w:pPr>
        <w:pStyle w:val="ListParagraph"/>
        <w:numPr>
          <w:ilvl w:val="0"/>
          <w:numId w:val="2"/>
        </w:numPr>
        <w:spacing w:after="90" w:line="290"/>
      </w:pPr>
      <w:r>
        <w:rPr>
          <w:color w:val="222222"/>
          <w:sz w:val="21"/>
          <w:szCs w:val="21"/>
        </w:rPr>
        <w:t xml:space="preserve">2. Format detection — a rules-based detector identifies the wire format (JSON, XML, CEF, LEEF, Syslog, CSV, key-value, or one of six deterministic text-log formats added this cycle).</w:t>
      </w:r>
    </w:p>
    <w:p>
      <w:pPr>
        <w:pStyle w:val="ListParagraph"/>
        <w:numPr>
          <w:ilvl w:val="0"/>
          <w:numId w:val="2"/>
        </w:numPr>
        <w:spacing w:after="90" w:line="290"/>
      </w:pPr>
      <w:r>
        <w:rPr>
          <w:color w:val="222222"/>
          <w:sz w:val="21"/>
          <w:szCs w:val="21"/>
        </w:rPr>
        <w:t xml:space="preserve">3. Parsing — a deterministic parser or a published “source pack” extracts structured fields.</w:t>
      </w:r>
    </w:p>
    <w:p>
      <w:pPr>
        <w:pStyle w:val="ListParagraph"/>
        <w:numPr>
          <w:ilvl w:val="0"/>
          <w:numId w:val="2"/>
        </w:numPr>
        <w:spacing w:after="90" w:line="290"/>
      </w:pPr>
      <w:r>
        <w:rPr>
          <w:color w:val="222222"/>
          <w:sz w:val="21"/>
          <w:szCs w:val="21"/>
        </w:rPr>
        <w:t xml:space="preserve">4. Normalization — fields map into the canonical schema; a Drain3 clustering step groups anything unparseable so a human (or the AI-assisted drafting flow) can address it later.</w:t>
      </w:r>
    </w:p>
    <w:p>
      <w:pPr>
        <w:pStyle w:val="ListParagraph"/>
        <w:numPr>
          <w:ilvl w:val="0"/>
          <w:numId w:val="2"/>
        </w:numPr>
        <w:spacing w:after="90" w:line="290"/>
      </w:pPr>
      <w:r>
        <w:rPr>
          <w:color w:val="222222"/>
          <w:sz w:val="21"/>
          <w:szCs w:val="21"/>
        </w:rPr>
        <w:t xml:space="preserve">5. PII redaction — pattern-based redaction (emails, Aadhaar numbers, PAN numbers, Indian mobile numbers) runs before the message is persisted or hashed.</w:t>
      </w:r>
    </w:p>
    <w:p>
      <w:pPr>
        <w:pStyle w:val="ListParagraph"/>
        <w:numPr>
          <w:ilvl w:val="0"/>
          <w:numId w:val="2"/>
        </w:numPr>
        <w:spacing w:after="90" w:line="290"/>
      </w:pPr>
      <w:r>
        <w:rPr>
          <w:color w:val="222222"/>
          <w:sz w:val="21"/>
          <w:szCs w:val="21"/>
        </w:rPr>
        <w:t xml:space="preserve">6. Explainable risk scoring — a documented, threshold-based score with human-readable reasons and a live per-source baseline.</w:t>
      </w:r>
    </w:p>
    <w:p>
      <w:pPr>
        <w:pStyle w:val="ListParagraph"/>
        <w:numPr>
          <w:ilvl w:val="0"/>
          <w:numId w:val="2"/>
        </w:numPr>
        <w:spacing w:after="90" w:line="290"/>
      </w:pPr>
      <w:r>
        <w:rPr>
          <w:color w:val="222222"/>
          <w:sz w:val="21"/>
          <w:szCs w:val="21"/>
        </w:rPr>
        <w:t xml:space="preserve">7. Epistemic quality classification — every event is tagged by how much real evidence backs its risk assessment (no-evidence / insufficient-data / evidence-of-absence / sufficient-evidence), rather than presenting every score with equal false confidence.</w:t>
      </w:r>
    </w:p>
    <w:p>
      <w:pPr>
        <w:pStyle w:val="ListParagraph"/>
        <w:numPr>
          <w:ilvl w:val="0"/>
          <w:numId w:val="2"/>
        </w:numPr>
        <w:spacing w:after="90" w:line="290"/>
      </w:pPr>
      <w:r>
        <w:rPr>
          <w:color w:val="222222"/>
          <w:sz w:val="21"/>
          <w:szCs w:val="21"/>
        </w:rPr>
        <w:t xml:space="preserve">8. Canonicalization &amp; hashing — RFC 8785 (JSON Canonicalization Scheme) plus SHA-256, so the hash is reproducible regardless of key ordering.</w:t>
      </w:r>
    </w:p>
    <w:p>
      <w:pPr>
        <w:pStyle w:val="ListParagraph"/>
        <w:numPr>
          <w:ilvl w:val="0"/>
          <w:numId w:val="2"/>
        </w:numPr>
        <w:spacing w:after="90" w:line="290"/>
      </w:pPr>
      <w:r>
        <w:rPr>
          <w:color w:val="222222"/>
          <w:sz w:val="21"/>
          <w:szCs w:val="21"/>
        </w:rPr>
        <w:t xml:space="preserve">9. Merkle append &amp; checkpoint — the event's hash becomes a leaf in the tamper-evident log; a signed checkpoint (Ed25519 or HSM-backed) makes the current state provable.</w:t>
      </w:r>
    </w:p>
    <w:p>
      <w:pPr>
        <w:pStyle w:val="ListParagraph"/>
        <w:numPr>
          <w:ilvl w:val="0"/>
          <w:numId w:val="2"/>
        </w:numPr>
        <w:spacing w:after="90" w:line="290"/>
      </w:pPr>
      <w:r>
        <w:rPr>
          <w:color w:val="222222"/>
          <w:sz w:val="21"/>
          <w:szCs w:val="21"/>
        </w:rPr>
        <w:t xml:space="preserve">10. Storage — the normalized event lands in PostgreSQL (SQLite for local/offline development) alongside a full audit trail.</w:t>
      </w:r>
    </w:p>
    <w:p>
      <w:pPr>
        <w:pStyle w:val="Heading1"/>
        <w:pBdr>
          <w:bottom w:val="single" w:color="0044A8" w:sz="8" w:space="4"/>
        </w:pBdr>
        <w:spacing w:after="200" w:before="480"/>
      </w:pPr>
      <w:r>
        <w:rPr>
          <w:b/>
          <w:bCs/>
          <w:color w:val="0B2545"/>
        </w:rPr>
        <w:t xml:space="preserve">3. System Architecture</w:t>
      </w:r>
    </w:p>
    <w:p>
      <w:pPr>
        <w:pStyle w:val="Heading2"/>
        <w:spacing w:after="140" w:before="320"/>
      </w:pPr>
      <w:r>
        <w:rPr>
          <w:b/>
          <w:bCs/>
          <w:color w:val="0044A8"/>
        </w:rPr>
        <w:t xml:space="preserve">3.1 High-level data flow</w:t>
      </w:r>
    </w:p>
    <w:p>
      <w:pPr>
        <w:spacing w:after="160" w:line="300"/>
      </w:pPr>
      <w:r>
        <w:rPr>
          <w:color w:val="222222"/>
          <w:sz w:val="21"/>
          <w:szCs w:val="21"/>
        </w:rPr>
        <w:t xml:space="preserve">Vendor devices and log sources reach ULPF through one of several ingestion paths: direct HTTP POST (“/events”, “/events/batch”), a dedicated syslog ingestion endpoint, a Windows Event Log XML endpoint, or a standalone UDP/TCP/mutual-TLS syslog listener process. All of them converge on the same processing pipeline described in Section 2, so no ingestion path gets weaker guarantees than another.</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1444"/>
        <w:gridCol w:w="2708"/>
        <w:gridCol w:w="4874"/>
      </w:tblGrid>
      <w:tr>
        <w:trPr>
          <w:tblHeader/>
        </w:trPr>
        <w:tc>
          <w:tcPr>
            <w:tcW w:type="dxa" w:w="1444"/>
            <w:shd w:fill="0B2545"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2708"/>
            <w:shd w:fill="0B2545" w:val="clear"/>
            <w:tcMar>
              <w:top w:type="dxa" w:w="80"/>
              <w:left w:type="dxa" w:w="100"/>
              <w:bottom w:type="dxa" w:w="80"/>
              <w:right w:type="dxa" w:w="100"/>
            </w:tcMar>
            <w:vAlign w:val="center"/>
          </w:tcPr>
          <w:p>
            <w:pPr>
              <w:jc w:val="left"/>
            </w:pPr>
            <w:r>
              <w:rPr>
                <w:b/>
                <w:bCs/>
                <w:color w:val="FFFFFF"/>
                <w:sz w:val="19"/>
                <w:szCs w:val="19"/>
              </w:rPr>
              <w:t xml:space="preserve">Responsible module</w:t>
            </w:r>
          </w:p>
        </w:tc>
        <w:tc>
          <w:tcPr>
            <w:tcW w:type="dxa" w:w="4874"/>
            <w:shd w:fill="0B2545" w:val="clear"/>
            <w:tcMar>
              <w:top w:type="dxa" w:w="80"/>
              <w:left w:type="dxa" w:w="100"/>
              <w:bottom w:type="dxa" w:w="80"/>
              <w:right w:type="dxa" w:w="100"/>
            </w:tcMar>
            <w:vAlign w:val="center"/>
          </w:tcPr>
          <w:p>
            <w:pPr>
              <w:jc w:val="left"/>
            </w:pPr>
            <w:r>
              <w:rPr>
                <w:b/>
                <w:bCs/>
                <w:color w:val="FFFFFF"/>
                <w:sz w:val="19"/>
                <w:szCs w:val="19"/>
              </w:rPr>
              <w:t xml:space="preserve">What it does</w:t>
            </w:r>
          </w:p>
        </w:tc>
      </w:tr>
      <w:tr>
        <w:tc>
          <w:tcPr>
            <w:tcW w:type="dxa" w:w="1444"/>
            <w:tcMar>
              <w:top w:type="dxa" w:w="80"/>
              <w:left w:type="dxa" w:w="100"/>
              <w:bottom w:type="dxa" w:w="80"/>
              <w:right w:type="dxa" w:w="100"/>
            </w:tcMar>
            <w:vAlign w:val="center"/>
          </w:tcPr>
          <w:p>
            <w:pPr>
              <w:jc w:val="left"/>
            </w:pPr>
            <w:r>
              <w:rPr>
                <w:b w:val="false"/>
                <w:bCs w:val="false"/>
                <w:color w:val="222222"/>
                <w:sz w:val="19"/>
                <w:szCs w:val="19"/>
              </w:rPr>
              <w:t xml:space="preserve">Ingestion</w:t>
            </w:r>
          </w:p>
        </w:tc>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app/api/v1/ingestion.py</w:t>
            </w:r>
          </w:p>
        </w:tc>
        <w:tc>
          <w:tcPr>
            <w:tcW w:type="dxa" w:w="4874"/>
            <w:tcMar>
              <w:top w:type="dxa" w:w="80"/>
              <w:left w:type="dxa" w:w="100"/>
              <w:bottom w:type="dxa" w:w="80"/>
              <w:right w:type="dxa" w:w="100"/>
            </w:tcMar>
            <w:vAlign w:val="center"/>
          </w:tcPr>
          <w:p>
            <w:pPr>
              <w:jc w:val="left"/>
            </w:pPr>
            <w:r>
              <w:rPr>
                <w:b w:val="false"/>
                <w:bCs w:val="false"/>
                <w:color w:val="222222"/>
                <w:sz w:val="19"/>
                <w:szCs w:val="19"/>
              </w:rPr>
              <w:t xml:space="preserve">Hashes raw bytes, writes to the raw vault, records metadata</w:t>
            </w:r>
          </w:p>
        </w:tc>
      </w:tr>
      <w:tr>
        <w:tc>
          <w:tcPr>
            <w:tcW w:type="dxa" w:w="144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Raw vault</w:t>
            </w:r>
          </w:p>
        </w:tc>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app/core/local_storage.py</w:t>
            </w:r>
          </w:p>
        </w:tc>
        <w:tc>
          <w:tcPr>
            <w:tcW w:type="dxa" w:w="487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Gzip + optional Fernet encryption at rest; one append-only file per event</w:t>
            </w:r>
          </w:p>
        </w:tc>
      </w:tr>
      <w:tr>
        <w:tc>
          <w:tcPr>
            <w:tcW w:type="dxa" w:w="1444"/>
            <w:tcMar>
              <w:top w:type="dxa" w:w="80"/>
              <w:left w:type="dxa" w:w="100"/>
              <w:bottom w:type="dxa" w:w="80"/>
              <w:right w:type="dxa" w:w="100"/>
            </w:tcMar>
            <w:vAlign w:val="center"/>
          </w:tcPr>
          <w:p>
            <w:pPr>
              <w:jc w:val="left"/>
            </w:pPr>
            <w:r>
              <w:rPr>
                <w:b w:val="false"/>
                <w:bCs w:val="false"/>
                <w:color w:val="222222"/>
                <w:sz w:val="19"/>
                <w:szCs w:val="19"/>
              </w:rPr>
              <w:t xml:space="preserve">Processing pipeline</w:t>
            </w:r>
          </w:p>
        </w:tc>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app/core/processing.py</w:t>
            </w:r>
          </w:p>
        </w:tc>
        <w:tc>
          <w:tcPr>
            <w:tcW w:type="dxa" w:w="4874"/>
            <w:tcMar>
              <w:top w:type="dxa" w:w="80"/>
              <w:left w:type="dxa" w:w="100"/>
              <w:bottom w:type="dxa" w:w="80"/>
              <w:right w:type="dxa" w:w="100"/>
            </w:tcMar>
            <w:vAlign w:val="center"/>
          </w:tcPr>
          <w:p>
            <w:pPr>
              <w:jc w:val="left"/>
            </w:pPr>
            <w:r>
              <w:rPr>
                <w:b w:val="false"/>
                <w:bCs w:val="false"/>
                <w:color w:val="222222"/>
                <w:sz w:val="19"/>
                <w:szCs w:val="19"/>
              </w:rPr>
              <w:t xml:space="preserve">Format detection → parse → normalize → redact → score → hash → Merkle append</w:t>
            </w:r>
          </w:p>
        </w:tc>
      </w:tr>
      <w:tr>
        <w:tc>
          <w:tcPr>
            <w:tcW w:type="dxa" w:w="144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Integrity subsystem</w:t>
            </w:r>
          </w:p>
        </w:tc>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app/integrity/</w:t>
            </w:r>
          </w:p>
        </w:tc>
        <w:tc>
          <w:tcPr>
            <w:tcW w:type="dxa" w:w="487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Merkle tree, Ed25519/PKCS#11 signing, RFC 8785 canonicalization, RFC 3161 timestamping</w:t>
            </w:r>
          </w:p>
        </w:tc>
      </w:tr>
      <w:tr>
        <w:tc>
          <w:tcPr>
            <w:tcW w:type="dxa" w:w="1444"/>
            <w:tcMar>
              <w:top w:type="dxa" w:w="80"/>
              <w:left w:type="dxa" w:w="100"/>
              <w:bottom w:type="dxa" w:w="80"/>
              <w:right w:type="dxa" w:w="100"/>
            </w:tcMar>
            <w:vAlign w:val="center"/>
          </w:tcPr>
          <w:p>
            <w:pPr>
              <w:jc w:val="left"/>
            </w:pPr>
            <w:r>
              <w:rPr>
                <w:b w:val="false"/>
                <w:bCs w:val="false"/>
                <w:color w:val="222222"/>
                <w:sz w:val="19"/>
                <w:szCs w:val="19"/>
              </w:rPr>
              <w:t xml:space="preserve">Storage</w:t>
            </w:r>
          </w:p>
        </w:tc>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PostgreSQL 15 (prod) / SQLite (local dev)</w:t>
            </w:r>
          </w:p>
        </w:tc>
        <w:tc>
          <w:tcPr>
            <w:tcW w:type="dxa" w:w="4874"/>
            <w:tcMar>
              <w:top w:type="dxa" w:w="80"/>
              <w:left w:type="dxa" w:w="100"/>
              <w:bottom w:type="dxa" w:w="80"/>
              <w:right w:type="dxa" w:w="100"/>
            </w:tcMar>
            <w:vAlign w:val="center"/>
          </w:tcPr>
          <w:p>
            <w:pPr>
              <w:jc w:val="left"/>
            </w:pPr>
            <w:r>
              <w:rPr>
                <w:b w:val="false"/>
                <w:bCs w:val="false"/>
                <w:color w:val="222222"/>
                <w:sz w:val="19"/>
                <w:szCs w:val="19"/>
              </w:rPr>
              <w:t xml:space="preserve">NormalizedEvent, DLQEvent, Merkle leaves, checkpoints, full audit trail</w:t>
            </w:r>
          </w:p>
        </w:tc>
      </w:tr>
      <w:tr>
        <w:tc>
          <w:tcPr>
            <w:tcW w:type="dxa" w:w="144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Background analytics</w:t>
            </w:r>
          </w:p>
        </w:tc>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app/services/live_detection.py + app/analytics/</w:t>
            </w:r>
          </w:p>
        </w:tc>
        <w:tc>
          <w:tcPr>
            <w:tcW w:type="dxa" w:w="487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 30-second cycle continuously re-runs correlation and entity-behaviour scoring and auto-opens cases for high/critical findings</w:t>
            </w:r>
          </w:p>
        </w:tc>
      </w:tr>
      <w:tr>
        <w:tc>
          <w:tcPr>
            <w:tcW w:type="dxa" w:w="1444"/>
            <w:tcMar>
              <w:top w:type="dxa" w:w="80"/>
              <w:left w:type="dxa" w:w="100"/>
              <w:bottom w:type="dxa" w:w="80"/>
              <w:right w:type="dxa" w:w="100"/>
            </w:tcMar>
            <w:vAlign w:val="center"/>
          </w:tcPr>
          <w:p>
            <w:pPr>
              <w:jc w:val="left"/>
            </w:pPr>
            <w:r>
              <w:rPr>
                <w:b w:val="false"/>
                <w:bCs w:val="false"/>
                <w:color w:val="222222"/>
                <w:sz w:val="19"/>
                <w:szCs w:val="19"/>
              </w:rPr>
              <w:t xml:space="preserve">REST API</w:t>
            </w:r>
          </w:p>
        </w:tc>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FastAPI, app/api/v1/* (21 routers, ~80 endpoints)</w:t>
            </w:r>
          </w:p>
        </w:tc>
        <w:tc>
          <w:tcPr>
            <w:tcW w:type="dxa" w:w="4874"/>
            <w:tcMar>
              <w:top w:type="dxa" w:w="80"/>
              <w:left w:type="dxa" w:w="100"/>
              <w:bottom w:type="dxa" w:w="80"/>
              <w:right w:type="dxa" w:w="100"/>
            </w:tcMar>
            <w:vAlign w:val="center"/>
          </w:tcPr>
          <w:p>
            <w:pPr>
              <w:jc w:val="left"/>
            </w:pPr>
            <w:r>
              <w:rPr>
                <w:b w:val="false"/>
                <w:bCs w:val="false"/>
                <w:color w:val="222222"/>
                <w:sz w:val="19"/>
                <w:szCs w:val="19"/>
              </w:rPr>
              <w:t xml:space="preserve">Every analyst-facing and administrative capability, JWT-protected where sensitive</w:t>
            </w:r>
          </w:p>
        </w:tc>
      </w:tr>
      <w:tr>
        <w:tc>
          <w:tcPr>
            <w:tcW w:type="dxa" w:w="144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Frontend</w:t>
            </w:r>
          </w:p>
        </w:tc>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React 19 + TypeScript + Vite</w:t>
            </w:r>
          </w:p>
        </w:tc>
        <w:tc>
          <w:tcPr>
            <w:tcW w:type="dxa" w:w="487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Dashboard, log explorer, parser lab, correlation, entity graph, cases, evidence, and more</w:t>
            </w:r>
          </w:p>
        </w:tc>
      </w:tr>
    </w:tbl>
    <w:p>
      <w:pPr>
        <w:spacing w:after="120"/>
      </w:pPr>
    </w:p>
    <w:p>
      <w:pPr>
        <w:pStyle w:val="Heading2"/>
        <w:spacing w:after="140" w:before="320"/>
      </w:pPr>
      <w:r>
        <w:rPr>
          <w:b/>
          <w:bCs/>
          <w:color w:val="0044A8"/>
        </w:rPr>
        <w:t xml:space="preserve">3.2 Deployment shapes</w:t>
      </w:r>
    </w:p>
    <w:p>
      <w:pPr>
        <w:spacing w:after="160" w:line="300"/>
      </w:pPr>
      <w:r>
        <w:rPr>
          <w:color w:val="222222"/>
          <w:sz w:val="21"/>
          <w:szCs w:val="21"/>
        </w:rPr>
        <w:t xml:space="preserve">Two deployment shapes exist, and this document is explicit about which one has actually been run and verified:</w:t>
      </w:r>
    </w:p>
    <w:p>
      <w:pPr>
        <w:pStyle w:val="ListParagraph"/>
        <w:numPr>
          <w:ilvl w:val="0"/>
          <w:numId w:val="2"/>
        </w:numPr>
        <w:spacing w:after="90" w:line="290"/>
      </w:pPr>
      <w:r>
        <w:rPr>
          <w:color w:val="222222"/>
          <w:sz w:val="21"/>
          <w:szCs w:val="21"/>
        </w:rPr>
        <w:t xml:space="preserve">Verified, run end-to-end in this project cycle: a synchronous single-process pipeline against SQLite, with raw logs on local disk. This is what every number in this document was measured against.</w:t>
      </w:r>
    </w:p>
    <w:p>
      <w:pPr>
        <w:pStyle w:val="ListParagraph"/>
        <w:numPr>
          <w:ilvl w:val="0"/>
          <w:numId w:val="2"/>
        </w:numPr>
        <w:spacing w:after="90" w:line="290"/>
      </w:pPr>
      <w:r>
        <w:rPr>
          <w:color w:val="222222"/>
          <w:sz w:val="21"/>
          <w:szCs w:val="21"/>
        </w:rPr>
        <w:t xml:space="preserve">Documented production path, not fully exercised in this sandbox: docker-compose.yml (PostgreSQL + Redpanda/Kafka + MinIO + OpenSearch + Redis), docker-compose.prod.yml (TLS-terminating nginx), and a full Kubernetes manifest set (deploy/k8s/) with StatefulSets, resource limits, and a default-deny NetworkPolicy. The async/Kafka ingestion path was verified correct end-to-end against a real, locally-run Apache Kafka broker; the Kubernetes manifests are schema-validated against Kubernetes 1.31's real API (20/20 resources valid via kubeconform) but not cluster-tested, since no Docker/kind-capable host was available in this environment.</w:t>
      </w:r>
    </w:p>
    <w:tbl>
      <w:tblPr>
        <w:tblW w:type="dxa" w:w="9026"/>
        <w:tblBorders>
          <w:top w:val="single" w:color="8A5A00" w:sz="4"/>
          <w:left w:val="single" w:color="8A5A00" w:sz="24"/>
          <w:bottom w:val="single" w:color="8A5A00" w:sz="4"/>
          <w:right w:val="single" w:color="8A5A00" w:sz="4"/>
          <w:insideH w:val="none"/>
          <w:insideV w:val="none"/>
        </w:tblBorders>
      </w:tblPr>
      <w:tblGrid>
        <w:gridCol w:w="9026"/>
      </w:tblGrid>
      <w:tr>
        <w:tc>
          <w:tcPr>
            <w:tcW w:type="dxa" w:w="9026"/>
            <w:shd w:fill="F7F9FC" w:val="clear"/>
            <w:tcMar>
              <w:top w:type="dxa" w:w="140"/>
              <w:left w:type="dxa" w:w="200"/>
              <w:bottom w:type="dxa" w:w="140"/>
              <w:right w:type="dxa" w:w="200"/>
            </w:tcMar>
          </w:tcPr>
          <w:p>
            <w:pPr>
              <w:spacing w:after="60"/>
            </w:pPr>
            <w:r>
              <w:rPr>
                <w:b/>
                <w:bCs/>
                <w:color w:val="8A5A00"/>
                <w:sz w:val="20"/>
                <w:szCs w:val="20"/>
              </w:rPr>
              <w:t xml:space="preserve">Why this distinction matters</w:t>
            </w:r>
          </w:p>
          <w:p>
            <w:pPr>
              <w:spacing w:after="0" w:line="280"/>
            </w:pPr>
            <w:r>
              <w:rPr>
                <w:color w:val="333333"/>
                <w:sz w:val="20"/>
                <w:szCs w:val="20"/>
              </w:rPr>
              <w:t xml:space="preserve">This document deliberately does not blur “wired and documented” with “live-tested.” Every claim below is labelled as one or the other, consistent with this project's standing rule against fabricated or inflated claims.</w:t>
            </w:r>
          </w:p>
        </w:tc>
      </w:tr>
    </w:tbl>
    <w:p>
      <w:pPr>
        <w:pStyle w:val="Heading1"/>
        <w:pBdr>
          <w:bottom w:val="single" w:color="0044A8" w:sz="8" w:space="4"/>
        </w:pBdr>
        <w:spacing w:after="200" w:before="480"/>
      </w:pPr>
      <w:r>
        <w:rPr>
          <w:b/>
          <w:bCs/>
          <w:color w:val="0B2545"/>
        </w:rPr>
        <w:t xml:space="preserve">4. Core Features</w:t>
      </w:r>
    </w:p>
    <w:p>
      <w:pPr>
        <w:spacing w:after="160" w:line="300"/>
      </w:pPr>
      <w:r>
        <w:rPr>
          <w:color w:val="222222"/>
          <w:sz w:val="21"/>
          <w:szCs w:val="21"/>
        </w:rPr>
        <w:t xml:space="preserve">The table below lists every functional area of the platform as actually implemented and reachable in the running application, one row per analyst-facing capability.</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2527"/>
        <w:gridCol w:w="6499"/>
      </w:tblGrid>
      <w:tr>
        <w:trPr>
          <w:tblHeader/>
        </w:trPr>
        <w:tc>
          <w:tcPr>
            <w:tcW w:type="dxa" w:w="2527"/>
            <w:shd w:fill="0B2545" w:val="clear"/>
            <w:tcMar>
              <w:top w:type="dxa" w:w="80"/>
              <w:left w:type="dxa" w:w="100"/>
              <w:bottom w:type="dxa" w:w="80"/>
              <w:right w:type="dxa" w:w="100"/>
            </w:tcMar>
            <w:vAlign w:val="center"/>
          </w:tcPr>
          <w:p>
            <w:pPr>
              <w:jc w:val="left"/>
            </w:pPr>
            <w:r>
              <w:rPr>
                <w:b/>
                <w:bCs/>
                <w:color w:val="FFFFFF"/>
                <w:sz w:val="19"/>
                <w:szCs w:val="19"/>
              </w:rPr>
              <w:t xml:space="preserve">Module</w:t>
            </w:r>
          </w:p>
        </w:tc>
        <w:tc>
          <w:tcPr>
            <w:tcW w:type="dxa" w:w="6499"/>
            <w:shd w:fill="0B2545" w:val="clear"/>
            <w:tcMar>
              <w:top w:type="dxa" w:w="80"/>
              <w:left w:type="dxa" w:w="100"/>
              <w:bottom w:type="dxa" w:w="80"/>
              <w:right w:type="dxa" w:w="100"/>
            </w:tcMar>
            <w:vAlign w:val="center"/>
          </w:tcPr>
          <w:p>
            <w:pPr>
              <w:jc w:val="left"/>
            </w:pPr>
            <w:r>
              <w:rPr>
                <w:b/>
                <w:bCs/>
                <w:color w:val="FFFFFF"/>
                <w:sz w:val="19"/>
                <w:szCs w:val="19"/>
              </w:rPr>
              <w:t xml:space="preserve">What it does</w:t>
            </w:r>
          </w:p>
        </w:tc>
      </w:tr>
      <w:tr>
        <w:tc>
          <w:tcPr>
            <w:tcW w:type="dxa" w:w="2527"/>
            <w:tcMar>
              <w:top w:type="dxa" w:w="80"/>
              <w:left w:type="dxa" w:w="100"/>
              <w:bottom w:type="dxa" w:w="80"/>
              <w:right w:type="dxa" w:w="100"/>
            </w:tcMar>
            <w:vAlign w:val="center"/>
          </w:tcPr>
          <w:p>
            <w:pPr>
              <w:jc w:val="left"/>
            </w:pPr>
            <w:r>
              <w:rPr>
                <w:b w:val="false"/>
                <w:bCs w:val="false"/>
                <w:color w:val="222222"/>
                <w:sz w:val="19"/>
                <w:szCs w:val="19"/>
              </w:rPr>
              <w:t xml:space="preserve">Dashboard</w:t>
            </w:r>
          </w:p>
        </w:tc>
        <w:tc>
          <w:tcPr>
            <w:tcW w:type="dxa" w:w="6499"/>
            <w:tcMar>
              <w:top w:type="dxa" w:w="80"/>
              <w:left w:type="dxa" w:w="100"/>
              <w:bottom w:type="dxa" w:w="80"/>
              <w:right w:type="dxa" w:w="100"/>
            </w:tcMar>
            <w:vAlign w:val="center"/>
          </w:tcPr>
          <w:p>
            <w:pPr>
              <w:jc w:val="left"/>
            </w:pPr>
            <w:r>
              <w:rPr>
                <w:b w:val="false"/>
                <w:bCs w:val="false"/>
                <w:color w:val="222222"/>
                <w:sz w:val="19"/>
                <w:szCs w:val="19"/>
              </w:rPr>
              <w:t xml:space="preserve">Aggregate event/risk stats, pipeline health, registered sources, event-volume time series, recent cases</w:t>
            </w:r>
          </w:p>
        </w:tc>
      </w:tr>
      <w:tr>
        <w:tc>
          <w:tcPr>
            <w:tcW w:type="dxa" w:w="252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Log Explorer</w:t>
            </w:r>
          </w:p>
        </w:tc>
        <w:tc>
          <w:tcPr>
            <w:tcW w:type="dxa" w:w="649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Filterable search over normalized events; drill into an event's canonical JSON, original raw text, Merkle proof, and full processing/version history</w:t>
            </w:r>
          </w:p>
        </w:tc>
      </w:tr>
      <w:tr>
        <w:tc>
          <w:tcPr>
            <w:tcW w:type="dxa" w:w="2527"/>
            <w:tcMar>
              <w:top w:type="dxa" w:w="80"/>
              <w:left w:type="dxa" w:w="100"/>
              <w:bottom w:type="dxa" w:w="80"/>
              <w:right w:type="dxa" w:w="100"/>
            </w:tcMar>
            <w:vAlign w:val="center"/>
          </w:tcPr>
          <w:p>
            <w:pPr>
              <w:jc w:val="left"/>
            </w:pPr>
            <w:r>
              <w:rPr>
                <w:b w:val="false"/>
                <w:bCs w:val="false"/>
                <w:color w:val="222222"/>
                <w:sz w:val="19"/>
                <w:szCs w:val="19"/>
              </w:rPr>
              <w:t xml:space="preserve">Data Sources + Add-Source Wizard</w:t>
            </w:r>
          </w:p>
        </w:tc>
        <w:tc>
          <w:tcPr>
            <w:tcW w:type="dxa" w:w="6499"/>
            <w:tcMar>
              <w:top w:type="dxa" w:w="80"/>
              <w:left w:type="dxa" w:w="100"/>
              <w:bottom w:type="dxa" w:w="80"/>
              <w:right w:type="dxa" w:w="100"/>
            </w:tcMar>
            <w:vAlign w:val="center"/>
          </w:tcPr>
          <w:p>
            <w:pPr>
              <w:jc w:val="left"/>
            </w:pPr>
            <w:r>
              <w:rPr>
                <w:b w:val="false"/>
                <w:bCs w:val="false"/>
                <w:color w:val="222222"/>
                <w:sz w:val="19"/>
                <w:szCs w:val="19"/>
              </w:rPr>
              <w:t xml:space="preserve">Register a new source; “analyze-sample” shows exactly what the pipeline would extract from a pasted sample before committing</w:t>
            </w:r>
          </w:p>
        </w:tc>
      </w:tr>
      <w:tr>
        <w:tc>
          <w:tcPr>
            <w:tcW w:type="dxa" w:w="252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Parser Lab / Mapping Registry</w:t>
            </w:r>
          </w:p>
        </w:tc>
        <w:tc>
          <w:tcPr>
            <w:tcW w:type="dxa" w:w="649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Edit a source-pack YAML, test it against a sample log, publish it (published packs are what the live pipeline actually runs)</w:t>
            </w:r>
          </w:p>
        </w:tc>
      </w:tr>
      <w:tr>
        <w:tc>
          <w:tcPr>
            <w:tcW w:type="dxa" w:w="2527"/>
            <w:tcMar>
              <w:top w:type="dxa" w:w="80"/>
              <w:left w:type="dxa" w:w="100"/>
              <w:bottom w:type="dxa" w:w="80"/>
              <w:right w:type="dxa" w:w="100"/>
            </w:tcMar>
            <w:vAlign w:val="center"/>
          </w:tcPr>
          <w:p>
            <w:pPr>
              <w:jc w:val="left"/>
            </w:pPr>
            <w:r>
              <w:rPr>
                <w:b w:val="false"/>
                <w:bCs w:val="false"/>
                <w:color w:val="222222"/>
                <w:sz w:val="19"/>
                <w:szCs w:val="19"/>
              </w:rPr>
              <w:t xml:space="preserve">Mapping Review</w:t>
            </w:r>
          </w:p>
        </w:tc>
        <w:tc>
          <w:tcPr>
            <w:tcW w:type="dxa" w:w="6499"/>
            <w:tcMar>
              <w:top w:type="dxa" w:w="80"/>
              <w:left w:type="dxa" w:w="100"/>
              <w:bottom w:type="dxa" w:w="80"/>
              <w:right w:type="dxa" w:w="100"/>
            </w:tcMar>
            <w:vAlign w:val="center"/>
          </w:tcPr>
          <w:p>
            <w:pPr>
              <w:jc w:val="left"/>
            </w:pPr>
            <w:r>
              <w:rPr>
                <w:b w:val="false"/>
                <w:bCs w:val="false"/>
                <w:color w:val="222222"/>
                <w:sz w:val="19"/>
                <w:szCs w:val="19"/>
              </w:rPr>
              <w:t xml:space="preserve">Human review queue for individual field mappings the automated confidence checks couldn't resolve</w:t>
            </w:r>
          </w:p>
        </w:tc>
      </w:tr>
      <w:tr>
        <w:tc>
          <w:tcPr>
            <w:tcW w:type="dxa" w:w="252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Integrity &amp; Replay</w:t>
            </w:r>
          </w:p>
        </w:tc>
        <w:tc>
          <w:tcPr>
            <w:tcW w:type="dxa" w:w="649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Merkle checkpoint creation/inspection; re-run processing against previously stored raw logs (with a mandatory approval step) if a parser is fixed after the fact</w:t>
            </w:r>
          </w:p>
        </w:tc>
      </w:tr>
      <w:tr>
        <w:tc>
          <w:tcPr>
            <w:tcW w:type="dxa" w:w="2527"/>
            <w:tcMar>
              <w:top w:type="dxa" w:w="80"/>
              <w:left w:type="dxa" w:w="100"/>
              <w:bottom w:type="dxa" w:w="80"/>
              <w:right w:type="dxa" w:w="100"/>
            </w:tcMar>
            <w:vAlign w:val="center"/>
          </w:tcPr>
          <w:p>
            <w:pPr>
              <w:jc w:val="left"/>
            </w:pPr>
            <w:r>
              <w:rPr>
                <w:b w:val="false"/>
                <w:bCs w:val="false"/>
                <w:color w:val="222222"/>
                <w:sz w:val="19"/>
                <w:szCs w:val="19"/>
              </w:rPr>
              <w:t xml:space="preserve">Failed Events / DLQ</w:t>
            </w:r>
          </w:p>
        </w:tc>
        <w:tc>
          <w:tcPr>
            <w:tcW w:type="dxa" w:w="6499"/>
            <w:tcMar>
              <w:top w:type="dxa" w:w="80"/>
              <w:left w:type="dxa" w:w="100"/>
              <w:bottom w:type="dxa" w:w="80"/>
              <w:right w:type="dxa" w:w="100"/>
            </w:tcMar>
            <w:vAlign w:val="center"/>
          </w:tcPr>
          <w:p>
            <w:pPr>
              <w:jc w:val="left"/>
            </w:pPr>
            <w:r>
              <w:rPr>
                <w:b w:val="false"/>
                <w:bCs w:val="false"/>
                <w:color w:val="222222"/>
                <w:sz w:val="19"/>
                <w:szCs w:val="19"/>
              </w:rPr>
              <w:t xml:space="preserve">Every event that failed processing, with its failure reason and Drain3 cluster ID; retry or resolve</w:t>
            </w:r>
          </w:p>
        </w:tc>
      </w:tr>
      <w:tr>
        <w:tc>
          <w:tcPr>
            <w:tcW w:type="dxa" w:w="252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Audit Logs</w:t>
            </w:r>
          </w:p>
        </w:tc>
        <w:tc>
          <w:tcPr>
            <w:tcW w:type="dxa" w:w="649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 hash-chained, tamper-evident record of every state-changing action across the system</w:t>
            </w:r>
          </w:p>
        </w:tc>
      </w:tr>
      <w:tr>
        <w:tc>
          <w:tcPr>
            <w:tcW w:type="dxa" w:w="2527"/>
            <w:tcMar>
              <w:top w:type="dxa" w:w="80"/>
              <w:left w:type="dxa" w:w="100"/>
              <w:bottom w:type="dxa" w:w="80"/>
              <w:right w:type="dxa" w:w="100"/>
            </w:tcMar>
            <w:vAlign w:val="center"/>
          </w:tcPr>
          <w:p>
            <w:pPr>
              <w:jc w:val="left"/>
            </w:pPr>
            <w:r>
              <w:rPr>
                <w:b w:val="false"/>
                <w:bCs w:val="false"/>
                <w:color w:val="222222"/>
                <w:sz w:val="19"/>
                <w:szCs w:val="19"/>
              </w:rPr>
              <w:t xml:space="preserve">Correlation Engine</w:t>
            </w:r>
          </w:p>
        </w:tc>
        <w:tc>
          <w:tcPr>
            <w:tcW w:type="dxa" w:w="6499"/>
            <w:tcMar>
              <w:top w:type="dxa" w:w="80"/>
              <w:left w:type="dxa" w:w="100"/>
              <w:bottom w:type="dxa" w:w="80"/>
              <w:right w:type="dxa" w:w="100"/>
            </w:tcMar>
            <w:vAlign w:val="center"/>
          </w:tcPr>
          <w:p>
            <w:pPr>
              <w:jc w:val="left"/>
            </w:pPr>
            <w:r>
              <w:rPr>
                <w:b w:val="false"/>
                <w:bCs w:val="false"/>
                <w:color w:val="222222"/>
                <w:sz w:val="19"/>
                <w:szCs w:val="19"/>
              </w:rPr>
              <w:t xml:space="preserve">YAML-defined multi-stage detection rules with sliding time windows, cross-source-type requirements, and temporal ordering</w:t>
            </w:r>
          </w:p>
        </w:tc>
      </w:tr>
      <w:tr>
        <w:tc>
          <w:tcPr>
            <w:tcW w:type="dxa" w:w="252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Entity Behaviour &amp; Graph</w:t>
            </w:r>
          </w:p>
        </w:tc>
        <w:tc>
          <w:tcPr>
            <w:tcW w:type="dxa" w:w="649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Per-entity behavioural baselines (“Sentinel”) with explainable anomaly reasons, plus a force-directed relationship graph</w:t>
            </w:r>
          </w:p>
        </w:tc>
      </w:tr>
      <w:tr>
        <w:tc>
          <w:tcPr>
            <w:tcW w:type="dxa" w:w="2527"/>
            <w:tcMar>
              <w:top w:type="dxa" w:w="80"/>
              <w:left w:type="dxa" w:w="100"/>
              <w:bottom w:type="dxa" w:w="80"/>
              <w:right w:type="dxa" w:w="100"/>
            </w:tcMar>
            <w:vAlign w:val="center"/>
          </w:tcPr>
          <w:p>
            <w:pPr>
              <w:jc w:val="left"/>
            </w:pPr>
            <w:r>
              <w:rPr>
                <w:b w:val="false"/>
                <w:bCs w:val="false"/>
                <w:color w:val="222222"/>
                <w:sz w:val="19"/>
                <w:szCs w:val="19"/>
              </w:rPr>
              <w:t xml:space="preserve">Attack Path</w:t>
            </w:r>
          </w:p>
        </w:tc>
        <w:tc>
          <w:tcPr>
            <w:tcW w:type="dxa" w:w="6499"/>
            <w:tcMar>
              <w:top w:type="dxa" w:w="80"/>
              <w:left w:type="dxa" w:w="100"/>
              <w:bottom w:type="dxa" w:w="80"/>
              <w:right w:type="dxa" w:w="100"/>
            </w:tcMar>
            <w:vAlign w:val="center"/>
          </w:tcPr>
          <w:p>
            <w:pPr>
              <w:jc w:val="left"/>
            </w:pPr>
            <w:r>
              <w:rPr>
                <w:b w:val="false"/>
                <w:bCs w:val="false"/>
                <w:color w:val="222222"/>
                <w:sz w:val="19"/>
                <w:szCs w:val="19"/>
              </w:rPr>
              <w:t xml:space="preserve">Forward-time-only reconstruction of an entity's real event sequence, with a proximity-only (explicitly non-predictive) watchlist of likely next targets</w:t>
            </w:r>
          </w:p>
        </w:tc>
      </w:tr>
      <w:tr>
        <w:tc>
          <w:tcPr>
            <w:tcW w:type="dxa" w:w="252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Incident Cases</w:t>
            </w:r>
          </w:p>
        </w:tc>
        <w:tc>
          <w:tcPr>
            <w:tcW w:type="dxa" w:w="649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Manual or auto-opened cases, severity-tiered on-call notification, acknowledgement and escalation tracking</w:t>
            </w:r>
          </w:p>
        </w:tc>
      </w:tr>
      <w:tr>
        <w:tc>
          <w:tcPr>
            <w:tcW w:type="dxa" w:w="2527"/>
            <w:tcMar>
              <w:top w:type="dxa" w:w="80"/>
              <w:left w:type="dxa" w:w="100"/>
              <w:bottom w:type="dxa" w:w="80"/>
              <w:right w:type="dxa" w:w="100"/>
            </w:tcMar>
            <w:vAlign w:val="center"/>
          </w:tcPr>
          <w:p>
            <w:pPr>
              <w:jc w:val="left"/>
            </w:pPr>
            <w:r>
              <w:rPr>
                <w:b w:val="false"/>
                <w:bCs w:val="false"/>
                <w:color w:val="222222"/>
                <w:sz w:val="19"/>
                <w:szCs w:val="19"/>
              </w:rPr>
              <w:t xml:space="preserve">Threat Hunting</w:t>
            </w:r>
          </w:p>
        </w:tc>
        <w:tc>
          <w:tcPr>
            <w:tcW w:type="dxa" w:w="6499"/>
            <w:tcMar>
              <w:top w:type="dxa" w:w="80"/>
              <w:left w:type="dxa" w:w="100"/>
              <w:bottom w:type="dxa" w:w="80"/>
              <w:right w:type="dxa" w:w="100"/>
            </w:tcMar>
            <w:vAlign w:val="center"/>
          </w:tcPr>
          <w:p>
            <w:pPr>
              <w:jc w:val="left"/>
            </w:pPr>
            <w:r>
              <w:rPr>
                <w:b w:val="false"/>
                <w:bCs w:val="false"/>
                <w:color w:val="222222"/>
                <w:sz w:val="19"/>
                <w:szCs w:val="19"/>
              </w:rPr>
              <w:t xml:space="preserve">Save and re-run a query against normalized events as a repeatable, audited “hunt”</w:t>
            </w:r>
          </w:p>
        </w:tc>
      </w:tr>
      <w:tr>
        <w:tc>
          <w:tcPr>
            <w:tcW w:type="dxa" w:w="252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Evidence / Threat Intel</w:t>
            </w:r>
          </w:p>
        </w:tc>
        <w:tc>
          <w:tcPr>
            <w:tcW w:type="dxa" w:w="649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Downloadable evidence bundles (raw + normalized + Merkle proof + checkpoint + custody report) verifiable by a standalone offline tool; indicator-matching lookups</w:t>
            </w:r>
          </w:p>
        </w:tc>
      </w:tr>
      <w:tr>
        <w:tc>
          <w:tcPr>
            <w:tcW w:type="dxa" w:w="2527"/>
            <w:tcMar>
              <w:top w:type="dxa" w:w="80"/>
              <w:left w:type="dxa" w:w="100"/>
              <w:bottom w:type="dxa" w:w="80"/>
              <w:right w:type="dxa" w:w="100"/>
            </w:tcMar>
            <w:vAlign w:val="center"/>
          </w:tcPr>
          <w:p>
            <w:pPr>
              <w:jc w:val="left"/>
            </w:pPr>
            <w:r>
              <w:rPr>
                <w:b w:val="false"/>
                <w:bCs w:val="false"/>
                <w:color w:val="222222"/>
                <w:sz w:val="19"/>
                <w:szCs w:val="19"/>
              </w:rPr>
              <w:t xml:space="preserve">Analytics &amp; Alerts</w:t>
            </w:r>
          </w:p>
        </w:tc>
        <w:tc>
          <w:tcPr>
            <w:tcW w:type="dxa" w:w="6499"/>
            <w:tcMar>
              <w:top w:type="dxa" w:w="80"/>
              <w:left w:type="dxa" w:w="100"/>
              <w:bottom w:type="dxa" w:w="80"/>
              <w:right w:type="dxa" w:w="100"/>
            </w:tcMar>
            <w:vAlign w:val="center"/>
          </w:tcPr>
          <w:p>
            <w:pPr>
              <w:jc w:val="left"/>
            </w:pPr>
            <w:r>
              <w:rPr>
                <w:b w:val="false"/>
                <w:bCs w:val="false"/>
                <w:color w:val="222222"/>
                <w:sz w:val="19"/>
                <w:szCs w:val="19"/>
              </w:rPr>
              <w:t xml:space="preserve">Threshold alert rules, data-quality summaries, silent-source detection, volume/peer-deviation anomaly detection</w:t>
            </w:r>
          </w:p>
        </w:tc>
      </w:tr>
      <w:tr>
        <w:tc>
          <w:tcPr>
            <w:tcW w:type="dxa" w:w="252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Raw Vault / Storage</w:t>
            </w:r>
          </w:p>
        </w:tc>
        <w:tc>
          <w:tcPr>
            <w:tcW w:type="dxa" w:w="649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Inspect the pre-normalization, hash-verifiable original bytes exactly as received</w:t>
            </w:r>
          </w:p>
        </w:tc>
      </w:tr>
      <w:tr>
        <w:tc>
          <w:tcPr>
            <w:tcW w:type="dxa" w:w="2527"/>
            <w:tcMar>
              <w:top w:type="dxa" w:w="80"/>
              <w:left w:type="dxa" w:w="100"/>
              <w:bottom w:type="dxa" w:w="80"/>
              <w:right w:type="dxa" w:w="100"/>
            </w:tcMar>
            <w:vAlign w:val="center"/>
          </w:tcPr>
          <w:p>
            <w:pPr>
              <w:jc w:val="left"/>
            </w:pPr>
            <w:r>
              <w:rPr>
                <w:b w:val="false"/>
                <w:bCs w:val="false"/>
                <w:color w:val="222222"/>
                <w:sz w:val="19"/>
                <w:szCs w:val="19"/>
              </w:rPr>
              <w:t xml:space="preserve">Privacy Policies / Retention</w:t>
            </w:r>
          </w:p>
        </w:tc>
        <w:tc>
          <w:tcPr>
            <w:tcW w:type="dxa" w:w="6499"/>
            <w:tcMar>
              <w:top w:type="dxa" w:w="80"/>
              <w:left w:type="dxa" w:w="100"/>
              <w:bottom w:type="dxa" w:w="80"/>
              <w:right w:type="dxa" w:w="100"/>
            </w:tcMar>
            <w:vAlign w:val="center"/>
          </w:tcPr>
          <w:p>
            <w:pPr>
              <w:jc w:val="left"/>
            </w:pPr>
            <w:r>
              <w:rPr>
                <w:b w:val="false"/>
                <w:bCs w:val="false"/>
                <w:color w:val="222222"/>
                <w:sz w:val="19"/>
                <w:szCs w:val="19"/>
              </w:rPr>
              <w:t xml:space="preserve">Configurable redaction and retention policy records; legal holds that block deletion outright</w:t>
            </w:r>
          </w:p>
        </w:tc>
      </w:tr>
      <w:tr>
        <w:tc>
          <w:tcPr>
            <w:tcW w:type="dxa" w:w="252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Multi-CSE Supervisory View</w:t>
            </w:r>
          </w:p>
        </w:tc>
        <w:tc>
          <w:tcPr>
            <w:tcW w:type="dxa" w:w="649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Aggregate-only, cross-organization oversight for regulators/supervisors overseeing multiple Critical Sector Entities</w:t>
            </w:r>
          </w:p>
        </w:tc>
      </w:tr>
      <w:tr>
        <w:tc>
          <w:tcPr>
            <w:tcW w:type="dxa" w:w="2527"/>
            <w:tcMar>
              <w:top w:type="dxa" w:w="80"/>
              <w:left w:type="dxa" w:w="100"/>
              <w:bottom w:type="dxa" w:w="80"/>
              <w:right w:type="dxa" w:w="100"/>
            </w:tcMar>
            <w:vAlign w:val="center"/>
          </w:tcPr>
          <w:p>
            <w:pPr>
              <w:jc w:val="left"/>
            </w:pPr>
            <w:r>
              <w:rPr>
                <w:b w:val="false"/>
                <w:bCs w:val="false"/>
                <w:color w:val="222222"/>
                <w:sz w:val="19"/>
                <w:szCs w:val="19"/>
              </w:rPr>
              <w:t xml:space="preserve">Administration</w:t>
            </w:r>
          </w:p>
        </w:tc>
        <w:tc>
          <w:tcPr>
            <w:tcW w:type="dxa" w:w="6499"/>
            <w:tcMar>
              <w:top w:type="dxa" w:w="80"/>
              <w:left w:type="dxa" w:w="100"/>
              <w:bottom w:type="dxa" w:w="80"/>
              <w:right w:type="dxa" w:w="100"/>
            </w:tcMar>
            <w:vAlign w:val="center"/>
          </w:tcPr>
          <w:p>
            <w:pPr>
              <w:jc w:val="left"/>
            </w:pPr>
            <w:r>
              <w:rPr>
                <w:b w:val="false"/>
                <w:bCs w:val="false"/>
                <w:color w:val="222222"/>
                <w:sz w:val="19"/>
                <w:szCs w:val="19"/>
              </w:rPr>
              <w:t xml:space="preserve">Users, roles, organizations; router-level, role-gated access control</w:t>
            </w:r>
          </w:p>
        </w:tc>
      </w:tr>
      <w:tr>
        <w:tc>
          <w:tcPr>
            <w:tcW w:type="dxa" w:w="252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Integrations</w:t>
            </w:r>
          </w:p>
        </w:tc>
        <w:tc>
          <w:tcPr>
            <w:tcW w:type="dxa" w:w="649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Outbound SIEM/webhook integration configuration with a live connectivity test</w:t>
            </w:r>
          </w:p>
        </w:tc>
      </w:tr>
    </w:tbl>
    <w:p>
      <w:pPr>
        <w:pStyle w:val="Heading1"/>
        <w:pBdr>
          <w:bottom w:val="single" w:color="0044A8" w:sz="8" w:space="4"/>
        </w:pBdr>
        <w:spacing w:after="200" w:before="480"/>
      </w:pPr>
      <w:r>
        <w:rPr>
          <w:b/>
          <w:bCs/>
          <w:color w:val="0B2545"/>
        </w:rPr>
        <w:t xml:space="preserve">5. Innovation &amp; Novelty</w:t>
      </w:r>
    </w:p>
    <w:p>
      <w:pPr>
        <w:spacing w:after="160" w:line="300"/>
      </w:pPr>
      <w:r>
        <w:rPr>
          <w:color w:val="222222"/>
          <w:sz w:val="21"/>
          <w:szCs w:val="21"/>
        </w:rPr>
        <w:t xml:space="preserve">Beyond assembling a competent parsing pipeline, four aspects of ULPF go past what a baseline log-normalization tool would offer. Each is described exactly as implemented, with the file(s) responsible, so the claim can be checked against the code rather than taken on faith.</w:t>
      </w:r>
    </w:p>
    <w:p>
      <w:pPr>
        <w:pStyle w:val="Heading2"/>
        <w:spacing w:after="140" w:before="320"/>
      </w:pPr>
      <w:r>
        <w:rPr>
          <w:b/>
          <w:bCs/>
          <w:color w:val="0044A8"/>
        </w:rPr>
        <w:t xml:space="preserve">5.1 Agentic unknown-format onboarding, with a mandatory human gate</w:t>
      </w:r>
    </w:p>
    <w:p>
      <w:pPr>
        <w:spacing w:after="160" w:line="300"/>
      </w:pPr>
      <w:r>
        <w:rPr>
          <w:color w:val="222222"/>
          <w:sz w:val="21"/>
          <w:szCs w:val="21"/>
        </w:rPr>
        <w:t xml:space="preserve">When an incoming log doesn't match any known format, it isn't just dropped into a dead-letter queue and forgotten — it's clustered (via Drain3) with other structurally similar unparseable lines. An analyst can then trigger “draft pack,” which:</w:t>
      </w:r>
    </w:p>
    <w:p>
      <w:pPr>
        <w:pStyle w:val="ListParagraph"/>
        <w:numPr>
          <w:ilvl w:val="0"/>
          <w:numId w:val="2"/>
        </w:numPr>
        <w:spacing w:after="90" w:line="290"/>
      </w:pPr>
      <w:r>
        <w:rPr>
          <w:color w:val="222222"/>
          <w:sz w:val="21"/>
          <w:szCs w:val="21"/>
        </w:rPr>
        <w:t xml:space="preserve">Pulls up to five real samples from that cluster's dead-letter events.</w:t>
      </w:r>
    </w:p>
    <w:p>
      <w:pPr>
        <w:pStyle w:val="ListParagraph"/>
        <w:numPr>
          <w:ilvl w:val="0"/>
          <w:numId w:val="2"/>
        </w:numPr>
        <w:spacing w:after="90" w:line="290"/>
      </w:pPr>
      <w:r>
        <w:rPr>
          <w:color w:val="222222"/>
          <w:sz w:val="21"/>
          <w:szCs w:val="21"/>
        </w:rPr>
        <w:t xml:space="preserve">Runs real format detection and deterministic parsing on the primary sample.</w:t>
      </w:r>
    </w:p>
    <w:p>
      <w:pPr>
        <w:pStyle w:val="ListParagraph"/>
        <w:numPr>
          <w:ilvl w:val="0"/>
          <w:numId w:val="2"/>
        </w:numPr>
        <w:spacing w:after="90" w:line="290"/>
      </w:pPr>
      <w:r>
        <w:rPr>
          <w:color w:val="222222"/>
          <w:sz w:val="21"/>
          <w:szCs w:val="21"/>
        </w:rPr>
        <w:t xml:space="preserve">Sends each extracted field through a per-field LLM classifier, keeping only mappings the model is reasonably confident about.</w:t>
      </w:r>
    </w:p>
    <w:p>
      <w:pPr>
        <w:pStyle w:val="ListParagraph"/>
        <w:numPr>
          <w:ilvl w:val="0"/>
          <w:numId w:val="2"/>
        </w:numPr>
        <w:spacing w:after="90" w:line="290"/>
      </w:pPr>
      <w:r>
        <w:rPr>
          <w:color w:val="222222"/>
          <w:sz w:val="21"/>
          <w:szCs w:val="21"/>
        </w:rPr>
        <w:t xml:space="preserve">Assembles a syntactically valid source-pack configuration and immediately re-tests it against every pulled sample.</w:t>
      </w:r>
    </w:p>
    <w:p>
      <w:pPr>
        <w:spacing w:after="160" w:line="300"/>
      </w:pPr>
      <w:r>
        <w:rPr>
          <w:color w:val="222222"/>
          <w:sz w:val="21"/>
          <w:szCs w:val="21"/>
        </w:rPr>
        <w:t xml:space="preserve">Critically, the draft never auto-activates: it is created in “draft” status and must pass through the exact same human-approval publish gate as a hand-authored parser. This is agentic assistance, not autonomous action — the separation of duties is enforced in code, not just policy.</w:t>
      </w:r>
    </w:p>
    <w:p>
      <w:pPr>
        <w:pStyle w:val="Heading2"/>
        <w:spacing w:after="140" w:before="320"/>
      </w:pPr>
      <w:r>
        <w:rPr>
          <w:b/>
          <w:bCs/>
          <w:color w:val="0044A8"/>
        </w:rPr>
        <w:t xml:space="preserve">5.2 Continuous, real-time attack-propagation detection</w:t>
      </w:r>
    </w:p>
    <w:p>
      <w:pPr>
        <w:spacing w:after="160" w:line="300"/>
      </w:pPr>
      <w:r>
        <w:rPr>
          <w:color w:val="222222"/>
          <w:sz w:val="21"/>
          <w:szCs w:val="21"/>
        </w:rPr>
        <w:t xml:space="preserve">Rather than requiring an analyst to manually trigger correlation, a background cycle runs every 30 seconds: it re-evaluates every correlation rule, opens a real incident case for any new match, and — for high/critical severity — fires the same notification/escalation logic a manually created case would use. This closes the gap where a new step in a multi-stage attack sits unflagged until someone happens to click “evaluate.” No separate detection logic was introduced to do this — it reuses the exact same engine the manual evaluation button calls, so behaviour never diverges between the manual and automatic paths.</w:t>
      </w:r>
    </w:p>
    <w:p>
      <w:pPr>
        <w:pStyle w:val="Heading2"/>
        <w:spacing w:after="140" w:before="320"/>
      </w:pPr>
      <w:r>
        <w:rPr>
          <w:b/>
          <w:bCs/>
          <w:color w:val="0044A8"/>
        </w:rPr>
        <w:t xml:space="preserve">5.3 Signed, portable parser sharing</w:t>
      </w:r>
    </w:p>
    <w:p>
      <w:pPr>
        <w:spacing w:after="160" w:line="300"/>
      </w:pPr>
      <w:r>
        <w:rPr>
          <w:color w:val="222222"/>
          <w:sz w:val="21"/>
          <w:szCs w:val="21"/>
        </w:rPr>
        <w:t xml:space="preserve">A published parser (source pack) can be exported as a signed, portable bundle using the same Ed25519 (or HSM-backed) signing key already used for Merkle checkpoint signing — not a separate key invented for this feature. Importing a bundle verifies that signature first; a tampered or wrongly-signed bundle is rejected outright, never imported with a warning. This turns parser configurations into something that can be committed to a git repository and shared across ULPF deployments with cryptographic provenance, without needing a hosted central registry.</w:t>
      </w:r>
    </w:p>
    <w:p>
      <w:pPr>
        <w:pStyle w:val="Heading2"/>
        <w:spacing w:after="140" w:before="320"/>
      </w:pPr>
      <w:r>
        <w:rPr>
          <w:b/>
          <w:bCs/>
          <w:color w:val="0044A8"/>
        </w:rPr>
        <w:t xml:space="preserve">5.4 Cryptographic, court-relevant integrity — independent of the application itself</w:t>
      </w:r>
    </w:p>
    <w:p>
      <w:pPr>
        <w:spacing w:after="160" w:line="300"/>
      </w:pPr>
      <w:r>
        <w:rPr>
          <w:color w:val="222222"/>
          <w:sz w:val="21"/>
          <w:szCs w:val="21"/>
        </w:rPr>
        <w:t xml:space="preserve">Every normalized event is hashed and appended to an RFC 6962-style Merkle tree (the same tree design underlying Certificate Transparency), with periodic checkpoints signed by Ed25519 or, for higher-assurance deployments, a PKCS#11 hardware security module. An inclusion proof ties one event to a signed checkpoint's root hash — and a completely standalone verifier script (zero dependency on the ULPF application, database, or network) can independently confirm that an evidence bundle is unaltered. This was proven live during development: a real bundle was downloaded, a single byte was flipped, and the verifier caught it and exited non-zero — the precise “flip a byte, detect it” property this design exists to guarantee.</w:t>
      </w:r>
    </w:p>
    <w:p>
      <w:pPr>
        <w:pStyle w:val="Heading2"/>
        <w:spacing w:after="140" w:before="320"/>
      </w:pPr>
      <w:r>
        <w:rPr>
          <w:b/>
          <w:bCs/>
          <w:color w:val="0044A8"/>
        </w:rPr>
        <w:t xml:space="preserve">5.5 A live, real-data format-coverage expansion (this development cycle)</w:t>
      </w:r>
    </w:p>
    <w:p>
      <w:pPr>
        <w:spacing w:after="160" w:line="300"/>
      </w:pPr>
      <w:r>
        <w:rPr>
          <w:color w:val="222222"/>
          <w:sz w:val="21"/>
          <w:szCs w:val="21"/>
        </w:rPr>
        <w:t xml:space="preserve">As a concrete demonstration of the system's extensibility, this development cycle added native parser support for seven additional real-world log formats — BSD/RFC 3164 syslog, HDFS/Hadoop daemon logs, Log4j-pattern daemon logs (Hadoop YARN and Zookeeper), the canonical BlueGene/L (BGL) HPC event format, a second HPC node-event format, Apache httpd error logs, and Windows CBS/trace logs — each verified regex-for-regex against real corpus data before being enabled. The result, measured against the live system before and after:</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3610"/>
        <w:gridCol w:w="2708"/>
        <w:gridCol w:w="2708"/>
      </w:tblGrid>
      <w:tr>
        <w:trPr>
          <w:tblHeader/>
        </w:trPr>
        <w:tc>
          <w:tcPr>
            <w:tcW w:type="dxa" w:w="3610"/>
            <w:shd w:fill="0B2545"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2708"/>
            <w:shd w:fill="0B2545" w:val="clear"/>
            <w:tcMar>
              <w:top w:type="dxa" w:w="80"/>
              <w:left w:type="dxa" w:w="100"/>
              <w:bottom w:type="dxa" w:w="80"/>
              <w:right w:type="dxa" w:w="100"/>
            </w:tcMar>
            <w:vAlign w:val="center"/>
          </w:tcPr>
          <w:p>
            <w:pPr>
              <w:jc w:val="left"/>
            </w:pPr>
            <w:r>
              <w:rPr>
                <w:b/>
                <w:bCs/>
                <w:color w:val="FFFFFF"/>
                <w:sz w:val="19"/>
                <w:szCs w:val="19"/>
              </w:rPr>
              <w:t xml:space="preserve">Before</w:t>
            </w:r>
          </w:p>
        </w:tc>
        <w:tc>
          <w:tcPr>
            <w:tcW w:type="dxa" w:w="2708"/>
            <w:shd w:fill="0B2545" w:val="clear"/>
            <w:tcMar>
              <w:top w:type="dxa" w:w="80"/>
              <w:left w:type="dxa" w:w="100"/>
              <w:bottom w:type="dxa" w:w="80"/>
              <w:right w:type="dxa" w:w="100"/>
            </w:tcMar>
            <w:vAlign w:val="center"/>
          </w:tcPr>
          <w:p>
            <w:pPr>
              <w:jc w:val="left"/>
            </w:pPr>
            <w:r>
              <w:rPr>
                <w:b/>
                <w:bCs/>
                <w:color w:val="FFFFFF"/>
                <w:sz w:val="19"/>
                <w:szCs w:val="19"/>
              </w:rPr>
              <w:t xml:space="preserve">After</w:t>
            </w:r>
          </w:p>
        </w:tc>
      </w:tr>
      <w:tr>
        <w:tc>
          <w:tcPr>
            <w:tcW w:type="dxa" w:w="3610"/>
            <w:tcMar>
              <w:top w:type="dxa" w:w="80"/>
              <w:left w:type="dxa" w:w="100"/>
              <w:bottom w:type="dxa" w:w="80"/>
              <w:right w:type="dxa" w:w="100"/>
            </w:tcMar>
            <w:vAlign w:val="center"/>
          </w:tcPr>
          <w:p>
            <w:pPr>
              <w:jc w:val="left"/>
            </w:pPr>
            <w:r>
              <w:rPr>
                <w:b w:val="false"/>
                <w:bCs w:val="false"/>
                <w:color w:val="222222"/>
                <w:sz w:val="19"/>
                <w:szCs w:val="19"/>
              </w:rPr>
              <w:t xml:space="preserve">Parse success rate</w:t>
            </w:r>
          </w:p>
        </w:tc>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65.2%</w:t>
            </w:r>
          </w:p>
        </w:tc>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99.9%</w:t>
            </w:r>
          </w:p>
        </w:tc>
      </w:tr>
      <w:tr>
        <w:tc>
          <w:tcPr>
            <w:tcW w:type="dxa" w:w="3610"/>
            <w:shd w:fill="F4F7FB" w:val="clear"/>
            <w:tcMar>
              <w:top w:type="dxa" w:w="80"/>
              <w:left w:type="dxa" w:w="100"/>
              <w:bottom w:type="dxa" w:w="80"/>
              <w:right w:type="dxa" w:w="100"/>
            </w:tcMar>
            <w:vAlign w:val="center"/>
          </w:tcPr>
          <w:p>
            <w:pPr>
              <w:jc w:val="left"/>
            </w:pPr>
            <w:r>
              <w:rPr>
                <w:b w:val="false"/>
                <w:bCs w:val="false"/>
                <w:color w:val="222222"/>
                <w:sz w:val="19"/>
                <w:szCs w:val="19"/>
              </w:rPr>
              <w:t xml:space="preserve">Normalized events</w:t>
            </w:r>
          </w:p>
        </w:tc>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22,818</w:t>
            </w:r>
          </w:p>
        </w:tc>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34,608</w:t>
            </w:r>
          </w:p>
        </w:tc>
      </w:tr>
      <w:tr>
        <w:tc>
          <w:tcPr>
            <w:tcW w:type="dxa" w:w="3610"/>
            <w:tcMar>
              <w:top w:type="dxa" w:w="80"/>
              <w:left w:type="dxa" w:w="100"/>
              <w:bottom w:type="dxa" w:w="80"/>
              <w:right w:type="dxa" w:w="100"/>
            </w:tcMar>
            <w:vAlign w:val="center"/>
          </w:tcPr>
          <w:p>
            <w:pPr>
              <w:jc w:val="left"/>
            </w:pPr>
            <w:r>
              <w:rPr>
                <w:b w:val="false"/>
                <w:bCs w:val="false"/>
                <w:color w:val="222222"/>
                <w:sz w:val="19"/>
                <w:szCs w:val="19"/>
              </w:rPr>
              <w:t xml:space="preserve">Dead-letter (unresolved) events</w:t>
            </w:r>
          </w:p>
        </w:tc>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12,204</w:t>
            </w:r>
          </w:p>
        </w:tc>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19 (all deliberately-malformed test fixtures)</w:t>
            </w:r>
          </w:p>
        </w:tc>
      </w:tr>
    </w:tbl>
    <w:p>
      <w:pPr>
        <w:spacing w:after="120"/>
      </w:pPr>
    </w:p>
    <w:p>
      <w:pPr>
        <w:spacing w:after="160" w:line="300"/>
      </w:pPr>
      <w:r>
        <w:rPr>
          <w:color w:val="222222"/>
          <w:sz w:val="21"/>
          <w:szCs w:val="21"/>
        </w:rPr>
        <w:t xml:space="preserve">This was achieved entirely by adding genuine parser coverage for real, previously-unsupported formats already present in the corpus — not by adjusting thresholds, discarding failing events, or any other form of number management.</w:t>
      </w:r>
    </w:p>
    <w:p>
      <w:pPr>
        <w:pStyle w:val="Heading1"/>
        <w:pBdr>
          <w:bottom w:val="single" w:color="0044A8" w:sz="8" w:space="4"/>
        </w:pBdr>
        <w:spacing w:after="200" w:before="480"/>
      </w:pPr>
      <w:r>
        <w:rPr>
          <w:b/>
          <w:bCs/>
          <w:color w:val="0B2545"/>
        </w:rPr>
        <w:t xml:space="preserve">6. Technology Stack</w:t>
      </w:r>
    </w:p>
    <w:p>
      <w:pPr>
        <w:pStyle w:val="Heading2"/>
        <w:spacing w:after="140" w:before="320"/>
      </w:pPr>
      <w:r>
        <w:rPr>
          <w:b/>
          <w:bCs/>
          <w:color w:val="0044A8"/>
        </w:rPr>
        <w:t xml:space="preserve">6.1 Backend</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2708"/>
        <w:gridCol w:w="6318"/>
      </w:tblGrid>
      <w:tr>
        <w:trPr>
          <w:tblHeader/>
        </w:trPr>
        <w:tc>
          <w:tcPr>
            <w:tcW w:type="dxa" w:w="2708"/>
            <w:shd w:fill="0B2545"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6318"/>
            <w:shd w:fill="0B2545" w:val="clear"/>
            <w:tcMar>
              <w:top w:type="dxa" w:w="80"/>
              <w:left w:type="dxa" w:w="100"/>
              <w:bottom w:type="dxa" w:w="80"/>
              <w:right w:type="dxa" w:w="100"/>
            </w:tcMar>
            <w:vAlign w:val="center"/>
          </w:tcPr>
          <w:p>
            <w:pPr>
              <w:jc w:val="left"/>
            </w:pPr>
            <w:r>
              <w:rPr>
                <w:b/>
                <w:bCs/>
                <w:color w:val="FFFFFF"/>
                <w:sz w:val="19"/>
                <w:szCs w:val="19"/>
              </w:rPr>
              <w:t xml:space="preserve">Technology</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Web framework</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FastAPI 0.104 + Uvicorn (ASGI)</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Data layer</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SQLAlchemy 2.0 (ORM) + Alembic (migrations)</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Validation</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Pydantic v2 / pydantic-settings</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Database</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PostgreSQL 15 (production/compose default); SQLite for local/offline development</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Object storage (optional path)</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MinIO</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Search (optional path)</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OpenSearch</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Streaming (optional path)</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Redpanda / Apache Kafka (via confluent-kafka), Redis</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Cryptography</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Python “cryptography” library (Ed25519 signing, Fernet encryption), python-pkcs11 (HSM), a custom RFC 6962 Merkle tree implementation, a custom RFC 8785 JSON canonicalizer, rfc3161ng (trusted timestamping)</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AI / ML</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Drain3 (log-template clustering), sentence-transformers (semantic field-mapping similarity), Ollama (local LLM for field-mapping assistance)</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Auth</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JWT (PyJWT) + bcrypt (passlib); TOTP MFA support (pyotp)</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Testing</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pytest, Hypothesis (property-based fuzz testing)</w:t>
            </w:r>
          </w:p>
        </w:tc>
      </w:tr>
    </w:tbl>
    <w:p>
      <w:pPr>
        <w:spacing w:after="120"/>
      </w:pPr>
    </w:p>
    <w:p>
      <w:pPr>
        <w:pStyle w:val="Heading2"/>
        <w:spacing w:after="140" w:before="320"/>
      </w:pPr>
      <w:r>
        <w:rPr>
          <w:b/>
          <w:bCs/>
          <w:color w:val="0044A8"/>
        </w:rPr>
        <w:t xml:space="preserve">6.2 Frontend</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2708"/>
        <w:gridCol w:w="6318"/>
      </w:tblGrid>
      <w:tr>
        <w:trPr>
          <w:tblHeader/>
        </w:trPr>
        <w:tc>
          <w:tcPr>
            <w:tcW w:type="dxa" w:w="2708"/>
            <w:shd w:fill="0B2545"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6318"/>
            <w:shd w:fill="0B2545" w:val="clear"/>
            <w:tcMar>
              <w:top w:type="dxa" w:w="80"/>
              <w:left w:type="dxa" w:w="100"/>
              <w:bottom w:type="dxa" w:w="80"/>
              <w:right w:type="dxa" w:w="100"/>
            </w:tcMar>
            <w:vAlign w:val="center"/>
          </w:tcPr>
          <w:p>
            <w:pPr>
              <w:jc w:val="left"/>
            </w:pPr>
            <w:r>
              <w:rPr>
                <w:b/>
                <w:bCs/>
                <w:color w:val="FFFFFF"/>
                <w:sz w:val="19"/>
                <w:szCs w:val="19"/>
              </w:rPr>
              <w:t xml:space="preserve">Technology</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Framework</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React 19 + TypeScript</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Build tool</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Vite</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Routing</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react-router-dom</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Data fetching / caching</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TanStack Query (@tanstack/react-query)</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HTTP client</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axios</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Charts</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Recharts</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Graph visualization</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react-force-graph-2d</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Styling</w:t>
            </w:r>
          </w:p>
        </w:tc>
        <w:tc>
          <w:tcPr>
            <w:tcW w:type="dxa" w:w="631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Tailwind CSS 4</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Linting</w:t>
            </w:r>
          </w:p>
        </w:tc>
        <w:tc>
          <w:tcPr>
            <w:tcW w:type="dxa" w:w="6318"/>
            <w:tcMar>
              <w:top w:type="dxa" w:w="80"/>
              <w:left w:type="dxa" w:w="100"/>
              <w:bottom w:type="dxa" w:w="80"/>
              <w:right w:type="dxa" w:w="100"/>
            </w:tcMar>
            <w:vAlign w:val="center"/>
          </w:tcPr>
          <w:p>
            <w:pPr>
              <w:jc w:val="left"/>
            </w:pPr>
            <w:r>
              <w:rPr>
                <w:b w:val="false"/>
                <w:bCs w:val="false"/>
                <w:color w:val="222222"/>
                <w:sz w:val="19"/>
                <w:szCs w:val="19"/>
              </w:rPr>
              <w:t xml:space="preserve">oxlint</w:t>
            </w:r>
          </w:p>
        </w:tc>
      </w:tr>
    </w:tbl>
    <w:p>
      <w:pPr>
        <w:spacing w:after="120"/>
      </w:pPr>
    </w:p>
    <w:p>
      <w:pPr>
        <w:pStyle w:val="Heading2"/>
        <w:spacing w:after="140" w:before="320"/>
      </w:pPr>
      <w:r>
        <w:rPr>
          <w:b/>
          <w:bCs/>
          <w:color w:val="0044A8"/>
        </w:rPr>
        <w:t xml:space="preserve">6.3 Infrastructure &amp; Operations</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3159"/>
        <w:gridCol w:w="5867"/>
      </w:tblGrid>
      <w:tr>
        <w:trPr>
          <w:tblHeader/>
        </w:trPr>
        <w:tc>
          <w:tcPr>
            <w:tcW w:type="dxa" w:w="3159"/>
            <w:shd w:fill="0B2545" w:val="clear"/>
            <w:tcMar>
              <w:top w:type="dxa" w:w="80"/>
              <w:left w:type="dxa" w:w="100"/>
              <w:bottom w:type="dxa" w:w="80"/>
              <w:right w:type="dxa" w:w="100"/>
            </w:tcMar>
            <w:vAlign w:val="center"/>
          </w:tcPr>
          <w:p>
            <w:pPr>
              <w:jc w:val="left"/>
            </w:pPr>
            <w:r>
              <w:rPr>
                <w:b/>
                <w:bCs/>
                <w:color w:val="FFFFFF"/>
                <w:sz w:val="19"/>
                <w:szCs w:val="19"/>
              </w:rPr>
              <w:t xml:space="preserve">Concern</w:t>
            </w:r>
          </w:p>
        </w:tc>
        <w:tc>
          <w:tcPr>
            <w:tcW w:type="dxa" w:w="5867"/>
            <w:shd w:fill="0B2545" w:val="clear"/>
            <w:tcMar>
              <w:top w:type="dxa" w:w="80"/>
              <w:left w:type="dxa" w:w="100"/>
              <w:bottom w:type="dxa" w:w="80"/>
              <w:right w:type="dxa" w:w="100"/>
            </w:tcMar>
            <w:vAlign w:val="center"/>
          </w:tcPr>
          <w:p>
            <w:pPr>
              <w:jc w:val="left"/>
            </w:pPr>
            <w:r>
              <w:rPr>
                <w:b/>
                <w:bCs/>
                <w:color w:val="FFFFFF"/>
                <w:sz w:val="19"/>
                <w:szCs w:val="19"/>
              </w:rPr>
              <w:t xml:space="preserve">Technology</w:t>
            </w:r>
          </w:p>
        </w:tc>
      </w:tr>
      <w:tr>
        <w:tc>
          <w:tcPr>
            <w:tcW w:type="dxa" w:w="3159"/>
            <w:tcMar>
              <w:top w:type="dxa" w:w="80"/>
              <w:left w:type="dxa" w:w="100"/>
              <w:bottom w:type="dxa" w:w="80"/>
              <w:right w:type="dxa" w:w="100"/>
            </w:tcMar>
            <w:vAlign w:val="center"/>
          </w:tcPr>
          <w:p>
            <w:pPr>
              <w:jc w:val="left"/>
            </w:pPr>
            <w:r>
              <w:rPr>
                <w:b w:val="false"/>
                <w:bCs w:val="false"/>
                <w:color w:val="222222"/>
                <w:sz w:val="19"/>
                <w:szCs w:val="19"/>
              </w:rPr>
              <w:t xml:space="preserve">Containerization</w:t>
            </w:r>
          </w:p>
        </w:tc>
        <w:tc>
          <w:tcPr>
            <w:tcW w:type="dxa" w:w="5867"/>
            <w:tcMar>
              <w:top w:type="dxa" w:w="80"/>
              <w:left w:type="dxa" w:w="100"/>
              <w:bottom w:type="dxa" w:w="80"/>
              <w:right w:type="dxa" w:w="100"/>
            </w:tcMar>
            <w:vAlign w:val="center"/>
          </w:tcPr>
          <w:p>
            <w:pPr>
              <w:jc w:val="left"/>
            </w:pPr>
            <w:r>
              <w:rPr>
                <w:b w:val="false"/>
                <w:bCs w:val="false"/>
                <w:color w:val="222222"/>
                <w:sz w:val="19"/>
                <w:szCs w:val="19"/>
              </w:rPr>
              <w:t xml:space="preserve">Docker, docker-compose (dev and TLS-fronted prod shapes)</w:t>
            </w:r>
          </w:p>
        </w:tc>
      </w:tr>
      <w:tr>
        <w:tc>
          <w:tcPr>
            <w:tcW w:type="dxa" w:w="315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Orchestration (documented path)</w:t>
            </w:r>
          </w:p>
        </w:tc>
        <w:tc>
          <w:tcPr>
            <w:tcW w:type="dxa" w:w="586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Kubernetes manifests — StatefulSets, resource limits/requests, default-deny NetworkPolicy, air-gapped image substitution via kustomize</w:t>
            </w:r>
          </w:p>
        </w:tc>
      </w:tr>
      <w:tr>
        <w:tc>
          <w:tcPr>
            <w:tcW w:type="dxa" w:w="3159"/>
            <w:tcMar>
              <w:top w:type="dxa" w:w="80"/>
              <w:left w:type="dxa" w:w="100"/>
              <w:bottom w:type="dxa" w:w="80"/>
              <w:right w:type="dxa" w:w="100"/>
            </w:tcMar>
            <w:vAlign w:val="center"/>
          </w:tcPr>
          <w:p>
            <w:pPr>
              <w:jc w:val="left"/>
            </w:pPr>
            <w:r>
              <w:rPr>
                <w:b w:val="false"/>
                <w:bCs w:val="false"/>
                <w:color w:val="222222"/>
                <w:sz w:val="19"/>
                <w:szCs w:val="19"/>
              </w:rPr>
              <w:t xml:space="preserve">CI/CD</w:t>
            </w:r>
          </w:p>
        </w:tc>
        <w:tc>
          <w:tcPr>
            <w:tcW w:type="dxa" w:w="5867"/>
            <w:tcMar>
              <w:top w:type="dxa" w:w="80"/>
              <w:left w:type="dxa" w:w="100"/>
              <w:bottom w:type="dxa" w:w="80"/>
              <w:right w:type="dxa" w:w="100"/>
            </w:tcMar>
            <w:vAlign w:val="center"/>
          </w:tcPr>
          <w:p>
            <w:pPr>
              <w:jc w:val="left"/>
            </w:pPr>
            <w:r>
              <w:rPr>
                <w:b w:val="false"/>
                <w:bCs w:val="false"/>
                <w:color w:val="222222"/>
                <w:sz w:val="19"/>
                <w:szCs w:val="19"/>
              </w:rPr>
              <w:t xml:space="preserve">GitHub Actions — backend pytest + import check, frontend build + lint, dependency-audit, fuzz-testing jobs</w:t>
            </w:r>
          </w:p>
        </w:tc>
      </w:tr>
      <w:tr>
        <w:tc>
          <w:tcPr>
            <w:tcW w:type="dxa" w:w="315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Supply-chain security</w:t>
            </w:r>
          </w:p>
        </w:tc>
        <w:tc>
          <w:tcPr>
            <w:tcW w:type="dxa" w:w="586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CycloneDX SBOM generation for backend and frontend, GPG-signed, with live-demonstrated tamper detection</w:t>
            </w:r>
          </w:p>
        </w:tc>
      </w:tr>
      <w:tr>
        <w:tc>
          <w:tcPr>
            <w:tcW w:type="dxa" w:w="3159"/>
            <w:tcMar>
              <w:top w:type="dxa" w:w="80"/>
              <w:left w:type="dxa" w:w="100"/>
              <w:bottom w:type="dxa" w:w="80"/>
              <w:right w:type="dxa" w:w="100"/>
            </w:tcMar>
            <w:vAlign w:val="center"/>
          </w:tcPr>
          <w:p>
            <w:pPr>
              <w:jc w:val="left"/>
            </w:pPr>
            <w:r>
              <w:rPr>
                <w:b w:val="false"/>
                <w:bCs w:val="false"/>
                <w:color w:val="222222"/>
                <w:sz w:val="19"/>
                <w:szCs w:val="19"/>
              </w:rPr>
              <w:t xml:space="preserve">TLS</w:t>
            </w:r>
          </w:p>
        </w:tc>
        <w:tc>
          <w:tcPr>
            <w:tcW w:type="dxa" w:w="5867"/>
            <w:tcMar>
              <w:top w:type="dxa" w:w="80"/>
              <w:left w:type="dxa" w:w="100"/>
              <w:bottom w:type="dxa" w:w="80"/>
              <w:right w:type="dxa" w:w="100"/>
            </w:tcMar>
            <w:vAlign w:val="center"/>
          </w:tcPr>
          <w:p>
            <w:pPr>
              <w:jc w:val="left"/>
            </w:pPr>
            <w:r>
              <w:rPr>
                <w:b w:val="false"/>
                <w:bCs w:val="false"/>
                <w:color w:val="222222"/>
                <w:sz w:val="19"/>
                <w:szCs w:val="19"/>
              </w:rPr>
              <w:t xml:space="preserve">nginx TLS termination (prod compose); a throwaway development CA + mutual TLS for the syslog listener</w:t>
            </w:r>
          </w:p>
        </w:tc>
      </w:tr>
    </w:tbl>
    <w:p>
      <w:pPr>
        <w:pStyle w:val="Heading1"/>
        <w:pBdr>
          <w:bottom w:val="single" w:color="0044A8" w:sz="8" w:space="4"/>
        </w:pBdr>
        <w:spacing w:after="200" w:before="480"/>
      </w:pPr>
      <w:r>
        <w:rPr>
          <w:b/>
          <w:bCs/>
          <w:color w:val="0B2545"/>
        </w:rPr>
        <w:t xml:space="preserve">7. Supported Log Formats &amp; Real Data Coverage</w:t>
      </w:r>
    </w:p>
    <w:p>
      <w:pPr>
        <w:spacing w:after="160" w:line="300"/>
      </w:pPr>
      <w:r>
        <w:rPr>
          <w:color w:val="222222"/>
          <w:sz w:val="21"/>
          <w:szCs w:val="21"/>
        </w:rPr>
        <w:t xml:space="preserve">ULPF ships with 13 native format parsers, each independently detectable and verified against real log data rather than synthetic samples wherever a genuine public source could be found.</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2708"/>
        <w:gridCol w:w="4062"/>
        <w:gridCol w:w="2257"/>
      </w:tblGrid>
      <w:tr>
        <w:trPr>
          <w:tblHeader/>
        </w:trPr>
        <w:tc>
          <w:tcPr>
            <w:tcW w:type="dxa" w:w="2708"/>
            <w:shd w:fill="0B2545" w:val="clear"/>
            <w:tcMar>
              <w:top w:type="dxa" w:w="80"/>
              <w:left w:type="dxa" w:w="100"/>
              <w:bottom w:type="dxa" w:w="80"/>
              <w:right w:type="dxa" w:w="100"/>
            </w:tcMar>
            <w:vAlign w:val="center"/>
          </w:tcPr>
          <w:p>
            <w:pPr>
              <w:jc w:val="left"/>
            </w:pPr>
            <w:r>
              <w:rPr>
                <w:b/>
                <w:bCs/>
                <w:color w:val="FFFFFF"/>
                <w:sz w:val="19"/>
                <w:szCs w:val="19"/>
              </w:rPr>
              <w:t xml:space="preserve">Format</w:t>
            </w:r>
          </w:p>
        </w:tc>
        <w:tc>
          <w:tcPr>
            <w:tcW w:type="dxa" w:w="4062"/>
            <w:shd w:fill="0B2545" w:val="clear"/>
            <w:tcMar>
              <w:top w:type="dxa" w:w="80"/>
              <w:left w:type="dxa" w:w="100"/>
              <w:bottom w:type="dxa" w:w="80"/>
              <w:right w:type="dxa" w:w="100"/>
            </w:tcMar>
            <w:vAlign w:val="center"/>
          </w:tcPr>
          <w:p>
            <w:pPr>
              <w:jc w:val="left"/>
            </w:pPr>
            <w:r>
              <w:rPr>
                <w:b/>
                <w:bCs/>
                <w:color w:val="FFFFFF"/>
                <w:sz w:val="19"/>
                <w:szCs w:val="19"/>
              </w:rPr>
              <w:t xml:space="preserve">Representative source</w:t>
            </w:r>
          </w:p>
        </w:tc>
        <w:tc>
          <w:tcPr>
            <w:tcW w:type="dxa" w:w="2257"/>
            <w:shd w:fill="0B2545" w:val="clear"/>
            <w:tcMar>
              <w:top w:type="dxa" w:w="80"/>
              <w:left w:type="dxa" w:w="100"/>
              <w:bottom w:type="dxa" w:w="80"/>
              <w:right w:type="dxa" w:w="100"/>
            </w:tcMar>
            <w:vAlign w:val="center"/>
          </w:tcPr>
          <w:p>
            <w:pPr>
              <w:jc w:val="left"/>
            </w:pPr>
            <w:r>
              <w:rPr>
                <w:b/>
                <w:bCs/>
                <w:color w:val="FFFFFF"/>
                <w:sz w:val="19"/>
                <w:szCs w:val="19"/>
              </w:rPr>
              <w:t xml:space="preserve">Live event count</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JSON</w:t>
            </w:r>
          </w:p>
        </w:tc>
        <w:tc>
          <w:tcPr>
            <w:tcW w:type="dxa" w:w="4062"/>
            <w:tcMar>
              <w:top w:type="dxa" w:w="80"/>
              <w:left w:type="dxa" w:w="100"/>
              <w:bottom w:type="dxa" w:w="80"/>
              <w:right w:type="dxa" w:w="100"/>
            </w:tcMar>
            <w:vAlign w:val="center"/>
          </w:tcPr>
          <w:p>
            <w:pPr>
              <w:jc w:val="left"/>
            </w:pPr>
            <w:r>
              <w:rPr>
                <w:b w:val="false"/>
                <w:bCs w:val="false"/>
                <w:color w:val="222222"/>
                <w:sz w:val="19"/>
                <w:szCs w:val="19"/>
              </w:rPr>
              <w:t xml:space="preserve">Structured application/API logs, AWS CloudTrail</w:t>
            </w:r>
          </w:p>
        </w:tc>
        <w:tc>
          <w:tcPr>
            <w:tcW w:type="dxa" w:w="2257"/>
            <w:tcMar>
              <w:top w:type="dxa" w:w="80"/>
              <w:left w:type="dxa" w:w="100"/>
              <w:bottom w:type="dxa" w:w="80"/>
              <w:right w:type="dxa" w:w="100"/>
            </w:tcMar>
            <w:vAlign w:val="center"/>
          </w:tcPr>
          <w:p>
            <w:pPr>
              <w:jc w:val="left"/>
            </w:pPr>
            <w:r>
              <w:rPr>
                <w:b w:val="false"/>
                <w:bCs w:val="false"/>
                <w:color w:val="222222"/>
                <w:sz w:val="19"/>
                <w:szCs w:val="19"/>
              </w:rPr>
              <w:t xml:space="preserve">11,115</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XML</w:t>
            </w:r>
          </w:p>
        </w:tc>
        <w:tc>
          <w:tcPr>
            <w:tcW w:type="dxa" w:w="4062"/>
            <w:shd w:fill="F4F7FB" w:val="clear"/>
            <w:tcMar>
              <w:top w:type="dxa" w:w="80"/>
              <w:left w:type="dxa" w:w="100"/>
              <w:bottom w:type="dxa" w:w="80"/>
              <w:right w:type="dxa" w:w="100"/>
            </w:tcMar>
            <w:vAlign w:val="center"/>
          </w:tcPr>
          <w:p>
            <w:pPr>
              <w:jc w:val="left"/>
            </w:pPr>
            <w:r>
              <w:rPr>
                <w:b w:val="false"/>
                <w:bCs w:val="false"/>
                <w:color w:val="222222"/>
                <w:sz w:val="19"/>
                <w:szCs w:val="19"/>
              </w:rPr>
              <w:t xml:space="preserve">Windows Event Log (including MITRE ATT&amp;CK-tagged attack captures)</w:t>
            </w:r>
          </w:p>
        </w:tc>
        <w:tc>
          <w:tcPr>
            <w:tcW w:type="dxa" w:w="225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6,067</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Syslog (RFC 3164 / 5424)</w:t>
            </w:r>
          </w:p>
        </w:tc>
        <w:tc>
          <w:tcPr>
            <w:tcW w:type="dxa" w:w="4062"/>
            <w:tcMar>
              <w:top w:type="dxa" w:w="80"/>
              <w:left w:type="dxa" w:w="100"/>
              <w:bottom w:type="dxa" w:w="80"/>
              <w:right w:type="dxa" w:w="100"/>
            </w:tcMar>
            <w:vAlign w:val="center"/>
          </w:tcPr>
          <w:p>
            <w:pPr>
              <w:jc w:val="left"/>
            </w:pPr>
            <w:r>
              <w:rPr>
                <w:b w:val="false"/>
                <w:bCs w:val="false"/>
                <w:color w:val="222222"/>
                <w:sz w:val="19"/>
                <w:szCs w:val="19"/>
              </w:rPr>
              <w:t xml:space="preserve">OpenSSH via the system syslog daemon</w:t>
            </w:r>
          </w:p>
        </w:tc>
        <w:tc>
          <w:tcPr>
            <w:tcW w:type="dxa" w:w="2257"/>
            <w:tcMar>
              <w:top w:type="dxa" w:w="80"/>
              <w:left w:type="dxa" w:w="100"/>
              <w:bottom w:type="dxa" w:w="80"/>
              <w:right w:type="dxa" w:w="100"/>
            </w:tcMar>
            <w:vAlign w:val="center"/>
          </w:tcPr>
          <w:p>
            <w:pPr>
              <w:jc w:val="left"/>
            </w:pPr>
            <w:r>
              <w:rPr>
                <w:b w:val="false"/>
                <w:bCs w:val="false"/>
                <w:color w:val="222222"/>
                <w:sz w:val="19"/>
                <w:szCs w:val="19"/>
              </w:rPr>
              <w:t xml:space="preserve">5,852</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Log4j-pattern</w:t>
            </w:r>
          </w:p>
        </w:tc>
        <w:tc>
          <w:tcPr>
            <w:tcW w:type="dxa" w:w="4062"/>
            <w:shd w:fill="F4F7FB" w:val="clear"/>
            <w:tcMar>
              <w:top w:type="dxa" w:w="80"/>
              <w:left w:type="dxa" w:w="100"/>
              <w:bottom w:type="dxa" w:w="80"/>
              <w:right w:type="dxa" w:w="100"/>
            </w:tcMar>
            <w:vAlign w:val="center"/>
          </w:tcPr>
          <w:p>
            <w:pPr>
              <w:jc w:val="left"/>
            </w:pPr>
            <w:r>
              <w:rPr>
                <w:b w:val="false"/>
                <w:bCs w:val="false"/>
                <w:color w:val="222222"/>
                <w:sz w:val="19"/>
                <w:szCs w:val="19"/>
              </w:rPr>
              <w:t xml:space="preserve">Hadoop YARN, Apache Zookeeper</w:t>
            </w:r>
          </w:p>
        </w:tc>
        <w:tc>
          <w:tcPr>
            <w:tcW w:type="dxa" w:w="225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2,550</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HDFS/Hadoop daemon log</w:t>
            </w:r>
          </w:p>
        </w:tc>
        <w:tc>
          <w:tcPr>
            <w:tcW w:type="dxa" w:w="4062"/>
            <w:tcMar>
              <w:top w:type="dxa" w:w="80"/>
              <w:left w:type="dxa" w:w="100"/>
              <w:bottom w:type="dxa" w:w="80"/>
              <w:right w:type="dxa" w:w="100"/>
            </w:tcMar>
            <w:vAlign w:val="center"/>
          </w:tcPr>
          <w:p>
            <w:pPr>
              <w:jc w:val="left"/>
            </w:pPr>
            <w:r>
              <w:rPr>
                <w:b w:val="false"/>
                <w:bCs w:val="false"/>
                <w:color w:val="222222"/>
                <w:sz w:val="19"/>
                <w:szCs w:val="19"/>
              </w:rPr>
              <w:t xml:space="preserve">HDFS DataNode/NameSystem logs</w:t>
            </w:r>
          </w:p>
        </w:tc>
        <w:tc>
          <w:tcPr>
            <w:tcW w:type="dxa" w:w="2257"/>
            <w:tcMar>
              <w:top w:type="dxa" w:w="80"/>
              <w:left w:type="dxa" w:w="100"/>
              <w:bottom w:type="dxa" w:w="80"/>
              <w:right w:type="dxa" w:w="100"/>
            </w:tcMar>
            <w:vAlign w:val="center"/>
          </w:tcPr>
          <w:p>
            <w:pPr>
              <w:jc w:val="left"/>
            </w:pPr>
            <w:r>
              <w:rPr>
                <w:b w:val="false"/>
                <w:bCs w:val="false"/>
                <w:color w:val="222222"/>
                <w:sz w:val="19"/>
                <w:szCs w:val="19"/>
              </w:rPr>
              <w:t xml:space="preserve">1,900</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HPC node-event log</w:t>
            </w:r>
          </w:p>
        </w:tc>
        <w:tc>
          <w:tcPr>
            <w:tcW w:type="dxa" w:w="4062"/>
            <w:shd w:fill="F4F7FB" w:val="clear"/>
            <w:tcMar>
              <w:top w:type="dxa" w:w="80"/>
              <w:left w:type="dxa" w:w="100"/>
              <w:bottom w:type="dxa" w:w="80"/>
              <w:right w:type="dxa" w:w="100"/>
            </w:tcMar>
            <w:vAlign w:val="center"/>
          </w:tcPr>
          <w:p>
            <w:pPr>
              <w:jc w:val="left"/>
            </w:pPr>
            <w:r>
              <w:rPr>
                <w:b w:val="false"/>
                <w:bCs w:val="false"/>
                <w:color w:val="222222"/>
                <w:sz w:val="19"/>
                <w:szCs w:val="19"/>
              </w:rPr>
              <w:t xml:space="preserve">High-performance-computing cluster events</w:t>
            </w:r>
          </w:p>
        </w:tc>
        <w:tc>
          <w:tcPr>
            <w:tcW w:type="dxa" w:w="225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1,899</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BlueGene/L (BGL) RAS log</w:t>
            </w:r>
          </w:p>
        </w:tc>
        <w:tc>
          <w:tcPr>
            <w:tcW w:type="dxa" w:w="4062"/>
            <w:tcMar>
              <w:top w:type="dxa" w:w="80"/>
              <w:left w:type="dxa" w:w="100"/>
              <w:bottom w:type="dxa" w:w="80"/>
              <w:right w:type="dxa" w:w="100"/>
            </w:tcMar>
            <w:vAlign w:val="center"/>
          </w:tcPr>
          <w:p>
            <w:pPr>
              <w:jc w:val="left"/>
            </w:pPr>
            <w:r>
              <w:rPr>
                <w:b w:val="false"/>
                <w:bCs w:val="false"/>
                <w:color w:val="222222"/>
                <w:sz w:val="19"/>
                <w:szCs w:val="19"/>
              </w:rPr>
              <w:t xml:space="preserve">The canonical public BGL supercomputer event format</w:t>
            </w:r>
          </w:p>
        </w:tc>
        <w:tc>
          <w:tcPr>
            <w:tcW w:type="dxa" w:w="2257"/>
            <w:tcMar>
              <w:top w:type="dxa" w:w="80"/>
              <w:left w:type="dxa" w:w="100"/>
              <w:bottom w:type="dxa" w:w="80"/>
              <w:right w:type="dxa" w:w="100"/>
            </w:tcMar>
            <w:vAlign w:val="center"/>
          </w:tcPr>
          <w:p>
            <w:pPr>
              <w:jc w:val="left"/>
            </w:pPr>
            <w:r>
              <w:rPr>
                <w:b w:val="false"/>
                <w:bCs w:val="false"/>
                <w:color w:val="222222"/>
                <w:sz w:val="19"/>
                <w:szCs w:val="19"/>
              </w:rPr>
              <w:t xml:space="preserve">1,881</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Apache httpd error log</w:t>
            </w:r>
          </w:p>
        </w:tc>
        <w:tc>
          <w:tcPr>
            <w:tcW w:type="dxa" w:w="4062"/>
            <w:shd w:fill="F4F7FB" w:val="clear"/>
            <w:tcMar>
              <w:top w:type="dxa" w:w="80"/>
              <w:left w:type="dxa" w:w="100"/>
              <w:bottom w:type="dxa" w:w="80"/>
              <w:right w:type="dxa" w:w="100"/>
            </w:tcMar>
            <w:vAlign w:val="center"/>
          </w:tcPr>
          <w:p>
            <w:pPr>
              <w:jc w:val="left"/>
            </w:pPr>
            <w:r>
              <w:rPr>
                <w:b w:val="false"/>
                <w:bCs w:val="false"/>
                <w:color w:val="222222"/>
                <w:sz w:val="19"/>
                <w:szCs w:val="19"/>
              </w:rPr>
              <w:t xml:space="preserve">Web server error logs</w:t>
            </w:r>
          </w:p>
        </w:tc>
        <w:tc>
          <w:tcPr>
            <w:tcW w:type="dxa" w:w="225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1,478</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Windows CBS/trace log</w:t>
            </w:r>
          </w:p>
        </w:tc>
        <w:tc>
          <w:tcPr>
            <w:tcW w:type="dxa" w:w="4062"/>
            <w:tcMar>
              <w:top w:type="dxa" w:w="80"/>
              <w:left w:type="dxa" w:w="100"/>
              <w:bottom w:type="dxa" w:w="80"/>
              <w:right w:type="dxa" w:w="100"/>
            </w:tcMar>
            <w:vAlign w:val="center"/>
          </w:tcPr>
          <w:p>
            <w:pPr>
              <w:jc w:val="left"/>
            </w:pPr>
            <w:r>
              <w:rPr>
                <w:b w:val="false"/>
                <w:bCs w:val="false"/>
                <w:color w:val="222222"/>
                <w:sz w:val="19"/>
                <w:szCs w:val="19"/>
              </w:rPr>
              <w:t xml:space="preserve">Windows servicing/component-based-servicing traces</w:t>
            </w:r>
          </w:p>
        </w:tc>
        <w:tc>
          <w:tcPr>
            <w:tcW w:type="dxa" w:w="2257"/>
            <w:tcMar>
              <w:top w:type="dxa" w:w="80"/>
              <w:left w:type="dxa" w:w="100"/>
              <w:bottom w:type="dxa" w:w="80"/>
              <w:right w:type="dxa" w:w="100"/>
            </w:tcMar>
            <w:vAlign w:val="center"/>
          </w:tcPr>
          <w:p>
            <w:pPr>
              <w:jc w:val="left"/>
            </w:pPr>
            <w:r>
              <w:rPr>
                <w:b w:val="false"/>
                <w:bCs w:val="false"/>
                <w:color w:val="222222"/>
                <w:sz w:val="19"/>
                <w:szCs w:val="19"/>
              </w:rPr>
              <w:t xml:space="preserve">977</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CSV</w:t>
            </w:r>
          </w:p>
        </w:tc>
        <w:tc>
          <w:tcPr>
            <w:tcW w:type="dxa" w:w="4062"/>
            <w:shd w:fill="F4F7FB" w:val="clear"/>
            <w:tcMar>
              <w:top w:type="dxa" w:w="80"/>
              <w:left w:type="dxa" w:w="100"/>
              <w:bottom w:type="dxa" w:w="80"/>
              <w:right w:type="dxa" w:w="100"/>
            </w:tcMar>
            <w:vAlign w:val="center"/>
          </w:tcPr>
          <w:p>
            <w:pPr>
              <w:jc w:val="left"/>
            </w:pPr>
            <w:r>
              <w:rPr>
                <w:b w:val="false"/>
                <w:bCs w:val="false"/>
                <w:color w:val="222222"/>
                <w:sz w:val="19"/>
                <w:szCs w:val="19"/>
              </w:rPr>
              <w:t xml:space="preserve">Tabular/exported log data</w:t>
            </w:r>
          </w:p>
        </w:tc>
        <w:tc>
          <w:tcPr>
            <w:tcW w:type="dxa" w:w="225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832</w:t>
            </w:r>
          </w:p>
        </w:tc>
      </w:tr>
      <w:tr>
        <w:tc>
          <w:tcPr>
            <w:tcW w:type="dxa" w:w="2708"/>
            <w:tcMar>
              <w:top w:type="dxa" w:w="80"/>
              <w:left w:type="dxa" w:w="100"/>
              <w:bottom w:type="dxa" w:w="80"/>
              <w:right w:type="dxa" w:w="100"/>
            </w:tcMar>
            <w:vAlign w:val="center"/>
          </w:tcPr>
          <w:p>
            <w:pPr>
              <w:jc w:val="left"/>
            </w:pPr>
            <w:r>
              <w:rPr>
                <w:b w:val="false"/>
                <w:bCs w:val="false"/>
                <w:color w:val="222222"/>
                <w:sz w:val="19"/>
                <w:szCs w:val="19"/>
              </w:rPr>
              <w:t xml:space="preserve">Key-Value (e.g. FortiGate-style)</w:t>
            </w:r>
          </w:p>
        </w:tc>
        <w:tc>
          <w:tcPr>
            <w:tcW w:type="dxa" w:w="4062"/>
            <w:tcMar>
              <w:top w:type="dxa" w:w="80"/>
              <w:left w:type="dxa" w:w="100"/>
              <w:bottom w:type="dxa" w:w="80"/>
              <w:right w:type="dxa" w:w="100"/>
            </w:tcMar>
            <w:vAlign w:val="center"/>
          </w:tcPr>
          <w:p>
            <w:pPr>
              <w:jc w:val="left"/>
            </w:pPr>
            <w:r>
              <w:rPr>
                <w:b w:val="false"/>
                <w:bCs w:val="false"/>
                <w:color w:val="222222"/>
                <w:sz w:val="19"/>
                <w:szCs w:val="19"/>
              </w:rPr>
              <w:t xml:space="preserve">Firewall/appliance free-text key=value logs</w:t>
            </w:r>
          </w:p>
        </w:tc>
        <w:tc>
          <w:tcPr>
            <w:tcW w:type="dxa" w:w="2257"/>
            <w:tcMar>
              <w:top w:type="dxa" w:w="80"/>
              <w:left w:type="dxa" w:w="100"/>
              <w:bottom w:type="dxa" w:w="80"/>
              <w:right w:type="dxa" w:w="100"/>
            </w:tcMar>
            <w:vAlign w:val="center"/>
          </w:tcPr>
          <w:p>
            <w:pPr>
              <w:jc w:val="left"/>
            </w:pPr>
            <w:r>
              <w:rPr>
                <w:b w:val="false"/>
                <w:bCs w:val="false"/>
                <w:color w:val="222222"/>
                <w:sz w:val="19"/>
                <w:szCs w:val="19"/>
              </w:rPr>
              <w:t xml:space="preserve">57</w:t>
            </w:r>
          </w:p>
        </w:tc>
      </w:tr>
      <w:tr>
        <w:tc>
          <w:tcPr>
            <w:tcW w:type="dxa" w:w="2708"/>
            <w:shd w:fill="F4F7FB" w:val="clear"/>
            <w:tcMar>
              <w:top w:type="dxa" w:w="80"/>
              <w:left w:type="dxa" w:w="100"/>
              <w:bottom w:type="dxa" w:w="80"/>
              <w:right w:type="dxa" w:w="100"/>
            </w:tcMar>
            <w:vAlign w:val="center"/>
          </w:tcPr>
          <w:p>
            <w:pPr>
              <w:jc w:val="left"/>
            </w:pPr>
            <w:r>
              <w:rPr>
                <w:b w:val="false"/>
                <w:bCs w:val="false"/>
                <w:color w:val="222222"/>
                <w:sz w:val="19"/>
                <w:szCs w:val="19"/>
              </w:rPr>
              <w:t xml:space="preserve">CEF / LEEF</w:t>
            </w:r>
          </w:p>
        </w:tc>
        <w:tc>
          <w:tcPr>
            <w:tcW w:type="dxa" w:w="4062"/>
            <w:shd w:fill="F4F7FB" w:val="clear"/>
            <w:tcMar>
              <w:top w:type="dxa" w:w="80"/>
              <w:left w:type="dxa" w:w="100"/>
              <w:bottom w:type="dxa" w:w="80"/>
              <w:right w:type="dxa" w:w="100"/>
            </w:tcMar>
            <w:vAlign w:val="center"/>
          </w:tcPr>
          <w:p>
            <w:pPr>
              <w:jc w:val="left"/>
            </w:pPr>
            <w:r>
              <w:rPr>
                <w:b w:val="false"/>
                <w:bCs w:val="false"/>
                <w:color w:val="222222"/>
                <w:sz w:val="19"/>
                <w:szCs w:val="19"/>
              </w:rPr>
              <w:t xml:space="preserve">Security-appliance standard interchange formats (ArcSight/QRadar-style)</w:t>
            </w:r>
          </w:p>
        </w:tc>
        <w:tc>
          <w:tcPr>
            <w:tcW w:type="dxa" w:w="225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Supported; 0 in the current live dataset</w:t>
            </w:r>
          </w:p>
        </w:tc>
      </w:tr>
    </w:tbl>
    <w:p>
      <w:pPr>
        <w:spacing w:after="120"/>
      </w:pPr>
    </w:p>
    <w:p>
      <w:pPr>
        <w:pStyle w:val="Heading2"/>
        <w:spacing w:after="140" w:before="320"/>
      </w:pPr>
      <w:r>
        <w:rPr>
          <w:b/>
          <w:bCs/>
          <w:color w:val="0044A8"/>
        </w:rPr>
        <w:t xml:space="preserve">7.1 Real data sources used for verification</w:t>
      </w:r>
    </w:p>
    <w:p>
      <w:pPr>
        <w:spacing w:after="160" w:line="300"/>
      </w:pPr>
      <w:r>
        <w:rPr>
          <w:color w:val="222222"/>
          <w:sz w:val="21"/>
          <w:szCs w:val="21"/>
        </w:rPr>
        <w:t xml:space="preserve">Consistent with this project's standing rule against fabricated data, every corpus used to build and verify the pipeline is a real, independently-sourced dataset:</w:t>
      </w:r>
    </w:p>
    <w:p>
      <w:pPr>
        <w:pStyle w:val="ListParagraph"/>
        <w:numPr>
          <w:ilvl w:val="0"/>
          <w:numId w:val="2"/>
        </w:numPr>
        <w:spacing w:after="90" w:line="290"/>
      </w:pPr>
      <w:r>
        <w:rPr>
          <w:color w:val="222222"/>
          <w:sz w:val="21"/>
          <w:szCs w:val="21"/>
        </w:rPr>
        <w:t xml:space="preserve">loghub public corpora — OpenSSH, HDFS/Hadoop/Zookeeper, HPC/BlueGene, Apache, Windows</w:t>
      </w:r>
    </w:p>
    <w:p>
      <w:pPr>
        <w:pStyle w:val="ListParagraph"/>
        <w:numPr>
          <w:ilvl w:val="0"/>
          <w:numId w:val="2"/>
        </w:numPr>
        <w:spacing w:after="90" w:line="290"/>
      </w:pPr>
      <w:r>
        <w:rPr>
          <w:color w:val="222222"/>
          <w:sz w:val="21"/>
          <w:szCs w:val="21"/>
        </w:rPr>
        <w:t xml:space="preserve">sbousseaden/EVTX-ATTACK-SAMPLES — real Windows Event Logs captured from actual MITRE ATT&amp;CK technique execution across 249 lab captures</w:t>
      </w:r>
    </w:p>
    <w:p>
      <w:pPr>
        <w:pStyle w:val="ListParagraph"/>
        <w:numPr>
          <w:ilvl w:val="0"/>
          <w:numId w:val="2"/>
        </w:numPr>
        <w:spacing w:after="90" w:line="290"/>
      </w:pPr>
      <w:r>
        <w:rPr>
          <w:color w:val="222222"/>
          <w:sz w:val="21"/>
          <w:szCs w:val="21"/>
        </w:rPr>
        <w:t xml:space="preserve">Real Zeek/Bro IDS engine output — genuine TLS handshakes, real Team Cymru Malware Hash Registry hits against real malware URLs</w:t>
      </w:r>
    </w:p>
    <w:p>
      <w:pPr>
        <w:pStyle w:val="ListParagraph"/>
        <w:numPr>
          <w:ilvl w:val="0"/>
          <w:numId w:val="2"/>
        </w:numPr>
        <w:spacing w:after="90" w:line="290"/>
      </w:pPr>
      <w:r>
        <w:rPr>
          <w:color w:val="222222"/>
          <w:sz w:val="21"/>
          <w:szCs w:val="21"/>
        </w:rPr>
        <w:t xml:space="preserve">invictus-ir/aws_dataset — real AWS CloudTrail export from an actual Stratus Red Team attack simulation</w:t>
      </w:r>
    </w:p>
    <w:p>
      <w:pPr>
        <w:pStyle w:val="ListParagraph"/>
        <w:numPr>
          <w:ilvl w:val="0"/>
          <w:numId w:val="2"/>
        </w:numPr>
        <w:spacing w:after="90" w:line="290"/>
      </w:pPr>
      <w:r>
        <w:rPr>
          <w:color w:val="222222"/>
          <w:sz w:val="21"/>
          <w:szCs w:val="21"/>
        </w:rPr>
        <w:t xml:space="preserve">Independently sourced vendor-pack samples (Elastic Beats, Fortinet, Suricata, and other vendors' own published reference logs) for Cisco ASA, FortiGate, pfSense, Suricata, Windows Firewall, Squid, and Zeek source packs</w:t>
      </w:r>
    </w:p>
    <w:p>
      <w:pPr>
        <w:spacing w:after="160" w:line="300"/>
      </w:pPr>
      <w:r>
        <w:rPr>
          <w:color w:val="222222"/>
          <w:sz w:val="21"/>
          <w:szCs w:val="21"/>
        </w:rPr>
        <w:t xml:space="preserve">One vendor pack (Palo Alto) remains honestly flagged as synthetic: after checking eight official/public sources, no trustworthy real sample could be found, and a promising-looking sample was rejected after being identified as likely AI-hallucinated rather than passed off as real.</w:t>
      </w:r>
    </w:p>
    <w:p>
      <w:pPr>
        <w:pStyle w:val="Heading1"/>
        <w:pBdr>
          <w:bottom w:val="single" w:color="0044A8" w:sz="8" w:space="4"/>
        </w:pBdr>
        <w:spacing w:after="200" w:before="480"/>
      </w:pPr>
      <w:r>
        <w:rPr>
          <w:b/>
          <w:bCs/>
          <w:color w:val="0B2545"/>
        </w:rPr>
        <w:t xml:space="preserve">8. Security, Integrity &amp; Compliance Positioning</w:t>
      </w:r>
    </w:p>
    <w:p>
      <w:pPr>
        <w:pStyle w:val="Heading2"/>
        <w:spacing w:after="140" w:before="320"/>
      </w:pPr>
      <w:r>
        <w:rPr>
          <w:b/>
          <w:bCs/>
          <w:color w:val="0044A8"/>
        </w:rPr>
        <w:t xml:space="preserve">8.1 What the integrity subsystem actually guarantees</w:t>
      </w:r>
    </w:p>
    <w:p>
      <w:pPr>
        <w:spacing w:after="160" w:line="300"/>
      </w:pPr>
      <w:r>
        <w:rPr>
          <w:color w:val="222222"/>
          <w:sz w:val="21"/>
          <w:szCs w:val="21"/>
        </w:rPr>
        <w:t xml:space="preserve">The guarantee is deliberately narrow and specific, stated exactly as designed rather than oversold: once a log has been ingested and included in a signed checkpoint, any modification to that event's stored content is detectable — by anyone, using only the standalone offline verifier, with no access to the ULPF application itself required.</w:t>
      </w:r>
    </w:p>
    <w:p>
      <w:pPr>
        <w:pStyle w:val="Heading3"/>
        <w:spacing w:after="100" w:before="220"/>
      </w:pPr>
      <w:r>
        <w:rPr>
          <w:b/>
          <w:bCs/>
          <w:color w:val="0B2545"/>
        </w:rPr>
        <w:t xml:space="preserve">What it does not protect against (stated plainly)</w:t>
      </w:r>
    </w:p>
    <w:p>
      <w:pPr>
        <w:pStyle w:val="ListParagraph"/>
        <w:numPr>
          <w:ilvl w:val="0"/>
          <w:numId w:val="2"/>
        </w:numPr>
        <w:spacing w:after="90" w:line="290"/>
      </w:pPr>
      <w:r>
        <w:rPr>
          <w:color w:val="222222"/>
          <w:sz w:val="21"/>
          <w:szCs w:val="21"/>
        </w:rPr>
        <w:t xml:space="preserve">Ingestion-time integrity: if a log is altered before it reaches ULPF, ULPF faithfully hashes and checkpoints the altered version — the guarantee begins at ingestion, not at the original source device.</w:t>
      </w:r>
    </w:p>
    <w:p>
      <w:pPr>
        <w:pStyle w:val="ListParagraph"/>
        <w:numPr>
          <w:ilvl w:val="0"/>
          <w:numId w:val="2"/>
        </w:numPr>
        <w:spacing w:after="90" w:line="290"/>
      </w:pPr>
      <w:r>
        <w:rPr>
          <w:color w:val="222222"/>
          <w:sz w:val="21"/>
          <w:szCs w:val="21"/>
        </w:rPr>
        <w:t xml:space="preserve">Key compromise: if the checkpoint-signing private key is exfiltrated, an attacker with database write access could in principle forge a checkpoint over a rewritten tree. The PKCS#11/HSM-backed signing path exists specifically to raise this bar for production deployments.</w:t>
      </w:r>
    </w:p>
    <w:p>
      <w:pPr>
        <w:pStyle w:val="ListParagraph"/>
        <w:numPr>
          <w:ilvl w:val="0"/>
          <w:numId w:val="2"/>
        </w:numPr>
        <w:spacing w:after="90" w:line="290"/>
      </w:pPr>
      <w:r>
        <w:rPr>
          <w:color w:val="222222"/>
          <w:sz w:val="21"/>
          <w:szCs w:val="21"/>
        </w:rPr>
        <w:t xml:space="preserve">Availability: nothing in this design defends against outright deletion of the database, raw vault, or signing key — only against undetected modification of what remains.</w:t>
      </w:r>
    </w:p>
    <w:p>
      <w:pPr>
        <w:pStyle w:val="ListParagraph"/>
        <w:numPr>
          <w:ilvl w:val="0"/>
          <w:numId w:val="2"/>
        </w:numPr>
        <w:spacing w:after="90" w:line="290"/>
      </w:pPr>
      <w:r>
        <w:rPr>
          <w:color w:val="222222"/>
          <w:sz w:val="21"/>
          <w:szCs w:val="21"/>
        </w:rPr>
        <w:t xml:space="preserve">Confidentiality: integrity and confidentiality are separate, independent controls here. Raw-log encryption at rest (Fernet, optional) is what protects confidentiality.</w:t>
      </w:r>
    </w:p>
    <w:p>
      <w:pPr>
        <w:pStyle w:val="Heading2"/>
        <w:spacing w:after="140" w:before="320"/>
      </w:pPr>
      <w:r>
        <w:rPr>
          <w:b/>
          <w:bCs/>
          <w:color w:val="0044A8"/>
        </w:rPr>
        <w:t xml:space="preserve">8.2 Access control</w:t>
      </w:r>
    </w:p>
    <w:p>
      <w:pPr>
        <w:spacing w:after="160" w:line="300"/>
      </w:pPr>
      <w:r>
        <w:rPr>
          <w:color w:val="222222"/>
          <w:sz w:val="21"/>
          <w:szCs w:val="21"/>
        </w:rPr>
        <w:t xml:space="preserve">Role-based access control (admin / analyst / parser_author / auditor) gates API access per-router, with additional per-route checks where separation of duties matters — for example, a parser's author cannot publish their own parser; a second, authorized approver must.</w:t>
      </w:r>
    </w:p>
    <w:p>
      <w:pPr>
        <w:pStyle w:val="Heading2"/>
        <w:spacing w:after="140" w:before="320"/>
      </w:pPr>
      <w:r>
        <w:rPr>
          <w:b/>
          <w:bCs/>
          <w:color w:val="0044A8"/>
        </w:rPr>
        <w:t xml:space="preserve">8.3 CERT-In / NCIIPC guidance mapping (informational)</w:t>
      </w:r>
    </w:p>
    <w:p>
      <w:pPr>
        <w:spacing w:after="160" w:line="300"/>
      </w:pPr>
      <w:r>
        <w:rPr>
          <w:color w:val="222222"/>
          <w:sz w:val="21"/>
          <w:szCs w:val="21"/>
        </w:rPr>
        <w:t xml:space="preserve">The mapping below uses “supports” / “maps to” language deliberately — ULPF has not undergone, and does not claim, any formal compliance certification. This table exists to show a reviewer where to look, not to assert conformance.</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3159"/>
        <w:gridCol w:w="5867"/>
      </w:tblGrid>
      <w:tr>
        <w:trPr>
          <w:tblHeader/>
        </w:trPr>
        <w:tc>
          <w:tcPr>
            <w:tcW w:type="dxa" w:w="3159"/>
            <w:shd w:fill="0B2545" w:val="clear"/>
            <w:tcMar>
              <w:top w:type="dxa" w:w="80"/>
              <w:left w:type="dxa" w:w="100"/>
              <w:bottom w:type="dxa" w:w="80"/>
              <w:right w:type="dxa" w:w="100"/>
            </w:tcMar>
            <w:vAlign w:val="center"/>
          </w:tcPr>
          <w:p>
            <w:pPr>
              <w:jc w:val="left"/>
            </w:pPr>
            <w:r>
              <w:rPr>
                <w:b/>
                <w:bCs/>
                <w:color w:val="FFFFFF"/>
                <w:sz w:val="19"/>
                <w:szCs w:val="19"/>
              </w:rPr>
              <w:t xml:space="preserve">Guidance area</w:t>
            </w:r>
          </w:p>
        </w:tc>
        <w:tc>
          <w:tcPr>
            <w:tcW w:type="dxa" w:w="5867"/>
            <w:shd w:fill="0B2545" w:val="clear"/>
            <w:tcMar>
              <w:top w:type="dxa" w:w="80"/>
              <w:left w:type="dxa" w:w="100"/>
              <w:bottom w:type="dxa" w:w="80"/>
              <w:right w:type="dxa" w:w="100"/>
            </w:tcMar>
            <w:vAlign w:val="center"/>
          </w:tcPr>
          <w:p>
            <w:pPr>
              <w:jc w:val="left"/>
            </w:pPr>
            <w:r>
              <w:rPr>
                <w:b/>
                <w:bCs/>
                <w:color w:val="FFFFFF"/>
                <w:sz w:val="19"/>
                <w:szCs w:val="19"/>
              </w:rPr>
              <w:t xml:space="preserve">What in ULPF maps to it</w:t>
            </w:r>
          </w:p>
        </w:tc>
      </w:tr>
      <w:tr>
        <w:tc>
          <w:tcPr>
            <w:tcW w:type="dxa" w:w="3159"/>
            <w:tcMar>
              <w:top w:type="dxa" w:w="80"/>
              <w:left w:type="dxa" w:w="100"/>
              <w:bottom w:type="dxa" w:w="80"/>
              <w:right w:type="dxa" w:w="100"/>
            </w:tcMar>
            <w:vAlign w:val="center"/>
          </w:tcPr>
          <w:p>
            <w:pPr>
              <w:jc w:val="left"/>
            </w:pPr>
            <w:r>
              <w:rPr>
                <w:b w:val="false"/>
                <w:bCs w:val="false"/>
                <w:color w:val="222222"/>
                <w:sz w:val="19"/>
                <w:szCs w:val="19"/>
              </w:rPr>
              <w:t xml:space="preserve">Incident logging &amp; retention</w:t>
            </w:r>
          </w:p>
        </w:tc>
        <w:tc>
          <w:tcPr>
            <w:tcW w:type="dxa" w:w="5867"/>
            <w:tcMar>
              <w:top w:type="dxa" w:w="80"/>
              <w:left w:type="dxa" w:w="100"/>
              <w:bottom w:type="dxa" w:w="80"/>
              <w:right w:type="dxa" w:w="100"/>
            </w:tcMar>
            <w:vAlign w:val="center"/>
          </w:tcPr>
          <w:p>
            <w:pPr>
              <w:jc w:val="left"/>
            </w:pPr>
            <w:r>
              <w:rPr>
                <w:b w:val="false"/>
                <w:bCs w:val="false"/>
                <w:color w:val="222222"/>
                <w:sz w:val="19"/>
                <w:szCs w:val="19"/>
              </w:rPr>
              <w:t xml:space="preserve">Configurable retention policies and legal holds; raw-vault preservation before parsing</w:t>
            </w:r>
          </w:p>
        </w:tc>
      </w:tr>
      <w:tr>
        <w:tc>
          <w:tcPr>
            <w:tcW w:type="dxa" w:w="315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Log integrity / non-repudiation</w:t>
            </w:r>
          </w:p>
        </w:tc>
        <w:tc>
          <w:tcPr>
            <w:tcW w:type="dxa" w:w="586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RFC 6962 Merkle tree + Ed25519/HSM-signed checkpoints; standalone offline verifier</w:t>
            </w:r>
          </w:p>
        </w:tc>
      </w:tr>
      <w:tr>
        <w:tc>
          <w:tcPr>
            <w:tcW w:type="dxa" w:w="3159"/>
            <w:tcMar>
              <w:top w:type="dxa" w:w="80"/>
              <w:left w:type="dxa" w:w="100"/>
              <w:bottom w:type="dxa" w:w="80"/>
              <w:right w:type="dxa" w:w="100"/>
            </w:tcMar>
            <w:vAlign w:val="center"/>
          </w:tcPr>
          <w:p>
            <w:pPr>
              <w:jc w:val="left"/>
            </w:pPr>
            <w:r>
              <w:rPr>
                <w:b w:val="false"/>
                <w:bCs w:val="false"/>
                <w:color w:val="222222"/>
                <w:sz w:val="19"/>
                <w:szCs w:val="19"/>
              </w:rPr>
              <w:t xml:space="preserve">Access control &amp; audit trail</w:t>
            </w:r>
          </w:p>
        </w:tc>
        <w:tc>
          <w:tcPr>
            <w:tcW w:type="dxa" w:w="5867"/>
            <w:tcMar>
              <w:top w:type="dxa" w:w="80"/>
              <w:left w:type="dxa" w:w="100"/>
              <w:bottom w:type="dxa" w:w="80"/>
              <w:right w:type="dxa" w:w="100"/>
            </w:tcMar>
            <w:vAlign w:val="center"/>
          </w:tcPr>
          <w:p>
            <w:pPr>
              <w:jc w:val="left"/>
            </w:pPr>
            <w:r>
              <w:rPr>
                <w:b w:val="false"/>
                <w:bCs w:val="false"/>
                <w:color w:val="222222"/>
                <w:sz w:val="19"/>
                <w:szCs w:val="19"/>
              </w:rPr>
              <w:t xml:space="preserve">Role-based access; hash-chained audit log; separation of duties on parser publishing</w:t>
            </w:r>
          </w:p>
        </w:tc>
      </w:tr>
      <w:tr>
        <w:tc>
          <w:tcPr>
            <w:tcW w:type="dxa" w:w="315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Incident response timelines</w:t>
            </w:r>
          </w:p>
        </w:tc>
        <w:tc>
          <w:tcPr>
            <w:tcW w:type="dxa" w:w="586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Case/notification time-to-acknowledge and time-to-resolve tracking</w:t>
            </w:r>
          </w:p>
        </w:tc>
      </w:tr>
      <w:tr>
        <w:tc>
          <w:tcPr>
            <w:tcW w:type="dxa" w:w="3159"/>
            <w:tcMar>
              <w:top w:type="dxa" w:w="80"/>
              <w:left w:type="dxa" w:w="100"/>
              <w:bottom w:type="dxa" w:w="80"/>
              <w:right w:type="dxa" w:w="100"/>
            </w:tcMar>
            <w:vAlign w:val="center"/>
          </w:tcPr>
          <w:p>
            <w:pPr>
              <w:jc w:val="left"/>
            </w:pPr>
            <w:r>
              <w:rPr>
                <w:b w:val="false"/>
                <w:bCs w:val="false"/>
                <w:color w:val="222222"/>
                <w:sz w:val="19"/>
                <w:szCs w:val="19"/>
              </w:rPr>
              <w:t xml:space="preserve">Secure configuration / hardening</w:t>
            </w:r>
          </w:p>
        </w:tc>
        <w:tc>
          <w:tcPr>
            <w:tcW w:type="dxa" w:w="5867"/>
            <w:tcMar>
              <w:top w:type="dxa" w:w="80"/>
              <w:left w:type="dxa" w:w="100"/>
              <w:bottom w:type="dxa" w:w="80"/>
              <w:right w:type="dxa" w:w="100"/>
            </w:tcMar>
            <w:vAlign w:val="center"/>
          </w:tcPr>
          <w:p>
            <w:pPr>
              <w:jc w:val="left"/>
            </w:pPr>
            <w:r>
              <w:rPr>
                <w:b w:val="false"/>
                <w:bCs w:val="false"/>
                <w:color w:val="222222"/>
                <w:sz w:val="19"/>
                <w:szCs w:val="19"/>
              </w:rPr>
              <w:t xml:space="preserve">Documented hardening checklist, security headers, rate limiting</w:t>
            </w:r>
          </w:p>
        </w:tc>
      </w:tr>
      <w:tr>
        <w:tc>
          <w:tcPr>
            <w:tcW w:type="dxa" w:w="315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Data minimization / PII handling</w:t>
            </w:r>
          </w:p>
        </w:tc>
        <w:tc>
          <w:tcPr>
            <w:tcW w:type="dxa" w:w="5867"/>
            <w:shd w:fill="F4F7FB" w:val="clear"/>
            <w:tcMar>
              <w:top w:type="dxa" w:w="80"/>
              <w:left w:type="dxa" w:w="100"/>
              <w:bottom w:type="dxa" w:w="80"/>
              <w:right w:type="dxa" w:w="100"/>
            </w:tcMar>
            <w:vAlign w:val="center"/>
          </w:tcPr>
          <w:p>
            <w:pPr>
              <w:jc w:val="left"/>
            </w:pPr>
            <w:r>
              <w:rPr>
                <w:b w:val="false"/>
                <w:bCs w:val="false"/>
                <w:color w:val="222222"/>
                <w:sz w:val="19"/>
                <w:szCs w:val="19"/>
              </w:rPr>
              <w:t xml:space="preserve">Pattern-based PII redaction applied before persistence</w:t>
            </w:r>
          </w:p>
        </w:tc>
      </w:tr>
      <w:tr>
        <w:tc>
          <w:tcPr>
            <w:tcW w:type="dxa" w:w="3159"/>
            <w:tcMar>
              <w:top w:type="dxa" w:w="80"/>
              <w:left w:type="dxa" w:w="100"/>
              <w:bottom w:type="dxa" w:w="80"/>
              <w:right w:type="dxa" w:w="100"/>
            </w:tcMar>
            <w:vAlign w:val="center"/>
          </w:tcPr>
          <w:p>
            <w:pPr>
              <w:jc w:val="left"/>
            </w:pPr>
            <w:r>
              <w:rPr>
                <w:b w:val="false"/>
                <w:bCs w:val="false"/>
                <w:color w:val="222222"/>
                <w:sz w:val="19"/>
                <w:szCs w:val="19"/>
              </w:rPr>
              <w:t xml:space="preserve">Evidence for legal proceedings</w:t>
            </w:r>
          </w:p>
        </w:tc>
        <w:tc>
          <w:tcPr>
            <w:tcW w:type="dxa" w:w="5867"/>
            <w:tcMar>
              <w:top w:type="dxa" w:w="80"/>
              <w:left w:type="dxa" w:w="100"/>
              <w:bottom w:type="dxa" w:w="80"/>
              <w:right w:type="dxa" w:w="100"/>
            </w:tcMar>
            <w:vAlign w:val="center"/>
          </w:tcPr>
          <w:p>
            <w:pPr>
              <w:jc w:val="left"/>
            </w:pPr>
            <w:r>
              <w:rPr>
                <w:b w:val="false"/>
                <w:bCs w:val="false"/>
                <w:color w:val="222222"/>
                <w:sz w:val="19"/>
                <w:szCs w:val="19"/>
              </w:rPr>
              <w:t xml:space="preserve">Downloadable evidence bundle with a draft (“review with legal counsel”) domestic and international certificate section</w:t>
            </w:r>
          </w:p>
        </w:tc>
      </w:tr>
    </w:tbl>
    <w:p>
      <w:pPr>
        <w:pStyle w:val="Heading1"/>
        <w:pBdr>
          <w:bottom w:val="single" w:color="0044A8" w:sz="8" w:space="4"/>
        </w:pBdr>
        <w:spacing w:after="200" w:before="480"/>
      </w:pPr>
      <w:r>
        <w:rPr>
          <w:b/>
          <w:bCs/>
          <w:color w:val="0B2545"/>
        </w:rPr>
        <w:t xml:space="preserve">9. Testing, Verification &amp; Performance</w:t>
      </w:r>
    </w:p>
    <w:p>
      <w:pPr>
        <w:pStyle w:val="Heading2"/>
        <w:spacing w:after="140" w:before="320"/>
      </w:pPr>
      <w:r>
        <w:rPr>
          <w:b/>
          <w:bCs/>
          <w:color w:val="0044A8"/>
        </w:rPr>
        <w:t xml:space="preserve">9.1 Automated test coverage</w:t>
      </w:r>
    </w:p>
    <w:p>
      <w:pPr>
        <w:spacing w:after="160" w:line="300"/>
      </w:pPr>
      <w:r>
        <w:rPr>
          <w:color w:val="222222"/>
          <w:sz w:val="21"/>
          <w:szCs w:val="21"/>
        </w:rPr>
        <w:t xml:space="preserve">160 automated backend unit and integration tests pass at the time of writing (plus a dedicated property-based fuzz-testing suite using Hypothesis, run against every deterministic parser, the format detector, the full pipeline, and PII redaction). Two pre-existing, environment-dependent tests remain excluded from that count — one requires a Redis instance for exact rate-limiter timing, one a specific correlation-rule-loading edge case — neither related to the core ingestion, parsing, or integrity pipeline. Frontend type-checking (“tsc -b”) and production build (“vite build”) both pass cleanly.</w:t>
      </w:r>
    </w:p>
    <w:p>
      <w:pPr>
        <w:pStyle w:val="Heading2"/>
        <w:spacing w:after="140" w:before="320"/>
      </w:pPr>
      <w:r>
        <w:rPr>
          <w:b/>
          <w:bCs/>
          <w:color w:val="0044A8"/>
        </w:rPr>
        <w:t xml:space="preserve">9.2 Measured pipeline throughput</w:t>
      </w:r>
    </w:p>
    <w:p>
      <w:pPr>
        <w:spacing w:after="160" w:line="300"/>
      </w:pPr>
      <w:r>
        <w:rPr>
          <w:color w:val="222222"/>
          <w:sz w:val="21"/>
          <w:szCs w:val="21"/>
        </w:rPr>
        <w:t xml:space="preserve">Every number below was measured directly against the running pipeline, not estimated or extrapolated:</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3069"/>
        <w:gridCol w:w="1264"/>
        <w:gridCol w:w="1805"/>
        <w:gridCol w:w="1444"/>
        <w:gridCol w:w="1444"/>
      </w:tblGrid>
      <w:tr>
        <w:trPr>
          <w:tblHeader/>
        </w:trPr>
        <w:tc>
          <w:tcPr>
            <w:tcW w:type="dxa" w:w="3069"/>
            <w:shd w:fill="0B2545" w:val="clear"/>
            <w:tcMar>
              <w:top w:type="dxa" w:w="80"/>
              <w:left w:type="dxa" w:w="100"/>
              <w:bottom w:type="dxa" w:w="80"/>
              <w:right w:type="dxa" w:w="100"/>
            </w:tcMar>
            <w:vAlign w:val="center"/>
          </w:tcPr>
          <w:p>
            <w:pPr>
              <w:jc w:val="left"/>
            </w:pPr>
            <w:r>
              <w:rPr>
                <w:b/>
                <w:bCs/>
                <w:color w:val="FFFFFF"/>
                <w:sz w:val="19"/>
                <w:szCs w:val="19"/>
              </w:rPr>
              <w:t xml:space="preserve">Configuration</w:t>
            </w:r>
          </w:p>
        </w:tc>
        <w:tc>
          <w:tcPr>
            <w:tcW w:type="dxa" w:w="1264"/>
            <w:shd w:fill="0B2545" w:val="clear"/>
            <w:tcMar>
              <w:top w:type="dxa" w:w="80"/>
              <w:left w:type="dxa" w:w="100"/>
              <w:bottom w:type="dxa" w:w="80"/>
              <w:right w:type="dxa" w:w="100"/>
            </w:tcMar>
            <w:vAlign w:val="center"/>
          </w:tcPr>
          <w:p>
            <w:pPr>
              <w:jc w:val="left"/>
            </w:pPr>
            <w:r>
              <w:rPr>
                <w:b/>
                <w:bCs/>
                <w:color w:val="FFFFFF"/>
                <w:sz w:val="19"/>
                <w:szCs w:val="19"/>
              </w:rPr>
              <w:t xml:space="preserve">Events</w:t>
            </w:r>
          </w:p>
        </w:tc>
        <w:tc>
          <w:tcPr>
            <w:tcW w:type="dxa" w:w="1805"/>
            <w:shd w:fill="0B2545" w:val="clear"/>
            <w:tcMar>
              <w:top w:type="dxa" w:w="80"/>
              <w:left w:type="dxa" w:w="100"/>
              <w:bottom w:type="dxa" w:w="80"/>
              <w:right w:type="dxa" w:w="100"/>
            </w:tcMar>
            <w:vAlign w:val="center"/>
          </w:tcPr>
          <w:p>
            <w:pPr>
              <w:jc w:val="left"/>
            </w:pPr>
            <w:r>
              <w:rPr>
                <w:b/>
                <w:bCs/>
                <w:color w:val="FFFFFF"/>
                <w:sz w:val="19"/>
                <w:szCs w:val="19"/>
              </w:rPr>
              <w:t xml:space="preserve">Throughput</w:t>
            </w:r>
          </w:p>
        </w:tc>
        <w:tc>
          <w:tcPr>
            <w:tcW w:type="dxa" w:w="1444"/>
            <w:shd w:fill="0B2545" w:val="clear"/>
            <w:tcMar>
              <w:top w:type="dxa" w:w="80"/>
              <w:left w:type="dxa" w:w="100"/>
              <w:bottom w:type="dxa" w:w="80"/>
              <w:right w:type="dxa" w:w="100"/>
            </w:tcMar>
            <w:vAlign w:val="center"/>
          </w:tcPr>
          <w:p>
            <w:pPr>
              <w:jc w:val="left"/>
            </w:pPr>
            <w:r>
              <w:rPr>
                <w:b/>
                <w:bCs/>
                <w:color w:val="FFFFFF"/>
                <w:sz w:val="19"/>
                <w:szCs w:val="19"/>
              </w:rPr>
              <w:t xml:space="preserve">p50 latency</w:t>
            </w:r>
          </w:p>
        </w:tc>
        <w:tc>
          <w:tcPr>
            <w:tcW w:type="dxa" w:w="1444"/>
            <w:shd w:fill="0B2545" w:val="clear"/>
            <w:tcMar>
              <w:top w:type="dxa" w:w="80"/>
              <w:left w:type="dxa" w:w="100"/>
              <w:bottom w:type="dxa" w:w="80"/>
              <w:right w:type="dxa" w:w="100"/>
            </w:tcMar>
            <w:vAlign w:val="center"/>
          </w:tcPr>
          <w:p>
            <w:pPr>
              <w:jc w:val="left"/>
            </w:pPr>
            <w:r>
              <w:rPr>
                <w:b/>
                <w:bCs/>
                <w:color w:val="FFFFFF"/>
                <w:sz w:val="19"/>
                <w:szCs w:val="19"/>
              </w:rPr>
              <w:t xml:space="preserve">p99 latency</w:t>
            </w:r>
          </w:p>
        </w:tc>
      </w:tr>
      <w:tr>
        <w:tc>
          <w:tcPr>
            <w:tcW w:type="dxa" w:w="3069"/>
            <w:tcMar>
              <w:top w:type="dxa" w:w="80"/>
              <w:left w:type="dxa" w:w="100"/>
              <w:bottom w:type="dxa" w:w="80"/>
              <w:right w:type="dxa" w:w="100"/>
            </w:tcMar>
            <w:vAlign w:val="center"/>
          </w:tcPr>
          <w:p>
            <w:pPr>
              <w:jc w:val="left"/>
            </w:pPr>
            <w:r>
              <w:rPr>
                <w:b w:val="false"/>
                <w:bCs w:val="false"/>
                <w:color w:val="222222"/>
                <w:sz w:val="19"/>
                <w:szCs w:val="19"/>
              </w:rPr>
              <w:t xml:space="preserve">Checkpoint after every event (default)</w:t>
            </w:r>
          </w:p>
        </w:tc>
        <w:tc>
          <w:tcPr>
            <w:tcW w:type="dxa" w:w="1264"/>
            <w:tcMar>
              <w:top w:type="dxa" w:w="80"/>
              <w:left w:type="dxa" w:w="100"/>
              <w:bottom w:type="dxa" w:w="80"/>
              <w:right w:type="dxa" w:w="100"/>
            </w:tcMar>
            <w:vAlign w:val="center"/>
          </w:tcPr>
          <w:p>
            <w:pPr>
              <w:jc w:val="left"/>
            </w:pPr>
            <w:r>
              <w:rPr>
                <w:b w:val="false"/>
                <w:bCs w:val="false"/>
                <w:color w:val="222222"/>
                <w:sz w:val="19"/>
                <w:szCs w:val="19"/>
              </w:rPr>
              <w:t xml:space="preserve">300</w:t>
            </w:r>
          </w:p>
        </w:tc>
        <w:tc>
          <w:tcPr>
            <w:tcW w:type="dxa" w:w="1805"/>
            <w:tcMar>
              <w:top w:type="dxa" w:w="80"/>
              <w:left w:type="dxa" w:w="100"/>
              <w:bottom w:type="dxa" w:w="80"/>
              <w:right w:type="dxa" w:w="100"/>
            </w:tcMar>
            <w:vAlign w:val="center"/>
          </w:tcPr>
          <w:p>
            <w:pPr>
              <w:jc w:val="left"/>
            </w:pPr>
            <w:r>
              <w:rPr>
                <w:b w:val="false"/>
                <w:bCs w:val="false"/>
                <w:color w:val="222222"/>
                <w:sz w:val="19"/>
                <w:szCs w:val="19"/>
              </w:rPr>
              <w:t xml:space="preserve">289.6 events/s</w:t>
            </w:r>
          </w:p>
        </w:tc>
        <w:tc>
          <w:tcPr>
            <w:tcW w:type="dxa" w:w="1444"/>
            <w:tcMar>
              <w:top w:type="dxa" w:w="80"/>
              <w:left w:type="dxa" w:w="100"/>
              <w:bottom w:type="dxa" w:w="80"/>
              <w:right w:type="dxa" w:w="100"/>
            </w:tcMar>
            <w:vAlign w:val="center"/>
          </w:tcPr>
          <w:p>
            <w:pPr>
              <w:jc w:val="left"/>
            </w:pPr>
            <w:r>
              <w:rPr>
                <w:b w:val="false"/>
                <w:bCs w:val="false"/>
                <w:color w:val="222222"/>
                <w:sz w:val="19"/>
                <w:szCs w:val="19"/>
              </w:rPr>
              <w:t xml:space="preserve">2.95 ms</w:t>
            </w:r>
          </w:p>
        </w:tc>
        <w:tc>
          <w:tcPr>
            <w:tcW w:type="dxa" w:w="1444"/>
            <w:tcMar>
              <w:top w:type="dxa" w:w="80"/>
              <w:left w:type="dxa" w:w="100"/>
              <w:bottom w:type="dxa" w:w="80"/>
              <w:right w:type="dxa" w:w="100"/>
            </w:tcMar>
            <w:vAlign w:val="center"/>
          </w:tcPr>
          <w:p>
            <w:pPr>
              <w:jc w:val="left"/>
            </w:pPr>
            <w:r>
              <w:rPr>
                <w:b w:val="false"/>
                <w:bCs w:val="false"/>
                <w:color w:val="222222"/>
                <w:sz w:val="19"/>
                <w:szCs w:val="19"/>
              </w:rPr>
              <w:t xml:space="preserve">14.41 ms</w:t>
            </w:r>
          </w:p>
        </w:tc>
      </w:tr>
      <w:tr>
        <w:tc>
          <w:tcPr>
            <w:tcW w:type="dxa" w:w="3069"/>
            <w:shd w:fill="F4F7FB" w:val="clear"/>
            <w:tcMar>
              <w:top w:type="dxa" w:w="80"/>
              <w:left w:type="dxa" w:w="100"/>
              <w:bottom w:type="dxa" w:w="80"/>
              <w:right w:type="dxa" w:w="100"/>
            </w:tcMar>
            <w:vAlign w:val="center"/>
          </w:tcPr>
          <w:p>
            <w:pPr>
              <w:jc w:val="left"/>
            </w:pPr>
            <w:r>
              <w:rPr>
                <w:b w:val="false"/>
                <w:bCs w:val="false"/>
                <w:color w:val="222222"/>
                <w:sz w:val="19"/>
                <w:szCs w:val="19"/>
              </w:rPr>
              <w:t xml:space="preserve">Checkpoint after every event</w:t>
            </w:r>
          </w:p>
        </w:tc>
        <w:tc>
          <w:tcPr>
            <w:tcW w:type="dxa" w:w="126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1,500</w:t>
            </w:r>
          </w:p>
        </w:tc>
        <w:tc>
          <w:tcPr>
            <w:tcW w:type="dxa" w:w="1805"/>
            <w:shd w:fill="F4F7FB" w:val="clear"/>
            <w:tcMar>
              <w:top w:type="dxa" w:w="80"/>
              <w:left w:type="dxa" w:w="100"/>
              <w:bottom w:type="dxa" w:w="80"/>
              <w:right w:type="dxa" w:w="100"/>
            </w:tcMar>
            <w:vAlign w:val="center"/>
          </w:tcPr>
          <w:p>
            <w:pPr>
              <w:jc w:val="left"/>
            </w:pPr>
            <w:r>
              <w:rPr>
                <w:b w:val="false"/>
                <w:bCs w:val="false"/>
                <w:color w:val="222222"/>
                <w:sz w:val="19"/>
                <w:szCs w:val="19"/>
              </w:rPr>
              <w:t xml:space="preserve">110.6 events/s</w:t>
            </w:r>
          </w:p>
        </w:tc>
        <w:tc>
          <w:tcPr>
            <w:tcW w:type="dxa" w:w="144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7.88 ms</w:t>
            </w:r>
          </w:p>
        </w:tc>
        <w:tc>
          <w:tcPr>
            <w:tcW w:type="dxa" w:w="144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44.36 ms</w:t>
            </w:r>
          </w:p>
        </w:tc>
      </w:tr>
      <w:tr>
        <w:tc>
          <w:tcPr>
            <w:tcW w:type="dxa" w:w="3069"/>
            <w:tcMar>
              <w:top w:type="dxa" w:w="80"/>
              <w:left w:type="dxa" w:w="100"/>
              <w:bottom w:type="dxa" w:w="80"/>
              <w:right w:type="dxa" w:w="100"/>
            </w:tcMar>
            <w:vAlign w:val="center"/>
          </w:tcPr>
          <w:p>
            <w:pPr>
              <w:jc w:val="left"/>
            </w:pPr>
            <w:r>
              <w:rPr>
                <w:b w:val="false"/>
                <w:bCs w:val="false"/>
                <w:color w:val="222222"/>
                <w:sz w:val="19"/>
                <w:szCs w:val="19"/>
              </w:rPr>
              <w:t xml:space="preserve">Checkpoint on a timer (scheduler)</w:t>
            </w:r>
          </w:p>
        </w:tc>
        <w:tc>
          <w:tcPr>
            <w:tcW w:type="dxa" w:w="1264"/>
            <w:tcMar>
              <w:top w:type="dxa" w:w="80"/>
              <w:left w:type="dxa" w:w="100"/>
              <w:bottom w:type="dxa" w:w="80"/>
              <w:right w:type="dxa" w:w="100"/>
            </w:tcMar>
            <w:vAlign w:val="center"/>
          </w:tcPr>
          <w:p>
            <w:pPr>
              <w:jc w:val="left"/>
            </w:pPr>
            <w:r>
              <w:rPr>
                <w:b w:val="false"/>
                <w:bCs w:val="false"/>
                <w:color w:val="222222"/>
                <w:sz w:val="19"/>
                <w:szCs w:val="19"/>
              </w:rPr>
              <w:t xml:space="preserve">1,500</w:t>
            </w:r>
          </w:p>
        </w:tc>
        <w:tc>
          <w:tcPr>
            <w:tcW w:type="dxa" w:w="1805"/>
            <w:tcMar>
              <w:top w:type="dxa" w:w="80"/>
              <w:left w:type="dxa" w:w="100"/>
              <w:bottom w:type="dxa" w:w="80"/>
              <w:right w:type="dxa" w:w="100"/>
            </w:tcMar>
            <w:vAlign w:val="center"/>
          </w:tcPr>
          <w:p>
            <w:pPr>
              <w:jc w:val="left"/>
            </w:pPr>
            <w:r>
              <w:rPr>
                <w:b w:val="false"/>
                <w:bCs w:val="false"/>
                <w:color w:val="222222"/>
                <w:sz w:val="19"/>
                <w:szCs w:val="19"/>
              </w:rPr>
              <w:t xml:space="preserve">487.6 events/s</w:t>
            </w:r>
          </w:p>
        </w:tc>
        <w:tc>
          <w:tcPr>
            <w:tcW w:type="dxa" w:w="1444"/>
            <w:tcMar>
              <w:top w:type="dxa" w:w="80"/>
              <w:left w:type="dxa" w:w="100"/>
              <w:bottom w:type="dxa" w:w="80"/>
              <w:right w:type="dxa" w:w="100"/>
            </w:tcMar>
            <w:vAlign w:val="center"/>
          </w:tcPr>
          <w:p>
            <w:pPr>
              <w:jc w:val="left"/>
            </w:pPr>
            <w:r>
              <w:rPr>
                <w:b w:val="false"/>
                <w:bCs w:val="false"/>
                <w:color w:val="222222"/>
                <w:sz w:val="19"/>
                <w:szCs w:val="19"/>
              </w:rPr>
              <w:t xml:space="preserve">1.63 ms</w:t>
            </w:r>
          </w:p>
        </w:tc>
        <w:tc>
          <w:tcPr>
            <w:tcW w:type="dxa" w:w="1444"/>
            <w:tcMar>
              <w:top w:type="dxa" w:w="80"/>
              <w:left w:type="dxa" w:w="100"/>
              <w:bottom w:type="dxa" w:w="80"/>
              <w:right w:type="dxa" w:w="100"/>
            </w:tcMar>
            <w:vAlign w:val="center"/>
          </w:tcPr>
          <w:p>
            <w:pPr>
              <w:jc w:val="left"/>
            </w:pPr>
            <w:r>
              <w:rPr>
                <w:b w:val="false"/>
                <w:bCs w:val="false"/>
                <w:color w:val="222222"/>
                <w:sz w:val="19"/>
                <w:szCs w:val="19"/>
              </w:rPr>
              <w:t xml:space="preserve">7.32 ms</w:t>
            </w:r>
          </w:p>
        </w:tc>
      </w:tr>
    </w:tbl>
    <w:p>
      <w:pPr>
        <w:spacing w:after="120"/>
      </w:pPr>
    </w:p>
    <w:p>
      <w:pPr>
        <w:spacing w:after="160" w:line="300"/>
      </w:pPr>
      <w:r>
        <w:rPr>
          <w:color w:val="222222"/>
          <w:sz w:val="21"/>
          <w:szCs w:val="21"/>
        </w:rPr>
        <w:t xml:space="preserve">The drop-off between 300 and 1,500 events under per-event checkpointing is an honestly-surfaced, understood limitation: recomputing the Merkle root from scratch on every checkpoint is O(n) per call, making sustained per-event checkpointing O(n²) overall. The documented mitigation — checkpoint on a timer instead of after every event — is implemented and measured above at a flat ~488 events/s, independent of log size.</w:t>
      </w:r>
    </w:p>
    <w:p>
      <w:pPr>
        <w:pStyle w:val="Heading2"/>
        <w:spacing w:after="140" w:before="320"/>
      </w:pPr>
      <w:r>
        <w:rPr>
          <w:b/>
          <w:bCs/>
          <w:color w:val="0044A8"/>
        </w:rPr>
        <w:t xml:space="preserve">9.3 Live tamper-detection proof</w:t>
      </w:r>
    </w:p>
    <w:p>
      <w:pPr>
        <w:spacing w:after="160" w:line="300"/>
      </w:pPr>
      <w:r>
        <w:rPr>
          <w:color w:val="222222"/>
          <w:sz w:val="21"/>
          <w:szCs w:val="21"/>
        </w:rPr>
        <w:t xml:space="preserve">The integrity system's core claim was demonstrated live, not just asserted: a real evidence bundle was downloaded from the running system, a single byte was flipped in its raw evidence, and the standalone offline verifier was re-run against the modified bundle — it correctly failed verification and exited non-zero.</w:t>
      </w:r>
    </w:p>
    <w:p>
      <w:pPr>
        <w:pStyle w:val="Heading1"/>
        <w:pBdr>
          <w:bottom w:val="single" w:color="0044A8" w:sz="8" w:space="4"/>
        </w:pBdr>
        <w:spacing w:after="200" w:before="480"/>
      </w:pPr>
      <w:r>
        <w:rPr>
          <w:b/>
          <w:bCs/>
          <w:color w:val="0B2545"/>
        </w:rPr>
        <w:t xml:space="preserve">10. Benefits &amp; Impact</w:t>
      </w:r>
    </w:p>
    <w:p>
      <w:pPr>
        <w:pStyle w:val="Heading2"/>
        <w:spacing w:after="140" w:before="320"/>
      </w:pPr>
      <w:r>
        <w:rPr>
          <w:b/>
          <w:bCs/>
          <w:color w:val="0044A8"/>
        </w:rPr>
        <w:t xml:space="preserve">10.1 For a Security Operations Centre</w:t>
      </w:r>
    </w:p>
    <w:p>
      <w:pPr>
        <w:pStyle w:val="ListParagraph"/>
        <w:numPr>
          <w:ilvl w:val="0"/>
          <w:numId w:val="2"/>
        </w:numPr>
        <w:spacing w:after="90" w:line="290"/>
      </w:pPr>
      <w:r>
        <w:rPr>
          <w:color w:val="222222"/>
          <w:sz w:val="21"/>
          <w:szCs w:val="21"/>
        </w:rPr>
        <w:t xml:space="preserve">Faster source onboarding: a new, previously unseen log format can go from “unparseable” to “live in the pipeline” via an AI-assisted draft and a single human approval, rather than a multi-day custom-parser development cycle.</w:t>
      </w:r>
    </w:p>
    <w:p>
      <w:pPr>
        <w:pStyle w:val="ListParagraph"/>
        <w:numPr>
          <w:ilvl w:val="0"/>
          <w:numId w:val="2"/>
        </w:numPr>
        <w:spacing w:after="90" w:line="290"/>
      </w:pPr>
      <w:r>
        <w:rPr>
          <w:color w:val="222222"/>
          <w:sz w:val="21"/>
          <w:szCs w:val="21"/>
        </w:rPr>
        <w:t xml:space="preserve">No blind spots from format gaps: unparseable logs are clustered and surfaced for review rather than silently discarded — the dead-letter queue is a worklist, not a black hole.</w:t>
      </w:r>
    </w:p>
    <w:p>
      <w:pPr>
        <w:pStyle w:val="ListParagraph"/>
        <w:numPr>
          <w:ilvl w:val="0"/>
          <w:numId w:val="2"/>
        </w:numPr>
        <w:spacing w:after="90" w:line="290"/>
      </w:pPr>
      <w:r>
        <w:rPr>
          <w:color w:val="222222"/>
          <w:sz w:val="21"/>
          <w:szCs w:val="21"/>
        </w:rPr>
        <w:t xml:space="preserve">Continuous detection, not just on-demand: the 30-second background correlation/behaviour cycle means a multi-stage attack's later steps are flagged automatically as they happen, not only when an analyst manually re-runs a query.</w:t>
      </w:r>
    </w:p>
    <w:p>
      <w:pPr>
        <w:pStyle w:val="ListParagraph"/>
        <w:numPr>
          <w:ilvl w:val="0"/>
          <w:numId w:val="2"/>
        </w:numPr>
        <w:spacing w:after="90" w:line="290"/>
      </w:pPr>
      <w:r>
        <w:rPr>
          <w:color w:val="222222"/>
          <w:sz w:val="21"/>
          <w:szCs w:val="21"/>
        </w:rPr>
        <w:t xml:space="preserve">Defensible evidence: any stored event can be exported as a self-contained, independently verifiable evidence bundle — relevant to both internal incident response and external legal/regulatory proceedings.</w:t>
      </w:r>
    </w:p>
    <w:p>
      <w:pPr>
        <w:pStyle w:val="Heading2"/>
        <w:spacing w:after="140" w:before="320"/>
      </w:pPr>
      <w:r>
        <w:rPr>
          <w:b/>
          <w:bCs/>
          <w:color w:val="0044A8"/>
        </w:rPr>
        <w:t xml:space="preserve">10.2 For a Critical Sector Entity / regulator (multi-CSE supervisory model)</w:t>
      </w:r>
    </w:p>
    <w:p>
      <w:pPr>
        <w:pStyle w:val="ListParagraph"/>
        <w:numPr>
          <w:ilvl w:val="0"/>
          <w:numId w:val="2"/>
        </w:numPr>
        <w:spacing w:after="90" w:line="290"/>
      </w:pPr>
      <w:r>
        <w:rPr>
          <w:color w:val="222222"/>
          <w:sz w:val="21"/>
          <w:szCs w:val="21"/>
        </w:rPr>
        <w:t xml:space="preserve">A dedicated, aggregate-only supervisory view lets a regulator or oversight body monitor multiple Critical Sector Entities without being granted raw per-organization event access — privacy-preserving oversight by construction, not by policy alone.</w:t>
      </w:r>
    </w:p>
    <w:p>
      <w:pPr>
        <w:pStyle w:val="Heading2"/>
        <w:spacing w:after="140" w:before="320"/>
      </w:pPr>
      <w:r>
        <w:rPr>
          <w:b/>
          <w:bCs/>
          <w:color w:val="0044A8"/>
        </w:rPr>
        <w:t xml:space="preserve">10.3 For the developer/analyst extending the system</w:t>
      </w:r>
    </w:p>
    <w:p>
      <w:pPr>
        <w:pStyle w:val="ListParagraph"/>
        <w:numPr>
          <w:ilvl w:val="0"/>
          <w:numId w:val="2"/>
        </w:numPr>
        <w:spacing w:after="90" w:line="290"/>
      </w:pPr>
      <w:r>
        <w:rPr>
          <w:color w:val="222222"/>
          <w:sz w:val="21"/>
          <w:szCs w:val="21"/>
        </w:rPr>
        <w:t xml:space="preserve">Parser configurations are portable and cryptographically signed, so a validated parser built at one deployment can be shared to another with provenance intact, without standing up shared infrastructure.</w:t>
      </w:r>
    </w:p>
    <w:p>
      <w:pPr>
        <w:pStyle w:val="ListParagraph"/>
        <w:numPr>
          <w:ilvl w:val="0"/>
          <w:numId w:val="2"/>
        </w:numPr>
        <w:spacing w:after="90" w:line="290"/>
      </w:pPr>
      <w:r>
        <w:rPr>
          <w:color w:val="222222"/>
          <w:sz w:val="21"/>
          <w:szCs w:val="21"/>
        </w:rPr>
        <w:t xml:space="preserve">Every design decision in this project is documented alongside what was actually verified versus what remains aspirational — reducing the risk of a downstream team building on an assumption that was never actually true.</w:t>
      </w:r>
    </w:p>
    <w:p>
      <w:pPr>
        <w:pStyle w:val="Heading1"/>
        <w:pBdr>
          <w:bottom w:val="single" w:color="0044A8" w:sz="8" w:space="4"/>
        </w:pBdr>
        <w:spacing w:after="200" w:before="480"/>
      </w:pPr>
      <w:r>
        <w:rPr>
          <w:b/>
          <w:bCs/>
          <w:color w:val="0B2545"/>
        </w:rPr>
        <w:t xml:space="preserve">11. Feasibility Analysis</w:t>
      </w:r>
    </w:p>
    <w:p>
      <w:pPr>
        <w:pStyle w:val="Heading2"/>
        <w:spacing w:after="140" w:before="320"/>
      </w:pPr>
      <w:r>
        <w:rPr>
          <w:b/>
          <w:bCs/>
          <w:color w:val="0044A8"/>
        </w:rPr>
        <w:t xml:space="preserve">11.1 Technical feasibility</w:t>
      </w:r>
    </w:p>
    <w:p>
      <w:pPr>
        <w:spacing w:after="160" w:line="300"/>
      </w:pPr>
      <w:r>
        <w:rPr>
          <w:color w:val="222222"/>
          <w:sz w:val="21"/>
          <w:szCs w:val="21"/>
        </w:rPr>
        <w:t xml:space="preserve">Demonstrated, not theoretical: the entire pipeline described in this document is running code, exercised against 34,626 real log events spanning nine independently-sourced real corpora, with 160 passing automated tests and measured (not estimated) throughput numbers. The core technologies chosen — FastAPI, PostgreSQL, a Merkle-tree integrity design used in production by Certificate Transparency, standard cryptographic primitives (Ed25519, SHA-256, Fernet), and mainstream frontend tooling (React, Vite) — are all mature, widely deployed, and require no exotic infrastructure to run in production.</w:t>
      </w:r>
    </w:p>
    <w:p>
      <w:pPr>
        <w:pStyle w:val="Heading2"/>
        <w:spacing w:after="140" w:before="320"/>
      </w:pPr>
      <w:r>
        <w:rPr>
          <w:b/>
          <w:bCs/>
          <w:color w:val="0044A8"/>
        </w:rPr>
        <w:t xml:space="preserve">11.2 Operational feasibility</w:t>
      </w:r>
    </w:p>
    <w:p>
      <w:pPr>
        <w:spacing w:after="160" w:line="300"/>
      </w:pPr>
      <w:r>
        <w:rPr>
          <w:color w:val="222222"/>
          <w:sz w:val="21"/>
          <w:szCs w:val="21"/>
        </w:rPr>
        <w:t xml:space="preserve">The system is designed to degrade honestly rather than silently: optional integrations (MinIO, OpenSearch, Kafka/Redpanda) fail closed with a logged fallback rather than crashing the pipeline if unavailable; a misconfigured HSM refuses to sign rather than silently falling back to a weaker key; an unconfigured SMS gateway reports “not configured” rather than fabricating delivery. This design posture — visible failure over silent degradation — is directly relevant to operating the system safely in a real SOC, where a silently-broken guarantee is far more dangerous than a visibly-broken one.</w:t>
      </w:r>
    </w:p>
    <w:p>
      <w:pPr>
        <w:pStyle w:val="Heading2"/>
        <w:spacing w:after="140" w:before="320"/>
      </w:pPr>
      <w:r>
        <w:rPr>
          <w:b/>
          <w:bCs/>
          <w:color w:val="0044A8"/>
        </w:rPr>
        <w:t xml:space="preserve">11.3 Economic feasibility</w:t>
      </w:r>
    </w:p>
    <w:p>
      <w:pPr>
        <w:spacing w:after="160" w:line="300"/>
      </w:pPr>
      <w:r>
        <w:rPr>
          <w:color w:val="222222"/>
          <w:sz w:val="21"/>
          <w:szCs w:val="21"/>
        </w:rPr>
        <w:t xml:space="preserve">Every core dependency is open-source with no licensing cost (FastAPI, PostgreSQL, React, Drain3, the cryptography library). The one paid-service-shaped integration point — an SMS gateway for on-call notification — is abstracted behind a generic HTTP channel interface, so any commodity SMS provider can be plugged in without code changes. Hardware security module support is built against the PKCS#11 standard, meaning any compliant HSM (not a specific vendor) can be used where that level of key custody is required.</w:t>
      </w:r>
    </w:p>
    <w:p>
      <w:pPr>
        <w:pStyle w:val="Heading2"/>
        <w:spacing w:after="140" w:before="320"/>
      </w:pPr>
      <w:r>
        <w:rPr>
          <w:b/>
          <w:bCs/>
          <w:color w:val="0044A8"/>
        </w:rPr>
        <w:t xml:space="preserve">11.4 Scale feasibility — what is proven versus what is designed</w:t>
      </w:r>
    </w:p>
    <w:tbl>
      <w:tblPr>
        <w:tblW w:type="dxa" w:w="9026"/>
        <w:tblBorders>
          <w:top w:val="single" w:color="B9C4D3" w:sz="4"/>
          <w:left w:val="single" w:color="B9C4D3" w:sz="4"/>
          <w:bottom w:val="single" w:color="B9C4D3" w:sz="4"/>
          <w:right w:val="single" w:color="B9C4D3" w:sz="4"/>
          <w:insideH w:val="single" w:color="D7DEE8" w:sz="4"/>
          <w:insideV w:val="single" w:color="D7DEE8" w:sz="4"/>
        </w:tblBorders>
      </w:tblPr>
      <w:tblGrid>
        <w:gridCol w:w="4062"/>
        <w:gridCol w:w="4964"/>
      </w:tblGrid>
      <w:tr>
        <w:trPr>
          <w:tblHeader/>
        </w:trPr>
        <w:tc>
          <w:tcPr>
            <w:tcW w:type="dxa" w:w="4062"/>
            <w:shd w:fill="0B2545" w:val="clear"/>
            <w:tcMar>
              <w:top w:type="dxa" w:w="80"/>
              <w:left w:type="dxa" w:w="100"/>
              <w:bottom w:type="dxa" w:w="80"/>
              <w:right w:type="dxa" w:w="100"/>
            </w:tcMar>
            <w:vAlign w:val="center"/>
          </w:tcPr>
          <w:p>
            <w:pPr>
              <w:jc w:val="left"/>
            </w:pPr>
            <w:r>
              <w:rPr>
                <w:b/>
                <w:bCs/>
                <w:color w:val="FFFFFF"/>
                <w:sz w:val="19"/>
                <w:szCs w:val="19"/>
              </w:rPr>
              <w:t xml:space="preserve">Claim</w:t>
            </w:r>
          </w:p>
        </w:tc>
        <w:tc>
          <w:tcPr>
            <w:tcW w:type="dxa" w:w="4964"/>
            <w:shd w:fill="0B2545" w:val="clear"/>
            <w:tcMar>
              <w:top w:type="dxa" w:w="80"/>
              <w:left w:type="dxa" w:w="100"/>
              <w:bottom w:type="dxa" w:w="80"/>
              <w:right w:type="dxa" w:w="100"/>
            </w:tcMar>
            <w:vAlign w:val="center"/>
          </w:tcPr>
          <w:p>
            <w:pPr>
              <w:jc w:val="left"/>
            </w:pPr>
            <w:r>
              <w:rPr>
                <w:b/>
                <w:bCs/>
                <w:color w:val="FFFFFF"/>
                <w:sz w:val="19"/>
                <w:szCs w:val="19"/>
              </w:rPr>
              <w:t xml:space="preserve">Status</w:t>
            </w:r>
          </w:p>
        </w:tc>
      </w:tr>
      <w:tr>
        <w:tc>
          <w:tcPr>
            <w:tcW w:type="dxa" w:w="4062"/>
            <w:tcMar>
              <w:top w:type="dxa" w:w="80"/>
              <w:left w:type="dxa" w:w="100"/>
              <w:bottom w:type="dxa" w:w="80"/>
              <w:right w:type="dxa" w:w="100"/>
            </w:tcMar>
            <w:vAlign w:val="center"/>
          </w:tcPr>
          <w:p>
            <w:pPr>
              <w:jc w:val="left"/>
            </w:pPr>
            <w:r>
              <w:rPr>
                <w:b w:val="false"/>
                <w:bCs w:val="false"/>
                <w:color w:val="222222"/>
                <w:sz w:val="19"/>
                <w:szCs w:val="19"/>
              </w:rPr>
              <w:t xml:space="preserve">Pipeline correctness against real, heterogeneous data</w:t>
            </w:r>
          </w:p>
        </w:tc>
        <w:tc>
          <w:tcPr>
            <w:tcW w:type="dxa" w:w="4964"/>
            <w:tcMar>
              <w:top w:type="dxa" w:w="80"/>
              <w:left w:type="dxa" w:w="100"/>
              <w:bottom w:type="dxa" w:w="80"/>
              <w:right w:type="dxa" w:w="100"/>
            </w:tcMar>
            <w:vAlign w:val="center"/>
          </w:tcPr>
          <w:p>
            <w:pPr>
              <w:jc w:val="left"/>
            </w:pPr>
            <w:r>
              <w:rPr>
                <w:b w:val="false"/>
                <w:bCs w:val="false"/>
                <w:color w:val="222222"/>
                <w:sz w:val="19"/>
                <w:szCs w:val="19"/>
              </w:rPr>
              <w:t xml:space="preserve">Proven — 34,626 real events, 99.9% success, 9 real corpora</w:t>
            </w:r>
          </w:p>
        </w:tc>
      </w:tr>
      <w:tr>
        <w:tc>
          <w:tcPr>
            <w:tcW w:type="dxa" w:w="4062"/>
            <w:shd w:fill="F4F7FB" w:val="clear"/>
            <w:tcMar>
              <w:top w:type="dxa" w:w="80"/>
              <w:left w:type="dxa" w:w="100"/>
              <w:bottom w:type="dxa" w:w="80"/>
              <w:right w:type="dxa" w:w="100"/>
            </w:tcMar>
            <w:vAlign w:val="center"/>
          </w:tcPr>
          <w:p>
            <w:pPr>
              <w:jc w:val="left"/>
            </w:pPr>
            <w:r>
              <w:rPr>
                <w:b w:val="false"/>
                <w:bCs w:val="false"/>
                <w:color w:val="222222"/>
                <w:sz w:val="19"/>
                <w:szCs w:val="19"/>
              </w:rPr>
              <w:t xml:space="preserve">Single-process/SQLite throughput</w:t>
            </w:r>
          </w:p>
        </w:tc>
        <w:tc>
          <w:tcPr>
            <w:tcW w:type="dxa" w:w="496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Measured — up to ~488 events/s sustained (checkpoint-on-timer mode)</w:t>
            </w:r>
          </w:p>
        </w:tc>
      </w:tr>
      <w:tr>
        <w:tc>
          <w:tcPr>
            <w:tcW w:type="dxa" w:w="4062"/>
            <w:tcMar>
              <w:top w:type="dxa" w:w="80"/>
              <w:left w:type="dxa" w:w="100"/>
              <w:bottom w:type="dxa" w:w="80"/>
              <w:right w:type="dxa" w:w="100"/>
            </w:tcMar>
            <w:vAlign w:val="center"/>
          </w:tcPr>
          <w:p>
            <w:pPr>
              <w:jc w:val="left"/>
            </w:pPr>
            <w:r>
              <w:rPr>
                <w:b w:val="false"/>
                <w:bCs w:val="false"/>
                <w:color w:val="222222"/>
                <w:sz w:val="19"/>
                <w:szCs w:val="19"/>
              </w:rPr>
              <w:t xml:space="preserve">PostgreSQL under concurrent production load</w:t>
            </w:r>
          </w:p>
        </w:tc>
        <w:tc>
          <w:tcPr>
            <w:tcW w:type="dxa" w:w="4964"/>
            <w:tcMar>
              <w:top w:type="dxa" w:w="80"/>
              <w:left w:type="dxa" w:w="100"/>
              <w:bottom w:type="dxa" w:w="80"/>
              <w:right w:type="dxa" w:w="100"/>
            </w:tcMar>
            <w:vAlign w:val="center"/>
          </w:tcPr>
          <w:p>
            <w:pPr>
              <w:jc w:val="left"/>
            </w:pPr>
            <w:r>
              <w:rPr>
                <w:b w:val="false"/>
                <w:bCs w:val="false"/>
                <w:color w:val="222222"/>
                <w:sz w:val="19"/>
                <w:szCs w:val="19"/>
              </w:rPr>
              <w:t xml:space="preserve">Designed and documented as the production default; not load-tested in this environment</w:t>
            </w:r>
          </w:p>
        </w:tc>
      </w:tr>
      <w:tr>
        <w:tc>
          <w:tcPr>
            <w:tcW w:type="dxa" w:w="4062"/>
            <w:shd w:fill="F4F7FB" w:val="clear"/>
            <w:tcMar>
              <w:top w:type="dxa" w:w="80"/>
              <w:left w:type="dxa" w:w="100"/>
              <w:bottom w:type="dxa" w:w="80"/>
              <w:right w:type="dxa" w:w="100"/>
            </w:tcMar>
            <w:vAlign w:val="center"/>
          </w:tcPr>
          <w:p>
            <w:pPr>
              <w:jc w:val="left"/>
            </w:pPr>
            <w:r>
              <w:rPr>
                <w:b w:val="false"/>
                <w:bCs w:val="false"/>
                <w:color w:val="222222"/>
                <w:sz w:val="19"/>
                <w:szCs w:val="19"/>
              </w:rPr>
              <w:t xml:space="preserve">Kafka-backed asynchronous ingestion</w:t>
            </w:r>
          </w:p>
        </w:tc>
        <w:tc>
          <w:tcPr>
            <w:tcW w:type="dxa" w:w="496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Verified correct end-to-end against a real broker; not throughput-benchmarked</w:t>
            </w:r>
          </w:p>
        </w:tc>
      </w:tr>
      <w:tr>
        <w:tc>
          <w:tcPr>
            <w:tcW w:type="dxa" w:w="4062"/>
            <w:tcMar>
              <w:top w:type="dxa" w:w="80"/>
              <w:left w:type="dxa" w:w="100"/>
              <w:bottom w:type="dxa" w:w="80"/>
              <w:right w:type="dxa" w:w="100"/>
            </w:tcMar>
            <w:vAlign w:val="center"/>
          </w:tcPr>
          <w:p>
            <w:pPr>
              <w:jc w:val="left"/>
            </w:pPr>
            <w:r>
              <w:rPr>
                <w:b w:val="false"/>
                <w:bCs w:val="false"/>
                <w:color w:val="222222"/>
                <w:sz w:val="19"/>
                <w:szCs w:val="19"/>
              </w:rPr>
              <w:t xml:space="preserve">Kubernetes deployment</w:t>
            </w:r>
          </w:p>
        </w:tc>
        <w:tc>
          <w:tcPr>
            <w:tcW w:type="dxa" w:w="4964"/>
            <w:tcMar>
              <w:top w:type="dxa" w:w="80"/>
              <w:left w:type="dxa" w:w="100"/>
              <w:bottom w:type="dxa" w:w="80"/>
              <w:right w:type="dxa" w:w="100"/>
            </w:tcMar>
            <w:vAlign w:val="center"/>
          </w:tcPr>
          <w:p>
            <w:pPr>
              <w:jc w:val="left"/>
            </w:pPr>
            <w:r>
              <w:rPr>
                <w:b w:val="false"/>
                <w:bCs w:val="false"/>
                <w:color w:val="222222"/>
                <w:sz w:val="19"/>
                <w:szCs w:val="19"/>
              </w:rPr>
              <w:t xml:space="preserve">Manifests schema-validated (20/20) against Kubernetes 1.31's real API; not cluster-tested (no Docker/kind host available)</w:t>
            </w:r>
          </w:p>
        </w:tc>
      </w:tr>
      <w:tr>
        <w:tc>
          <w:tcPr>
            <w:tcW w:type="dxa" w:w="4062"/>
            <w:shd w:fill="F4F7FB" w:val="clear"/>
            <w:tcMar>
              <w:top w:type="dxa" w:w="80"/>
              <w:left w:type="dxa" w:w="100"/>
              <w:bottom w:type="dxa" w:w="80"/>
              <w:right w:type="dxa" w:w="100"/>
            </w:tcMar>
            <w:vAlign w:val="center"/>
          </w:tcPr>
          <w:p>
            <w:pPr>
              <w:jc w:val="left"/>
            </w:pPr>
            <w:r>
              <w:rPr>
                <w:b w:val="false"/>
                <w:bCs w:val="false"/>
                <w:color w:val="222222"/>
                <w:sz w:val="19"/>
                <w:szCs w:val="19"/>
              </w:rPr>
              <w:t xml:space="preserve">HSM-backed signing</w:t>
            </w:r>
          </w:p>
        </w:tc>
        <w:tc>
          <w:tcPr>
            <w:tcW w:type="dxa" w:w="4964"/>
            <w:shd w:fill="F4F7FB" w:val="clear"/>
            <w:tcMar>
              <w:top w:type="dxa" w:w="80"/>
              <w:left w:type="dxa" w:w="100"/>
              <w:bottom w:type="dxa" w:w="80"/>
              <w:right w:type="dxa" w:w="100"/>
            </w:tcMar>
            <w:vAlign w:val="center"/>
          </w:tcPr>
          <w:p>
            <w:pPr>
              <w:jc w:val="left"/>
            </w:pPr>
            <w:r>
              <w:rPr>
                <w:b w:val="false"/>
                <w:bCs w:val="false"/>
                <w:color w:val="222222"/>
                <w:sz w:val="19"/>
                <w:szCs w:val="19"/>
              </w:rPr>
              <w:t xml:space="preserve">Verified live against a real SoftHSM2 software token; a production HSM/KMS is the documented next step</w:t>
            </w:r>
          </w:p>
        </w:tc>
      </w:tr>
    </w:tbl>
    <w:p>
      <w:pPr>
        <w:pStyle w:val="Heading1"/>
        <w:pBdr>
          <w:bottom w:val="single" w:color="0044A8" w:sz="8" w:space="4"/>
        </w:pBdr>
        <w:spacing w:after="200" w:before="480"/>
      </w:pPr>
      <w:r>
        <w:rPr>
          <w:b/>
          <w:bCs/>
          <w:color w:val="0B2545"/>
        </w:rPr>
        <w:t xml:space="preserve">12. Honest Limitations &amp; Known Gaps</w:t>
      </w:r>
    </w:p>
    <w:p>
      <w:pPr>
        <w:spacing w:after="160" w:line="300"/>
      </w:pPr>
      <w:r>
        <w:rPr>
          <w:color w:val="222222"/>
          <w:sz w:val="21"/>
          <w:szCs w:val="21"/>
        </w:rPr>
        <w:t xml:space="preserve">Consistent with this project's own standing principle — no fabricated claims, no silently-hidden gaps — the limitations below are stated exactly as they stand, in the same terms used internally.</w:t>
      </w:r>
    </w:p>
    <w:p>
      <w:pPr>
        <w:pStyle w:val="ListParagraph"/>
        <w:numPr>
          <w:ilvl w:val="0"/>
          <w:numId w:val="2"/>
        </w:numPr>
        <w:spacing w:after="90" w:line="290"/>
      </w:pPr>
      <w:r>
        <w:rPr>
          <w:color w:val="222222"/>
          <w:sz w:val="21"/>
          <w:szCs w:val="21"/>
        </w:rPr>
        <w:t xml:space="preserve">The default signing key is a file on disk (HSM-backed signing exists and is verified, but is not the default).</w:t>
      </w:r>
    </w:p>
    <w:p>
      <w:pPr>
        <w:pStyle w:val="ListParagraph"/>
        <w:numPr>
          <w:ilvl w:val="0"/>
          <w:numId w:val="2"/>
        </w:numPr>
        <w:spacing w:after="90" w:line="290"/>
      </w:pPr>
      <w:r>
        <w:rPr>
          <w:color w:val="222222"/>
          <w:sz w:val="21"/>
          <w:szCs w:val="21"/>
        </w:rPr>
        <w:t xml:space="preserve">No automated key rotation or revocation exists yet.</w:t>
      </w:r>
    </w:p>
    <w:p>
      <w:pPr>
        <w:pStyle w:val="ListParagraph"/>
        <w:numPr>
          <w:ilvl w:val="0"/>
          <w:numId w:val="2"/>
        </w:numPr>
        <w:spacing w:after="90" w:line="290"/>
      </w:pPr>
      <w:r>
        <w:rPr>
          <w:color w:val="222222"/>
          <w:sz w:val="21"/>
          <w:szCs w:val="21"/>
        </w:rPr>
        <w:t xml:space="preserve">SQLite is this project's own tested store; PostgreSQL is the documented production default but has not been load-tested at scale in this environment.</w:t>
      </w:r>
    </w:p>
    <w:p>
      <w:pPr>
        <w:pStyle w:val="ListParagraph"/>
        <w:numPr>
          <w:ilvl w:val="0"/>
          <w:numId w:val="2"/>
        </w:numPr>
        <w:spacing w:after="90" w:line="290"/>
      </w:pPr>
      <w:r>
        <w:rPr>
          <w:color w:val="222222"/>
          <w:sz w:val="21"/>
          <w:szCs w:val="21"/>
        </w:rPr>
        <w:t xml:space="preserve">The Kubernetes manifests are schema-valid but not cluster-tested, for lack of an available Docker/kind host in this environment.</w:t>
      </w:r>
    </w:p>
    <w:p>
      <w:pPr>
        <w:pStyle w:val="ListParagraph"/>
        <w:numPr>
          <w:ilvl w:val="0"/>
          <w:numId w:val="2"/>
        </w:numPr>
        <w:spacing w:after="90" w:line="290"/>
      </w:pPr>
      <w:r>
        <w:rPr>
          <w:color w:val="222222"/>
          <w:sz w:val="21"/>
          <w:szCs w:val="21"/>
        </w:rPr>
        <w:t xml:space="preserve">A trained ML risk classifier was built and deliberately not shipped after live validation showed it was confounded by log format rather than genuine malice — reported honestly rather than shipped on the strength of a misleading 100% test-accuracy number.</w:t>
      </w:r>
    </w:p>
    <w:p>
      <w:pPr>
        <w:pStyle w:val="ListParagraph"/>
        <w:numPr>
          <w:ilvl w:val="0"/>
          <w:numId w:val="2"/>
        </w:numPr>
        <w:spacing w:after="90" w:line="290"/>
      </w:pPr>
      <w:r>
        <w:rPr>
          <w:color w:val="222222"/>
          <w:sz w:val="21"/>
          <w:szCs w:val="21"/>
        </w:rPr>
        <w:t xml:space="preserve">The behavioural anomaly agent (“Sentinel”) detects statistical novelty relative to an entity's own history, not malice directly — a legitimate new but unusual business process will register the same as a real anomaly, and the system does not claim otherwise.</w:t>
      </w:r>
    </w:p>
    <w:p>
      <w:pPr>
        <w:pStyle w:val="ListParagraph"/>
        <w:numPr>
          <w:ilvl w:val="0"/>
          <w:numId w:val="2"/>
        </w:numPr>
        <w:spacing w:after="90" w:line="290"/>
      </w:pPr>
      <w:r>
        <w:rPr>
          <w:color w:val="222222"/>
          <w:sz w:val="21"/>
          <w:szCs w:val="21"/>
        </w:rPr>
        <w:t xml:space="preserve">The three starter correlation rules currently match nothing against this project's real seeded dataset — verified and explained per-rule (e.g. a precondition met by exactly one real IP, with no correspondingly severe follow-on event in the data) rather than loosened to force a match.</w:t>
      </w:r>
    </w:p>
    <w:p>
      <w:pPr>
        <w:pStyle w:val="ListParagraph"/>
        <w:numPr>
          <w:ilvl w:val="0"/>
          <w:numId w:val="2"/>
        </w:numPr>
        <w:spacing w:after="90" w:line="290"/>
      </w:pPr>
      <w:r>
        <w:rPr>
          <w:color w:val="222222"/>
          <w:sz w:val="21"/>
          <w:szCs w:val="21"/>
        </w:rPr>
        <w:t xml:space="preserve">SMS notification delivery is real, working code, but has never sent a real SMS — no gateway account exists in this environment, and the system honestly reports “not configured” rather than fabricating delivery.</w:t>
      </w:r>
    </w:p>
    <w:p>
      <w:pPr>
        <w:pStyle w:val="ListParagraph"/>
        <w:numPr>
          <w:ilvl w:val="0"/>
          <w:numId w:val="2"/>
        </w:numPr>
        <w:spacing w:after="90" w:line="290"/>
      </w:pPr>
      <w:r>
        <w:rPr>
          <w:color w:val="222222"/>
          <w:sz w:val="21"/>
          <w:szCs w:val="21"/>
        </w:rPr>
        <w:t xml:space="preserve">The evidence bundle's legal certificate (domestic and international sections) is explicitly a draft, marked “review with legal counsel” — not a certification.</w:t>
      </w:r>
    </w:p>
    <w:p>
      <w:pPr>
        <w:pStyle w:val="ListParagraph"/>
        <w:numPr>
          <w:ilvl w:val="0"/>
          <w:numId w:val="2"/>
        </w:numPr>
        <w:spacing w:after="90" w:line="290"/>
      </w:pPr>
      <w:r>
        <w:rPr>
          <w:color w:val="222222"/>
          <w:sz w:val="21"/>
          <w:szCs w:val="21"/>
        </w:rPr>
        <w:t xml:space="preserve">One vendor source pack (Palo Alto) uses a hand-written, honestly-flagged synthetic sample, because no trustworthy real public sample could be found after checking eight sources.</w:t>
      </w:r>
    </w:p>
    <w:p>
      <w:pPr>
        <w:pStyle w:val="Heading1"/>
        <w:pBdr>
          <w:bottom w:val="single" w:color="0044A8" w:sz="8" w:space="4"/>
        </w:pBdr>
        <w:spacing w:after="200" w:before="480"/>
      </w:pPr>
      <w:r>
        <w:rPr>
          <w:b/>
          <w:bCs/>
          <w:color w:val="0B2545"/>
        </w:rPr>
        <w:t xml:space="preserve">13. Future Roadmap</w:t>
      </w:r>
    </w:p>
    <w:p>
      <w:pPr>
        <w:pStyle w:val="ListParagraph"/>
        <w:numPr>
          <w:ilvl w:val="0"/>
          <w:numId w:val="2"/>
        </w:numPr>
        <w:spacing w:after="90" w:line="290"/>
      </w:pPr>
      <w:r>
        <w:rPr>
          <w:color w:val="222222"/>
          <w:sz w:val="21"/>
          <w:szCs w:val="21"/>
        </w:rPr>
        <w:t xml:space="preserve">Incremental (O(log n)) Merkle checkpointing, removing the current O(n²) per-event-checkpointing throughput tradeoff entirely.</w:t>
      </w:r>
    </w:p>
    <w:p>
      <w:pPr>
        <w:pStyle w:val="ListParagraph"/>
        <w:numPr>
          <w:ilvl w:val="0"/>
          <w:numId w:val="2"/>
        </w:numPr>
        <w:spacing w:after="90" w:line="290"/>
      </w:pPr>
      <w:r>
        <w:rPr>
          <w:color w:val="222222"/>
          <w:sz w:val="21"/>
          <w:szCs w:val="21"/>
        </w:rPr>
        <w:t xml:space="preserve">Automated key rotation and revocation for checkpoint-signing keys.</w:t>
      </w:r>
    </w:p>
    <w:p>
      <w:pPr>
        <w:pStyle w:val="ListParagraph"/>
        <w:numPr>
          <w:ilvl w:val="0"/>
          <w:numId w:val="2"/>
        </w:numPr>
        <w:spacing w:after="90" w:line="290"/>
      </w:pPr>
      <w:r>
        <w:rPr>
          <w:color w:val="222222"/>
          <w:sz w:val="21"/>
          <w:szCs w:val="21"/>
        </w:rPr>
        <w:t xml:space="preserve">Live cluster testing of the Kubernetes deployment once a Docker/kind-capable host is available.</w:t>
      </w:r>
    </w:p>
    <w:p>
      <w:pPr>
        <w:pStyle w:val="ListParagraph"/>
        <w:numPr>
          <w:ilvl w:val="0"/>
          <w:numId w:val="2"/>
        </w:numPr>
        <w:spacing w:after="90" w:line="290"/>
      </w:pPr>
      <w:r>
        <w:rPr>
          <w:color w:val="222222"/>
          <w:sz w:val="21"/>
          <w:szCs w:val="21"/>
        </w:rPr>
        <w:t xml:space="preserve">Production load-testing against PostgreSQL under concurrent, networked access.</w:t>
      </w:r>
    </w:p>
    <w:p>
      <w:pPr>
        <w:pStyle w:val="ListParagraph"/>
        <w:numPr>
          <w:ilvl w:val="0"/>
          <w:numId w:val="2"/>
        </w:numPr>
        <w:spacing w:after="90" w:line="290"/>
      </w:pPr>
      <w:r>
        <w:rPr>
          <w:color w:val="222222"/>
          <w:sz w:val="21"/>
          <w:szCs w:val="21"/>
        </w:rPr>
        <w:t xml:space="preserve">A real, usage-driven alert-triage model, once the case-management workflow (already built) accumulates real analyst decisions to learn from — rather than borrowing a domain-mismatched external dataset.</w:t>
      </w:r>
    </w:p>
    <w:p>
      <w:pPr>
        <w:pStyle w:val="ListParagraph"/>
        <w:numPr>
          <w:ilvl w:val="0"/>
          <w:numId w:val="2"/>
        </w:numPr>
        <w:spacing w:after="90" w:line="290"/>
      </w:pPr>
      <w:r>
        <w:rPr>
          <w:color w:val="222222"/>
          <w:sz w:val="21"/>
          <w:szCs w:val="21"/>
        </w:rPr>
        <w:t xml:space="preserve">Additional real vendor source packs as genuine public samples become available (Palo Alto remains the one open gap).</w:t>
      </w:r>
    </w:p>
    <w:p>
      <w:pPr>
        <w:pStyle w:val="ListParagraph"/>
        <w:numPr>
          <w:ilvl w:val="0"/>
          <w:numId w:val="2"/>
        </w:numPr>
        <w:spacing w:after="90" w:line="290"/>
      </w:pPr>
      <w:r>
        <w:rPr>
          <w:color w:val="222222"/>
          <w:sz w:val="21"/>
          <w:szCs w:val="21"/>
        </w:rPr>
        <w:t xml:space="preserve">Expanded syslog listener load-testing in an environment where a live network socket test is possible.</w:t>
      </w:r>
    </w:p>
    <w:p>
      <w:pPr>
        <w:pStyle w:val="Heading1"/>
        <w:pBdr>
          <w:bottom w:val="single" w:color="0044A8" w:sz="8" w:space="4"/>
        </w:pBdr>
        <w:spacing w:after="200" w:before="480"/>
      </w:pPr>
      <w:r>
        <w:rPr>
          <w:b/>
          <w:bCs/>
          <w:color w:val="0B2545"/>
        </w:rPr>
        <w:t xml:space="preserve">14. Conclusion</w:t>
      </w:r>
    </w:p>
    <w:p>
      <w:pPr>
        <w:spacing w:after="160" w:line="300"/>
      </w:pPr>
      <w:r>
        <w:rPr>
          <w:color w:val="222222"/>
          <w:sz w:val="21"/>
          <w:szCs w:val="21"/>
        </w:rPr>
        <w:t xml:space="preserve">ULPF demonstrates that the core hard problem in security log ingestion — heterogeneous formats, ambiguous field mappings, and the need for provable, tamper-evident storage — can be solved with a single coherent pipeline rather than a patchwork of vendor-specific scripts. Every claim in this document is grounded in code that runs today, tested against real, independently-sourced data, with honest disclosure of what remains aspirational rather than proven.</w:t>
      </w:r>
    </w:p>
    <w:p>
      <w:pPr>
        <w:spacing w:after="160" w:line="300"/>
      </w:pPr>
      <w:r>
        <w:rPr>
          <w:color w:val="222222"/>
          <w:sz w:val="21"/>
          <w:szCs w:val="21"/>
        </w:rPr>
        <w:t xml:space="preserve">The system currently processes real log data spanning nine distinct public corpora across thirteen formats at a 99.9% parse success rate, backed by 160 automated tests and a cryptographic integrity system whose central guarantee — tamper detection, independent of the application itself — has been proven live, not just asserted. That combination of breadth (format coverage), depth (integrity guarantees), and honesty (explicit, documented limitations) is what this submission offers as its contribution to Problem Statement 26156.</w:t>
      </w:r>
    </w:p>
    <w:p>
      <w:pPr>
        <w:spacing w:after="200"/>
      </w:pPr>
    </w:p>
    <w:p>
      <w:pPr>
        <w:pBdr>
          <w:top w:val="single" w:color="B9C4D3" w:sz="6" w:space="8"/>
        </w:pBdr>
        <w:spacing w:before="300"/>
      </w:pPr>
      <w:r>
        <w:rPr>
          <w:i/>
          <w:iCs/>
          <w:color w:val="595959"/>
          <w:sz w:val="18"/>
          <w:szCs w:val="18"/>
        </w:rPr>
        <w:t xml:space="preserve">Document generated from the live ULPF codebase and running system. All figures in this document reflect the actual state of the system at time of writing and are reproducible against the source code and its automated test suite.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ULPF Project Documentation — SIH PS 26156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libri" w:cs="Calibri" w:eastAsia="Calibri" w:hAnsi="Calibri"/>
      <w:b/>
      <w:bCs/>
      <w:color w:val="0B2545"/>
      <w:sz w:val="32"/>
      <w:szCs w:val="32"/>
    </w:rPr>
  </w:style>
  <w:style w:type="paragraph" w:styleId="Heading2">
    <w:name w:val="Heading 2"/>
    <w:basedOn w:val="Normal"/>
    <w:next w:val="Normal"/>
    <w:qFormat/>
    <w:pPr>
      <w:spacing w:after="140" w:before="320"/>
    </w:pPr>
    <w:rPr>
      <w:rFonts w:ascii="Calibri" w:cs="Calibri" w:eastAsia="Calibri" w:hAnsi="Calibri"/>
      <w:b/>
      <w:bCs/>
      <w:color w:val="0044A8"/>
      <w:sz w:val="26"/>
      <w:szCs w:val="26"/>
    </w:rPr>
  </w:style>
  <w:style w:type="paragraph" w:styleId="Heading3">
    <w:name w:val="Heading 3"/>
    <w:basedOn w:val="Normal"/>
    <w:next w:val="Normal"/>
    <w:qFormat/>
    <w:pPr>
      <w:spacing w:after="100" w:before="220"/>
    </w:pPr>
    <w:rPr>
      <w:rFonts w:ascii="Calibri" w:cs="Calibri" w:eastAsia="Calibri" w:hAnsi="Calibri"/>
      <w:b/>
      <w:bCs/>
      <w:color w:val="0B254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ULPF — Universal Log Pre-processing Framework — Project Documentation</dc:title>
  <dc:creator>ULPF Project Team</dc:creator>
  <dc:description>Project documentation for ULPF, built for Smart India Hackathon Problem Statement 26156.</dc:description>
  <cp:lastModifiedBy>Un-named</cp:lastModifiedBy>
  <cp:revision>1</cp:revision>
  <dcterms:created xsi:type="dcterms:W3CDTF">2026-09-29T14:36:01.800Z</dcterms:created>
  <dcterms:modified xsi:type="dcterms:W3CDTF">2026-09-29T14:36:01.804Z</dcterms:modified>
</cp:coreProperties>
</file>

<file path=docProps/custom.xml><?xml version="1.0" encoding="utf-8"?>
<Properties xmlns="http://schemas.openxmlformats.org/officeDocument/2006/custom-properties" xmlns:vt="http://schemas.openxmlformats.org/officeDocument/2006/docPropsVTypes"/>
</file>