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4.0.4-ardix-abbrev</w:t>
      </w:r>
    </w:p>
    <w:p>
      <w:pPr>
        <w:pStyle w:val="TextBody"/>
        <w:rPr/>
      </w:pPr>
      <w:r>
        <w:rPr>
          <w:i/>
        </w:rPr>
        <w:t>Last update: 2017-10-11</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"http://purl.org/Avraham.Bernstein/cv/ardix/full.html"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"http://purl.org/Avraham.Bernstein/cv/ardix/full.html"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"http://purl.org/Avraham.Bernstein/cv/ardix/full.html"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"http://purl.org/Avraham.Bernstein/cv/ardix/full.html"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"http://purl.org/Avraham.Bernstein/cv/ardix/full.html" \l "optimet"</w:instrText>
      </w:r>
      <w:r>
        <w:fldChar w:fldCharType="separate"/>
      </w:r>
      <w:r>
        <w:rPr>
          <w:rStyle w:val="InternetLink"/>
        </w:rPr>
        <w:t>Newport-Optimet</w:t>
      </w:r>
      <w:r>
        <w:fldChar w:fldCharType="end"/>
      </w:r>
      <w:r>
        <w:rPr/>
        <w:t xml:space="preserve">, </w:t>
      </w:r>
      <w:r>
        <w:fldChar w:fldCharType="begin"/>
      </w:r>
      <w:r>
        <w:instrText> HYPERLINK "http://purl.org/Avraham.Bernstein/cv/ardix/full.html"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"http://purl.org/Avraham.Bernstein/cv/ardix/full.html"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"http://purl.org/Avraham.Bernstein/cv/ardix/full.html" \l "elop"</w:instrText>
      </w:r>
      <w:r>
        <w:fldChar w:fldCharType="separate"/>
      </w:r>
      <w:r>
        <w:rPr>
          <w:rStyle w:val="InternetLink"/>
        </w:rPr>
        <w:t>Elbit-Elop</w:t>
      </w:r>
      <w:r>
        <w:fldChar w:fldCharType="end"/>
      </w:r>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"http://purl.org/Avraham.Bernstein/cv/ardix/full.html"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"agritech"</w:instrText>
      </w:r>
      <w:r>
        <w:fldChar w:fldCharType="separate"/>
      </w:r>
      <w:r>
        <w:rPr>
          <w:rStyle w:val="InternetLink"/>
        </w:rPr>
        <w:t>Nigeria</w:t>
      </w:r>
      <w:r>
        <w:fldChar w:fldCharType="end"/>
      </w:r>
      <w:r>
        <w:rPr/>
        <w:t xml:space="preserve">, </w:t>
      </w:r>
      <w:r>
        <w:fldChar w:fldCharType="begin"/>
      </w:r>
      <w:r>
        <w:instrText> HYPERLINK "http://purl.org/Avraham.Bernstein/cv/ardix/full.html"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"http://purl.org/Avraham.Bernstein/cv/ardix/full.html"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"http://purl.org/Avraham.Bernstein/cv/ardix/full.html"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2017-10-11,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pdf"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pdf"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3835</Words>
  <Characters>21652</Characters>
  <CharactersWithSpaces>25228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2017-10-11T09:00:50Z</dcterms:created>
  <dc:creator/>
  <dc:description/>
  <dc:language>en-US</dc:language>
  <cp:lastModifiedBy>Avraham Bernstein</cp:lastModifiedBy>
  <dcterms:modified xsi:type="dcterms:W3CDTF">2017-10-12T22:15:33Z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