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ahoma" w:cs="Tahoma" w:eastAsia="Tahoma" w:hAnsi="Tahoma"/>
          <w:color w:val="ffffff"/>
          <w:sz w:val="33"/>
          <w:szCs w:val="33"/>
          <w:shd w:fill="22262b" w:val="clear"/>
        </w:rPr>
      </w:pPr>
      <w:r w:rsidDel="00000000" w:rsidR="00000000" w:rsidRPr="00000000">
        <w:rPr>
          <w:rFonts w:ascii="Tahoma" w:cs="Tahoma" w:eastAsia="Tahoma" w:hAnsi="Tahoma"/>
          <w:color w:val="ffffff"/>
          <w:sz w:val="33"/>
          <w:szCs w:val="33"/>
          <w:shd w:fill="22262b" w:val="clear"/>
          <w:rtl w:val="1"/>
        </w:rPr>
        <w:t xml:space="preserve">משנתו</w:t>
      </w:r>
      <w:r w:rsidDel="00000000" w:rsidR="00000000" w:rsidRPr="00000000">
        <w:rPr>
          <w:rFonts w:ascii="Tahoma" w:cs="Tahoma" w:eastAsia="Tahoma" w:hAnsi="Tahoma"/>
          <w:color w:val="ffffff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33"/>
          <w:szCs w:val="33"/>
          <w:shd w:fill="22262b" w:val="clear"/>
          <w:rtl w:val="1"/>
        </w:rPr>
        <w:t xml:space="preserve">ההלכתית</w:t>
      </w:r>
      <w:r w:rsidDel="00000000" w:rsidR="00000000" w:rsidRPr="00000000">
        <w:rPr>
          <w:rFonts w:ascii="Tahoma" w:cs="Tahoma" w:eastAsia="Tahoma" w:hAnsi="Tahoma"/>
          <w:color w:val="ffffff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33"/>
          <w:szCs w:val="33"/>
          <w:shd w:fill="22262b" w:val="clear"/>
          <w:rtl w:val="1"/>
        </w:rPr>
        <w:t xml:space="preserve">ופועלו</w:t>
      </w:r>
      <w:r w:rsidDel="00000000" w:rsidR="00000000" w:rsidRPr="00000000">
        <w:rPr>
          <w:rFonts w:ascii="Tahoma" w:cs="Tahoma" w:eastAsia="Tahoma" w:hAnsi="Tahoma"/>
          <w:color w:val="ffffff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33"/>
          <w:szCs w:val="33"/>
          <w:shd w:fill="22262b" w:val="clear"/>
          <w:rtl w:val="1"/>
        </w:rPr>
        <w:t xml:space="preserve">הציבורי</w:t>
      </w:r>
      <w:r w:rsidDel="00000000" w:rsidR="00000000" w:rsidRPr="00000000">
        <w:rPr>
          <w:rFonts w:ascii="Tahoma" w:cs="Tahoma" w:eastAsia="Tahoma" w:hAnsi="Tahoma"/>
          <w:color w:val="ffffff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33"/>
          <w:szCs w:val="33"/>
          <w:shd w:fill="22262b" w:val="clear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color w:val="ffffff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33"/>
          <w:szCs w:val="33"/>
          <w:shd w:fill="22262b" w:val="clear"/>
          <w:rtl w:val="1"/>
        </w:rPr>
        <w:t xml:space="preserve">רבי</w:t>
      </w:r>
      <w:r w:rsidDel="00000000" w:rsidR="00000000" w:rsidRPr="00000000">
        <w:rPr>
          <w:rFonts w:ascii="Tahoma" w:cs="Tahoma" w:eastAsia="Tahoma" w:hAnsi="Tahoma"/>
          <w:color w:val="ffffff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33"/>
          <w:szCs w:val="33"/>
          <w:shd w:fill="22262b" w:val="clear"/>
          <w:rtl w:val="1"/>
        </w:rPr>
        <w:t xml:space="preserve">אברהם</w:t>
      </w:r>
      <w:r w:rsidDel="00000000" w:rsidR="00000000" w:rsidRPr="00000000">
        <w:rPr>
          <w:rFonts w:ascii="Tahoma" w:cs="Tahoma" w:eastAsia="Tahoma" w:hAnsi="Tahoma"/>
          <w:color w:val="ffffff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33"/>
          <w:szCs w:val="33"/>
          <w:shd w:fill="22262b" w:val="clear"/>
          <w:rtl w:val="1"/>
        </w:rPr>
        <w:t xml:space="preserve">קלויזנר</w:t>
      </w:r>
      <w:r w:rsidDel="00000000" w:rsidR="00000000" w:rsidRPr="00000000">
        <w:rPr>
          <w:rFonts w:ascii="Tahoma" w:cs="Tahoma" w:eastAsia="Tahoma" w:hAnsi="Tahoma"/>
          <w:color w:val="ffffff"/>
          <w:sz w:val="33"/>
          <w:szCs w:val="33"/>
          <w:shd w:fill="22262b" w:val="clear"/>
          <w:rtl w:val="1"/>
        </w:rPr>
        <w:t xml:space="preserve"> (</w:t>
      </w:r>
      <w:r w:rsidDel="00000000" w:rsidR="00000000" w:rsidRPr="00000000">
        <w:rPr>
          <w:rFonts w:ascii="Tahoma" w:cs="Tahoma" w:eastAsia="Tahoma" w:hAnsi="Tahoma"/>
          <w:color w:val="ffffff"/>
          <w:sz w:val="33"/>
          <w:szCs w:val="33"/>
          <w:shd w:fill="22262b" w:val="clear"/>
          <w:rtl w:val="1"/>
        </w:rPr>
        <w:t xml:space="preserve">מהרא</w:t>
      </w:r>
      <w:r w:rsidDel="00000000" w:rsidR="00000000" w:rsidRPr="00000000">
        <w:rPr>
          <w:rFonts w:ascii="Tahoma" w:cs="Tahoma" w:eastAsia="Tahoma" w:hAnsi="Tahoma"/>
          <w:color w:val="ffffff"/>
          <w:sz w:val="33"/>
          <w:szCs w:val="33"/>
          <w:shd w:fill="22262b" w:val="clear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color w:val="ffffff"/>
          <w:sz w:val="33"/>
          <w:szCs w:val="33"/>
          <w:shd w:fill="22262b" w:val="clear"/>
          <w:rtl w:val="1"/>
        </w:rPr>
        <w:t xml:space="preserve">ק</w:t>
      </w:r>
      <w:r w:rsidDel="00000000" w:rsidR="00000000" w:rsidRPr="00000000">
        <w:rPr>
          <w:rFonts w:ascii="Tahoma" w:cs="Tahoma" w:eastAsia="Tahoma" w:hAnsi="Tahoma"/>
          <w:color w:val="ffffff"/>
          <w:sz w:val="33"/>
          <w:szCs w:val="33"/>
          <w:shd w:fill="22262b" w:val="clear"/>
          <w:rtl w:val="1"/>
        </w:rPr>
        <w:t xml:space="preserve">): </w:t>
      </w:r>
      <w:r w:rsidDel="00000000" w:rsidR="00000000" w:rsidRPr="00000000">
        <w:rPr>
          <w:rFonts w:ascii="Tahoma" w:cs="Tahoma" w:eastAsia="Tahoma" w:hAnsi="Tahoma"/>
          <w:color w:val="ffffff"/>
          <w:sz w:val="33"/>
          <w:szCs w:val="33"/>
          <w:shd w:fill="22262b" w:val="clear"/>
          <w:rtl w:val="1"/>
        </w:rPr>
        <w:t xml:space="preserve">מעצב</w:t>
      </w:r>
      <w:r w:rsidDel="00000000" w:rsidR="00000000" w:rsidRPr="00000000">
        <w:rPr>
          <w:rFonts w:ascii="Tahoma" w:cs="Tahoma" w:eastAsia="Tahoma" w:hAnsi="Tahoma"/>
          <w:color w:val="ffffff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33"/>
          <w:szCs w:val="33"/>
          <w:shd w:fill="22262b" w:val="clear"/>
          <w:rtl w:val="1"/>
        </w:rPr>
        <w:t xml:space="preserve">דמותו</w:t>
      </w:r>
      <w:r w:rsidDel="00000000" w:rsidR="00000000" w:rsidRPr="00000000">
        <w:rPr>
          <w:rFonts w:ascii="Tahoma" w:cs="Tahoma" w:eastAsia="Tahoma" w:hAnsi="Tahoma"/>
          <w:color w:val="ffffff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33"/>
          <w:szCs w:val="33"/>
          <w:shd w:fill="22262b" w:val="clear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color w:val="ffffff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33"/>
          <w:szCs w:val="33"/>
          <w:shd w:fill="22262b" w:val="clear"/>
          <w:rtl w:val="1"/>
        </w:rPr>
        <w:t xml:space="preserve">מנהג</w:t>
      </w:r>
      <w:r w:rsidDel="00000000" w:rsidR="00000000" w:rsidRPr="00000000">
        <w:rPr>
          <w:rFonts w:ascii="Tahoma" w:cs="Tahoma" w:eastAsia="Tahoma" w:hAnsi="Tahoma"/>
          <w:color w:val="ffffff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33"/>
          <w:szCs w:val="33"/>
          <w:shd w:fill="22262b" w:val="clear"/>
          <w:rtl w:val="1"/>
        </w:rPr>
        <w:t xml:space="preserve">אשכנז</w:t>
      </w:r>
      <w:r w:rsidDel="00000000" w:rsidR="00000000" w:rsidRPr="00000000">
        <w:rPr>
          <w:rFonts w:ascii="Tahoma" w:cs="Tahoma" w:eastAsia="Tahoma" w:hAnsi="Tahoma"/>
          <w:color w:val="ffffff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33"/>
          <w:szCs w:val="33"/>
          <w:shd w:fill="22262b" w:val="clear"/>
          <w:rtl w:val="1"/>
        </w:rPr>
        <w:t xml:space="preserve">בעת</w:t>
      </w:r>
      <w:r w:rsidDel="00000000" w:rsidR="00000000" w:rsidRPr="00000000">
        <w:rPr>
          <w:rFonts w:ascii="Tahoma" w:cs="Tahoma" w:eastAsia="Tahoma" w:hAnsi="Tahoma"/>
          <w:color w:val="ffffff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33"/>
          <w:szCs w:val="33"/>
          <w:shd w:fill="22262b" w:val="clear"/>
          <w:rtl w:val="1"/>
        </w:rPr>
        <w:t xml:space="preserve">החדשה</w:t>
      </w:r>
      <w:r w:rsidDel="00000000" w:rsidR="00000000" w:rsidRPr="00000000">
        <w:rPr>
          <w:rFonts w:ascii="Tahoma" w:cs="Tahoma" w:eastAsia="Tahoma" w:hAnsi="Tahoma"/>
          <w:color w:val="ffffff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33"/>
          <w:szCs w:val="33"/>
          <w:shd w:fill="22262b" w:val="clear"/>
          <w:rtl w:val="1"/>
        </w:rPr>
        <w:t xml:space="preserve">המוקדמת</w:t>
      </w:r>
    </w:p>
    <w:p w:rsidR="00000000" w:rsidDel="00000000" w:rsidP="00000000" w:rsidRDefault="00000000" w:rsidRPr="00000000" w14:paraId="00000002">
      <w:pPr>
        <w:shd w:fill="2f334b" w:val="clear"/>
        <w:bidi w:val="1"/>
        <w:rPr>
          <w:rFonts w:ascii="Tahoma" w:cs="Tahoma" w:eastAsia="Tahoma" w:hAnsi="Tahoma"/>
          <w:color w:val="ffffff"/>
          <w:sz w:val="21"/>
          <w:szCs w:val="21"/>
          <w:shd w:fill="22262b" w:val="clear"/>
        </w:rPr>
      </w:pP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2f334b" w:val="clear"/>
        <w:bidi w:val="1"/>
        <w:spacing w:after="240" w:before="240" w:lineRule="auto"/>
        <w:rPr>
          <w:rFonts w:ascii="Tahoma" w:cs="Tahoma" w:eastAsia="Tahoma" w:hAnsi="Tahoma"/>
          <w:color w:val="ffffff"/>
          <w:sz w:val="21"/>
          <w:szCs w:val="21"/>
          <w:shd w:fill="22262b" w:val="clear"/>
        </w:rPr>
      </w:pP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הטקסט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סוקר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פועלו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אברהם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קלויזנר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(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המהרא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ק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),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דמות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מפתח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בהנהגה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היהודית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בווינה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המאה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-14,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אשר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פעל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לשיקום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עולם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התורה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באשכנז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לאחר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פרעות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המגפה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השחורה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".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המקור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מציג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ספר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המנהגים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שיצר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כמהפכה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תרבותית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שכן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העלה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המנהג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המקומי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למעמד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סמכות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הלכתית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מחייבת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שנועדה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לשמר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הזהות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הקהילתית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בתקופת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משבר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מעבר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לתיעוד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הליטורגיה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וההלכה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המאמר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מדגיש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השפעתו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המכרעת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דורות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הבאים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החל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מתלמידיו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המובהקים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ועד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להטמעת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פסיקותיו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מפה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הרמ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השולחן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הערוך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בכך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המהרא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ק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מתואר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כגשר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היסטורי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שחיבר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בין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מסורות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הראשונים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לבין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העיצוב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הסופי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מנהג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אשכנז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בעת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החדשה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ahoma" w:cs="Tahoma" w:eastAsia="Tahoma" w:hAnsi="Tahoma"/>
          <w:color w:val="ffffff"/>
          <w:sz w:val="21"/>
          <w:szCs w:val="21"/>
          <w:shd w:fill="22262b" w:val="clear"/>
        </w:rPr>
      </w:pP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משנתו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ההלכתית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ופועלו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הציבורי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אברהם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קלויזנר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(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מהרא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ק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):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מעצב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דמותו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מנהג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אשכנז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בעת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החדשה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המוקדמת</w:t>
      </w:r>
    </w:p>
    <w:p w:rsidR="00000000" w:rsidDel="00000000" w:rsidP="00000000" w:rsidRDefault="00000000" w:rsidRPr="00000000" w14:paraId="00000005">
      <w:pPr>
        <w:bidi w:val="1"/>
        <w:rPr>
          <w:rFonts w:ascii="Tahoma" w:cs="Tahoma" w:eastAsia="Tahoma" w:hAnsi="Tahoma"/>
          <w:color w:val="ffffff"/>
          <w:sz w:val="21"/>
          <w:szCs w:val="21"/>
          <w:shd w:fill="22262b" w:val="clear"/>
        </w:rPr>
      </w:pP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המאה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הארבע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-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עשרה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למניינם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סימנה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אחת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התקופות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המטלטלות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והמשמעותיות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ביותר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בתולדות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יהדות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אשכנז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לאחר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חורבן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הקהילות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המרכזיות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לאורך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נהר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הריין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בעקבות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פרעות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המגפה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השחורה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" (1348–1350),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עמד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העולם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היהודי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באירופה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בפני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משבר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זהותי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והמשכי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חסר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תקדים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בתוך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ואקום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מנהיגותי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זה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עלתה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דמותו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אברהם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קלויזנר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הידוע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בכינוי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מהרא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ק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(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נפטר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בסביבות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'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קס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ט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-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'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ק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ע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; 1407/1408),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אשר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פועלו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בווינה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הפך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לצומת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הכרעה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בהתפתחות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ההלכה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והמנהג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.[1, 2]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אברהם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קלויזנר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לא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היה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רק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פוסק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הלכה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מקומי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אלא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אדריכל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מערכת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שימור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תרבותית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שבחר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בתיעוד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המנהג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ככלי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לשיקום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הקהילה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היהודית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לאחר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החורבן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.[1, 2]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דוח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זה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יסקור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לעומק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הביוגרפיה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שלו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קשריו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עם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גדולי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דורו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מתודולוגיית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כתיבתו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ההלכתית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ואת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השפעתו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המכרעת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המפה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הרמ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ועל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עיצוב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פני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היהדות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האשכנזית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לדורותיה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.[2, 3]</w:t>
      </w:r>
    </w:p>
    <w:p w:rsidR="00000000" w:rsidDel="00000000" w:rsidP="00000000" w:rsidRDefault="00000000" w:rsidRPr="00000000" w14:paraId="00000006">
      <w:pPr>
        <w:bidi w:val="1"/>
        <w:rPr>
          <w:rFonts w:ascii="Tahoma" w:cs="Tahoma" w:eastAsia="Tahoma" w:hAnsi="Tahoma"/>
          <w:color w:val="ffffff"/>
          <w:sz w:val="21"/>
          <w:szCs w:val="21"/>
          <w:shd w:fill="22262b" w:val="clear"/>
        </w:rPr>
      </w:pP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פרק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: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וינה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כמרכז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התורה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החדש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והקשר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הביוגרפי</w:t>
      </w:r>
    </w:p>
    <w:p w:rsidR="00000000" w:rsidDel="00000000" w:rsidP="00000000" w:rsidRDefault="00000000" w:rsidRPr="00000000" w14:paraId="00000007">
      <w:pPr>
        <w:bidi w:val="1"/>
        <w:rPr>
          <w:rFonts w:ascii="Tahoma" w:cs="Tahoma" w:eastAsia="Tahoma" w:hAnsi="Tahoma"/>
          <w:color w:val="ffffff"/>
          <w:sz w:val="21"/>
          <w:szCs w:val="21"/>
          <w:shd w:fill="22262b" w:val="clear"/>
        </w:rPr>
      </w:pP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המעבר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מרכז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הכובד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התורני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מגרמניה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(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אשכנז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המערבית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)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לאוסטריה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(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אשכנז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המזרחית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)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היה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תהליך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היסטורי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שנכפה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העם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היהודי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בעקבות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הרדיפות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וינה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המאה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-14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הפכה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לעיר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מקלט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עבור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פליטי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הקהילות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החרבות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ובה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צמחה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חכמי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אוסטריה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",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חבורה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תלמידי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חכמים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שביקשו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למזג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תורת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צרפת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ואשכנז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הקדומה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עם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המציאות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החדשה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.[1, 4]</w:t>
      </w:r>
    </w:p>
    <w:p w:rsidR="00000000" w:rsidDel="00000000" w:rsidP="00000000" w:rsidRDefault="00000000" w:rsidRPr="00000000" w14:paraId="00000008">
      <w:pPr>
        <w:bidi w:val="1"/>
        <w:rPr>
          <w:rFonts w:ascii="Tahoma" w:cs="Tahoma" w:eastAsia="Tahoma" w:hAnsi="Tahoma"/>
          <w:color w:val="ffffff"/>
          <w:sz w:val="21"/>
          <w:szCs w:val="21"/>
          <w:shd w:fill="22262b" w:val="clear"/>
        </w:rPr>
      </w:pP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ראשית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חייו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ורבותיו</w:t>
      </w:r>
    </w:p>
    <w:p w:rsidR="00000000" w:rsidDel="00000000" w:rsidP="00000000" w:rsidRDefault="00000000" w:rsidRPr="00000000" w14:paraId="00000009">
      <w:pPr>
        <w:bidi w:val="1"/>
        <w:rPr>
          <w:rFonts w:ascii="Tahoma" w:cs="Tahoma" w:eastAsia="Tahoma" w:hAnsi="Tahoma"/>
          <w:color w:val="ffffff"/>
          <w:sz w:val="21"/>
          <w:szCs w:val="21"/>
          <w:shd w:fill="22262b" w:val="clear"/>
        </w:rPr>
      </w:pP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אברהם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קלויזנר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נולד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בסביבות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שנת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'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ק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' (1341)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למשפחת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חכמים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מיוחסת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עיקר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תורתו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קנה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מפי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משה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מצנאים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(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0"/>
        </w:rPr>
        <w:t xml:space="preserve">Znaim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),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שהיה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מהדמויות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הבולטות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בתקופתו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.[1, 2]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השפעתו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משה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מצנאים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תלמידו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הייתה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עמוקה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וניכרת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בדגש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ששם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המהרא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ק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דיוק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במסורות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שבעל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פה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ועל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נאמנות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למקורות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הראשוניים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חכמי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אשכנז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.[1]</w:t>
      </w:r>
    </w:p>
    <w:p w:rsidR="00000000" w:rsidDel="00000000" w:rsidP="00000000" w:rsidRDefault="00000000" w:rsidRPr="00000000" w14:paraId="0000000A">
      <w:pPr>
        <w:bidi w:val="1"/>
        <w:rPr>
          <w:rFonts w:ascii="Tahoma" w:cs="Tahoma" w:eastAsia="Tahoma" w:hAnsi="Tahoma"/>
          <w:color w:val="ffffff"/>
          <w:sz w:val="21"/>
          <w:szCs w:val="21"/>
          <w:shd w:fill="22262b" w:val="clear"/>
        </w:rPr>
      </w:pP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בסביבות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שנת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1380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כבר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פעל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המהרא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ק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בווינה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כדמות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מנהיגותית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מוכרת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חלק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כס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הרבנות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וההנהגה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עם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מאיר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בן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ברוך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הלוי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(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המהר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ס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),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שנחשב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לאחד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מחשובי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הפוסקים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בדורו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וממי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שחידש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מוסד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ההסמכה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לרבנות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בתואר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מורנו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".[4, 5]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קיומה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הנהגה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כפולה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זו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בווינה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מעיד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חשיבותה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הקהילה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ועל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המורכבות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ההלכתית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שנדרשה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לניהול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הציבור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בתקופת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שיקום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המהרא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ק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ככל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הנראה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שימש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גם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כראש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ישיבה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בווינה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העמיד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תלמידים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שהפכו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ברבות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הימים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למנהיגי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הדור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הבא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.[2]</w:t>
      </w:r>
    </w:p>
    <w:p w:rsidR="00000000" w:rsidDel="00000000" w:rsidP="00000000" w:rsidRDefault="00000000" w:rsidRPr="00000000" w14:paraId="0000000B">
      <w:pPr>
        <w:bidi w:val="1"/>
        <w:rPr>
          <w:rFonts w:ascii="Tahoma" w:cs="Tahoma" w:eastAsia="Tahoma" w:hAnsi="Tahoma"/>
          <w:color w:val="ffffff"/>
          <w:sz w:val="21"/>
          <w:szCs w:val="21"/>
          <w:shd w:fill="22262b" w:val="clear"/>
        </w:rPr>
      </w:pP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מעגלי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קשר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משפחתיים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ותורניים</w:t>
      </w:r>
    </w:p>
    <w:p w:rsidR="00000000" w:rsidDel="00000000" w:rsidP="00000000" w:rsidRDefault="00000000" w:rsidRPr="00000000" w14:paraId="0000000C">
      <w:pPr>
        <w:bidi w:val="1"/>
        <w:rPr>
          <w:rFonts w:ascii="Tahoma" w:cs="Tahoma" w:eastAsia="Tahoma" w:hAnsi="Tahoma"/>
          <w:color w:val="ffffff"/>
          <w:sz w:val="21"/>
          <w:szCs w:val="21"/>
          <w:shd w:fill="22262b" w:val="clear"/>
        </w:rPr>
      </w:pP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חשיבותו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המהרא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ק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נגזרת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גם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מהיותו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חוליה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מרכזית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ברשת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משפחתית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גדולי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תורה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היה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גיסו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הקדוש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אהרן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מנוישטאדט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(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המכונה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בלומליין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),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מחבר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הלכות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נידה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ואחד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מגדולי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החכמים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שנהרגו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קידוש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השם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בפרעות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וינה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בשנת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1421.[1]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קשר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משפחתי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נוסף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בעל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משמעות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היסטורית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כבירה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היותו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דודו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ורבו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ישראל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איסרליין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בעל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תרומת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הדשן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".[1]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דרך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רשת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קשרים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זו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עברה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תורת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המהרא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ק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בצינורות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המרכזיים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עולם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ההלכה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האשכנזי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.</w:t>
      </w:r>
    </w:p>
    <w:tbl>
      <w:tblPr>
        <w:tblStyle w:val="Table1"/>
        <w:bidiVisual w:val="1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5e5e5e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jc w:val="center"/>
              <w:rPr>
                <w:rFonts w:ascii="Tahoma" w:cs="Tahoma" w:eastAsia="Tahoma" w:hAnsi="Tahoma"/>
                <w:b w:val="1"/>
                <w:bCs w:val="1"/>
                <w:color w:val="ffffff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ffffff"/>
                <w:sz w:val="21"/>
                <w:szCs w:val="21"/>
                <w:shd w:fill="22262b" w:val="clear"/>
                <w:rtl w:val="1"/>
              </w:rPr>
              <w:t xml:space="preserve">דמות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5e5e5e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jc w:val="center"/>
              <w:rPr>
                <w:rFonts w:ascii="Tahoma" w:cs="Tahoma" w:eastAsia="Tahoma" w:hAnsi="Tahoma"/>
                <w:b w:val="1"/>
                <w:bCs w:val="1"/>
                <w:color w:val="ffffff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ffffff"/>
                <w:sz w:val="21"/>
                <w:szCs w:val="21"/>
                <w:shd w:fill="22262b" w:val="clear"/>
                <w:rtl w:val="1"/>
              </w:rPr>
              <w:t xml:space="preserve">תפקיד</w:t>
            </w: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ffffff"/>
                <w:sz w:val="21"/>
                <w:szCs w:val="21"/>
                <w:shd w:fill="22262b" w:val="clear"/>
                <w:rtl w:val="1"/>
              </w:rPr>
              <w:t xml:space="preserve">/</w:t>
            </w: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ffffff"/>
                <w:sz w:val="21"/>
                <w:szCs w:val="21"/>
                <w:shd w:fill="22262b" w:val="clear"/>
                <w:rtl w:val="1"/>
              </w:rPr>
              <w:t xml:space="preserve">קשר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5e5e5e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jc w:val="center"/>
              <w:rPr>
                <w:rFonts w:ascii="Tahoma" w:cs="Tahoma" w:eastAsia="Tahoma" w:hAnsi="Tahoma"/>
                <w:b w:val="1"/>
                <w:bCs w:val="1"/>
                <w:color w:val="ffffff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ffffff"/>
                <w:sz w:val="21"/>
                <w:szCs w:val="21"/>
                <w:shd w:fill="22262b" w:val="clear"/>
                <w:rtl w:val="1"/>
              </w:rPr>
              <w:t xml:space="preserve">חשיבות</w:t>
            </w: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ffffff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ffffff"/>
                <w:sz w:val="21"/>
                <w:szCs w:val="21"/>
                <w:shd w:fill="22262b" w:val="clear"/>
                <w:rtl w:val="1"/>
              </w:rPr>
              <w:t xml:space="preserve">היסטורית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רבי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משה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מצנאים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רבו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המובהק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העביר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את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מסורות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אשכנז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הקדומות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למהרא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"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ק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 [1]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רבי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מאיר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בן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ברוך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הלוי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עמית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להנהגה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מייסד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שיטת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ההסמכה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 "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מורנו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" 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בווינה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 [4, 5]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רבי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אהרן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מנוישטאדט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גיס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מחשובי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חכמי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אוסטריה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, 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נהרג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בפרעות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 1421 [1]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רבי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ישראל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איסרליין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אחיין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ותלמיד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בעל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 "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תרומת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הדשן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", 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גדול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פוסקי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אשכנז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במאה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ה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-15 [1]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רבי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שלום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מנוישטאדט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בן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דור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ועמית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מהפוסקים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המשפיעים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על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מנהגי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אוסטריה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 [2, 4]</w:t>
            </w:r>
          </w:p>
        </w:tc>
      </w:tr>
    </w:tbl>
    <w:p w:rsidR="00000000" w:rsidDel="00000000" w:rsidP="00000000" w:rsidRDefault="00000000" w:rsidRPr="00000000" w14:paraId="0000001F">
      <w:pPr>
        <w:bidi w:val="1"/>
        <w:rPr>
          <w:rFonts w:ascii="Tahoma" w:cs="Tahoma" w:eastAsia="Tahoma" w:hAnsi="Tahoma"/>
          <w:color w:val="ffffff"/>
          <w:sz w:val="21"/>
          <w:szCs w:val="21"/>
          <w:shd w:fill="22262b" w:val="clear"/>
        </w:rPr>
      </w:pP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פרק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: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ספר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המנהגים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-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המפעל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המונומנטלי</w:t>
      </w:r>
    </w:p>
    <w:p w:rsidR="00000000" w:rsidDel="00000000" w:rsidP="00000000" w:rsidRDefault="00000000" w:rsidRPr="00000000" w14:paraId="00000020">
      <w:pPr>
        <w:bidi w:val="1"/>
        <w:rPr>
          <w:rFonts w:ascii="Tahoma" w:cs="Tahoma" w:eastAsia="Tahoma" w:hAnsi="Tahoma"/>
          <w:color w:val="ffffff"/>
          <w:sz w:val="21"/>
          <w:szCs w:val="21"/>
          <w:shd w:fill="22262b" w:val="clear"/>
        </w:rPr>
      </w:pP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תרומתו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המרכזית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המהרא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ק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לדורות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היא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ספר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המנהגים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",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המכונה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לעיתים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קרובות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מנהגי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מהרא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ק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".[6, 7]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חשיבותו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חיבור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זה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חורגת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מעבר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לתיעוד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טכני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;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זהו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הניסיון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המקיף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הראשון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להעמיד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המנהג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המקומי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והעדתי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כנושא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למחקר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והצפנה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הלכתית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עצמאית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.[1]</w:t>
      </w:r>
    </w:p>
    <w:p w:rsidR="00000000" w:rsidDel="00000000" w:rsidP="00000000" w:rsidRDefault="00000000" w:rsidRPr="00000000" w14:paraId="00000021">
      <w:pPr>
        <w:bidi w:val="1"/>
        <w:rPr>
          <w:rFonts w:ascii="Tahoma" w:cs="Tahoma" w:eastAsia="Tahoma" w:hAnsi="Tahoma"/>
          <w:color w:val="ffffff"/>
          <w:sz w:val="21"/>
          <w:szCs w:val="21"/>
          <w:shd w:fill="22262b" w:val="clear"/>
        </w:rPr>
      </w:pP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מתודולוגיית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הכתיבה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וההתהוות</w:t>
      </w:r>
    </w:p>
    <w:p w:rsidR="00000000" w:rsidDel="00000000" w:rsidP="00000000" w:rsidRDefault="00000000" w:rsidRPr="00000000" w14:paraId="00000022">
      <w:pPr>
        <w:bidi w:val="1"/>
        <w:rPr>
          <w:rFonts w:ascii="Tahoma" w:cs="Tahoma" w:eastAsia="Tahoma" w:hAnsi="Tahoma"/>
          <w:color w:val="ffffff"/>
          <w:sz w:val="21"/>
          <w:szCs w:val="21"/>
          <w:shd w:fill="22262b" w:val="clear"/>
        </w:rPr>
      </w:pP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התהוותו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הספר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מלמדת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הענווה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ועל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הדיוק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המדעי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המהרא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ק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הספר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לא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נכתב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מלכתחילה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כחיבור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עצמאי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אלא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החל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כקובץ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הגהות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שרשם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המהרא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ק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גבי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ספר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מנהגים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קדום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יותר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ככל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הנראה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חיבורו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חיים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פלטיאל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בן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דורו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המהר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מרוטנבורג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.[1]</w:t>
      </w:r>
    </w:p>
    <w:p w:rsidR="00000000" w:rsidDel="00000000" w:rsidP="00000000" w:rsidRDefault="00000000" w:rsidRPr="00000000" w14:paraId="00000023">
      <w:pPr>
        <w:bidi w:val="1"/>
        <w:rPr>
          <w:rFonts w:ascii="Tahoma" w:cs="Tahoma" w:eastAsia="Tahoma" w:hAnsi="Tahoma"/>
          <w:color w:val="ffffff"/>
          <w:sz w:val="21"/>
          <w:szCs w:val="21"/>
          <w:shd w:fill="22262b" w:val="clear"/>
        </w:rPr>
      </w:pP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המהרא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ק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הוסיף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בשולי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הגליון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הערות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הסברים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ועדכונים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המבוססים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שראה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ושמע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בבית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מדרשם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רבותיו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בווינה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המעבר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מהגהות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לספר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שלם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התרחש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כאשר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מעתיקים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ומדפיסים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מאוחרים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יותר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שילבו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הערותיו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לתוך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גוף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הטקסט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עד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שהן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הפכו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לחלק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בלתי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נפרד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מהחיבור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המזוהה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עמו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.[1]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תופעה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זו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מדגישה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הסמכות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שיוחסה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לדבריו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;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דבריו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לא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נתפסו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כהערות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חיצוניות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אלא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כתיקון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וכהשלמה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הכרחיים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לגוף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המסורת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.</w:t>
      </w:r>
    </w:p>
    <w:p w:rsidR="00000000" w:rsidDel="00000000" w:rsidP="00000000" w:rsidRDefault="00000000" w:rsidRPr="00000000" w14:paraId="00000024">
      <w:pPr>
        <w:bidi w:val="1"/>
        <w:rPr>
          <w:rFonts w:ascii="Tahoma" w:cs="Tahoma" w:eastAsia="Tahoma" w:hAnsi="Tahoma"/>
          <w:color w:val="ffffff"/>
          <w:sz w:val="21"/>
          <w:szCs w:val="21"/>
          <w:shd w:fill="22262b" w:val="clear"/>
        </w:rPr>
      </w:pP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מבנה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הספר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ותכניו</w:t>
      </w:r>
    </w:p>
    <w:p w:rsidR="00000000" w:rsidDel="00000000" w:rsidP="00000000" w:rsidRDefault="00000000" w:rsidRPr="00000000" w14:paraId="00000025">
      <w:pPr>
        <w:bidi w:val="1"/>
        <w:rPr>
          <w:rFonts w:ascii="Tahoma" w:cs="Tahoma" w:eastAsia="Tahoma" w:hAnsi="Tahoma"/>
          <w:color w:val="ffffff"/>
          <w:sz w:val="21"/>
          <w:szCs w:val="21"/>
          <w:shd w:fill="22262b" w:val="clear"/>
        </w:rPr>
      </w:pP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הספר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מסודר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פי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סדר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לוח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השנה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העברי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החל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מחודש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אלול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.[2]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בחירה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זו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אינה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מקרית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;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היא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משקפת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המרכזיות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תקופת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הימים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הנוראים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בחיי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הקהילה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ואת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הצורך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בהסדרת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מנהגי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התפילה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והסליחות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שהיו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נתונים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לשינויים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בין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קהילה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לקהילה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.</w:t>
      </w:r>
    </w:p>
    <w:p w:rsidR="00000000" w:rsidDel="00000000" w:rsidP="00000000" w:rsidRDefault="00000000" w:rsidRPr="00000000" w14:paraId="00000026">
      <w:pPr>
        <w:numPr>
          <w:ilvl w:val="0"/>
          <w:numId w:val="3"/>
        </w:numPr>
        <w:bidi w:val="1"/>
        <w:spacing w:after="0" w:afterAutospacing="0" w:before="240" w:lineRule="auto"/>
        <w:ind w:left="720" w:hanging="360"/>
        <w:rPr>
          <w:color w:val="ffffff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color w:val="ffffff"/>
          <w:sz w:val="21"/>
          <w:szCs w:val="21"/>
          <w:shd w:fill="22262b" w:val="clear"/>
          <w:rtl w:val="1"/>
        </w:rPr>
        <w:t xml:space="preserve">מנהגי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ffffff"/>
          <w:sz w:val="21"/>
          <w:szCs w:val="21"/>
          <w:shd w:fill="22262b" w:val="clear"/>
          <w:rtl w:val="1"/>
        </w:rPr>
        <w:t xml:space="preserve">התפילה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ffffff"/>
          <w:sz w:val="21"/>
          <w:szCs w:val="21"/>
          <w:shd w:fill="22262b" w:val="clear"/>
          <w:rtl w:val="1"/>
        </w:rPr>
        <w:t xml:space="preserve">והליטורגיה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: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תיעוד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מדויק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נוסחאות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הברכות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סדרי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הקדיש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ושינויי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התפילה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בשבתות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ובמועדים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.[2]</w:t>
      </w:r>
    </w:p>
    <w:p w:rsidR="00000000" w:rsidDel="00000000" w:rsidP="00000000" w:rsidRDefault="00000000" w:rsidRPr="00000000" w14:paraId="00000027">
      <w:pPr>
        <w:numPr>
          <w:ilvl w:val="0"/>
          <w:numId w:val="3"/>
        </w:numPr>
        <w:bidi w:val="1"/>
        <w:spacing w:after="0" w:afterAutospacing="0" w:before="0" w:beforeAutospacing="0" w:lineRule="auto"/>
        <w:ind w:left="720" w:hanging="360"/>
        <w:rPr>
          <w:color w:val="ffffff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color w:val="ffffff"/>
          <w:sz w:val="21"/>
          <w:szCs w:val="21"/>
          <w:shd w:fill="22262b" w:val="clear"/>
          <w:rtl w:val="1"/>
        </w:rPr>
        <w:t xml:space="preserve">מעגל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ffffff"/>
          <w:sz w:val="21"/>
          <w:szCs w:val="21"/>
          <w:shd w:fill="22262b" w:val="clear"/>
          <w:rtl w:val="1"/>
        </w:rPr>
        <w:t xml:space="preserve">השנה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: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הלכות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ומנהגים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המיוחדים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לחגים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בדגש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סדר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הפסח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והלכות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יום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כיפור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.[2]</w:t>
      </w:r>
    </w:p>
    <w:p w:rsidR="00000000" w:rsidDel="00000000" w:rsidP="00000000" w:rsidRDefault="00000000" w:rsidRPr="00000000" w14:paraId="00000028">
      <w:pPr>
        <w:numPr>
          <w:ilvl w:val="0"/>
          <w:numId w:val="3"/>
        </w:numPr>
        <w:bidi w:val="1"/>
        <w:spacing w:after="0" w:afterAutospacing="0" w:before="0" w:beforeAutospacing="0" w:lineRule="auto"/>
        <w:ind w:left="720" w:hanging="360"/>
        <w:rPr>
          <w:color w:val="ffffff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color w:val="ffffff"/>
          <w:sz w:val="21"/>
          <w:szCs w:val="21"/>
          <w:shd w:fill="22262b" w:val="clear"/>
          <w:rtl w:val="1"/>
        </w:rPr>
        <w:t xml:space="preserve">מנהגי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ffffff"/>
          <w:sz w:val="21"/>
          <w:szCs w:val="21"/>
          <w:shd w:fill="22262b" w:val="clear"/>
          <w:rtl w:val="1"/>
        </w:rPr>
        <w:t xml:space="preserve">החיים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ffffff"/>
          <w:sz w:val="21"/>
          <w:szCs w:val="21"/>
          <w:shd w:fill="22262b" w:val="clear"/>
          <w:rtl w:val="1"/>
        </w:rPr>
        <w:t xml:space="preserve">והמוות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: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הלכות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אבלות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תפסו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מקום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נרחב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שכן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הן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מהוות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מרכיב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זהותי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קריטי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בשימור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הזיכרון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הקהילתי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והמשפחתי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.[2]</w:t>
      </w:r>
    </w:p>
    <w:p w:rsidR="00000000" w:rsidDel="00000000" w:rsidP="00000000" w:rsidRDefault="00000000" w:rsidRPr="00000000" w14:paraId="00000029">
      <w:pPr>
        <w:numPr>
          <w:ilvl w:val="0"/>
          <w:numId w:val="3"/>
        </w:numPr>
        <w:bidi w:val="1"/>
        <w:spacing w:after="240" w:before="0" w:beforeAutospacing="0" w:lineRule="auto"/>
        <w:ind w:left="720" w:hanging="360"/>
        <w:rPr>
          <w:color w:val="ffffff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color w:val="ffffff"/>
          <w:sz w:val="21"/>
          <w:szCs w:val="21"/>
          <w:shd w:fill="22262b" w:val="clear"/>
          <w:rtl w:val="1"/>
        </w:rPr>
        <w:t xml:space="preserve">הלכות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ffffff"/>
          <w:sz w:val="21"/>
          <w:szCs w:val="21"/>
          <w:shd w:fill="22262b" w:val="clear"/>
          <w:rtl w:val="1"/>
        </w:rPr>
        <w:t xml:space="preserve">יומיומיות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: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שילוב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בין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דין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פסוק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למנהג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רווח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בענייני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ציצית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תפילין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וברכות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הנהנין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.[2]</w:t>
      </w:r>
    </w:p>
    <w:p w:rsidR="00000000" w:rsidDel="00000000" w:rsidP="00000000" w:rsidRDefault="00000000" w:rsidRPr="00000000" w14:paraId="0000002A">
      <w:pPr>
        <w:bidi w:val="1"/>
        <w:rPr>
          <w:rFonts w:ascii="Tahoma" w:cs="Tahoma" w:eastAsia="Tahoma" w:hAnsi="Tahoma"/>
          <w:color w:val="ffffff"/>
          <w:sz w:val="21"/>
          <w:szCs w:val="21"/>
          <w:shd w:fill="22262b" w:val="clear"/>
        </w:rPr>
      </w:pP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פרק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ג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: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משנתו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התורנית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-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המנהג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כמקור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סמכות</w:t>
      </w:r>
    </w:p>
    <w:p w:rsidR="00000000" w:rsidDel="00000000" w:rsidP="00000000" w:rsidRDefault="00000000" w:rsidRPr="00000000" w14:paraId="0000002B">
      <w:pPr>
        <w:bidi w:val="1"/>
        <w:rPr>
          <w:rFonts w:ascii="Tahoma" w:cs="Tahoma" w:eastAsia="Tahoma" w:hAnsi="Tahoma"/>
          <w:color w:val="ffffff"/>
          <w:sz w:val="21"/>
          <w:szCs w:val="21"/>
          <w:shd w:fill="22262b" w:val="clear"/>
        </w:rPr>
      </w:pP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השאלה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המרכזית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המלווה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לימוד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תורתו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המהרא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ק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היא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: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מדוע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להקדיש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מאמץ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כה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רב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לתיעוד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מנהגים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במקום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להתמקד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בפסיקת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הלכה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תלמודית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טהורה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"?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התשובה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טמונה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בהבנתו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המהרא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ק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כוחו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המנהג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כמגן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הזהות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היהודית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.[7]</w:t>
      </w:r>
    </w:p>
    <w:p w:rsidR="00000000" w:rsidDel="00000000" w:rsidP="00000000" w:rsidRDefault="00000000" w:rsidRPr="00000000" w14:paraId="0000002C">
      <w:pPr>
        <w:bidi w:val="1"/>
        <w:rPr>
          <w:rFonts w:ascii="Tahoma" w:cs="Tahoma" w:eastAsia="Tahoma" w:hAnsi="Tahoma"/>
          <w:color w:val="ffffff"/>
          <w:sz w:val="21"/>
          <w:szCs w:val="21"/>
          <w:shd w:fill="22262b" w:val="clear"/>
        </w:rPr>
      </w:pP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היחס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בין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דין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למנהג</w:t>
      </w:r>
    </w:p>
    <w:p w:rsidR="00000000" w:rsidDel="00000000" w:rsidP="00000000" w:rsidRDefault="00000000" w:rsidRPr="00000000" w14:paraId="0000002D">
      <w:pPr>
        <w:bidi w:val="1"/>
        <w:rPr>
          <w:rFonts w:ascii="Tahoma" w:cs="Tahoma" w:eastAsia="Tahoma" w:hAnsi="Tahoma"/>
          <w:color w:val="ffffff"/>
          <w:sz w:val="21"/>
          <w:szCs w:val="21"/>
          <w:shd w:fill="22262b" w:val="clear"/>
        </w:rPr>
      </w:pP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בתפיסתו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המהרא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ק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המנהג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אינו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ברירת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מחדל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בהיעדר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הלכה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אלא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מהווה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פרשנות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חיה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ודינמית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התורה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שבעל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פה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במנהג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אשכנז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המנהג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יכול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לעיתים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לעמוד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בשורה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אחת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עם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הדין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המקורי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ולעיתים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אף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להכריע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במקומות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מחלוקת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.[7]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המהרא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ק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ביקש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להעניק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לכל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מנהג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ומנהג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כתב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הגנה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הלכתי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תוך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שהוא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מוצא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מקורות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בכתבי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הראשונים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ומסביר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הרציונל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שעומד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מאחוריו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.[1, 2]</w:t>
      </w:r>
    </w:p>
    <w:p w:rsidR="00000000" w:rsidDel="00000000" w:rsidP="00000000" w:rsidRDefault="00000000" w:rsidRPr="00000000" w14:paraId="0000002E">
      <w:pPr>
        <w:bidi w:val="1"/>
        <w:rPr>
          <w:rFonts w:ascii="Tahoma" w:cs="Tahoma" w:eastAsia="Tahoma" w:hAnsi="Tahoma"/>
          <w:color w:val="ffffff"/>
          <w:sz w:val="21"/>
          <w:szCs w:val="21"/>
          <w:shd w:fill="22262b" w:val="clear"/>
        </w:rPr>
      </w:pP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גישה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זו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הייתה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חיונית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במיוחד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לאחר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המגפה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השחורה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רבים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מהחכמים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שהחזיקו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במסורות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שבעל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פה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נספו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והקהילות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שנוסדו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מחדש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נזקקו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לספר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הדרכה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שיורה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להן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איך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נהגו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אבותינו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".[1]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בכך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הפך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המהרא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ק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ספר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המנהגים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לכלי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לשיקום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לאומי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ודתי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.</w:t>
      </w:r>
    </w:p>
    <w:p w:rsidR="00000000" w:rsidDel="00000000" w:rsidP="00000000" w:rsidRDefault="00000000" w:rsidRPr="00000000" w14:paraId="0000002F">
      <w:pPr>
        <w:bidi w:val="1"/>
        <w:rPr>
          <w:rFonts w:ascii="Tahoma" w:cs="Tahoma" w:eastAsia="Tahoma" w:hAnsi="Tahoma"/>
          <w:color w:val="ffffff"/>
          <w:sz w:val="21"/>
          <w:szCs w:val="21"/>
          <w:shd w:fill="22262b" w:val="clear"/>
        </w:rPr>
      </w:pP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פסיקות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בתחום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השחיטה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והבדיקה</w:t>
      </w:r>
    </w:p>
    <w:p w:rsidR="00000000" w:rsidDel="00000000" w:rsidP="00000000" w:rsidRDefault="00000000" w:rsidRPr="00000000" w14:paraId="00000030">
      <w:pPr>
        <w:bidi w:val="1"/>
        <w:rPr>
          <w:rFonts w:ascii="Tahoma" w:cs="Tahoma" w:eastAsia="Tahoma" w:hAnsi="Tahoma"/>
          <w:color w:val="ffffff"/>
          <w:sz w:val="21"/>
          <w:szCs w:val="21"/>
          <w:shd w:fill="22262b" w:val="clear"/>
        </w:rPr>
      </w:pP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מעבר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לספר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המנהגים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המהרא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ק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עסק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רבות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בתחום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המעשי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איסור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והיתר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".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חיבר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הגהות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ספר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שערים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הרוקח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(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אלעזר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מוורמייזא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),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העוסקות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בדיני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שחיטה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ובדיקת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הטרפות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.[2]</w:t>
      </w:r>
    </w:p>
    <w:p w:rsidR="00000000" w:rsidDel="00000000" w:rsidP="00000000" w:rsidRDefault="00000000" w:rsidRPr="00000000" w14:paraId="00000031">
      <w:pPr>
        <w:bidi w:val="1"/>
        <w:rPr>
          <w:rFonts w:ascii="Tahoma" w:cs="Tahoma" w:eastAsia="Tahoma" w:hAnsi="Tahoma"/>
          <w:color w:val="ffffff"/>
          <w:sz w:val="21"/>
          <w:szCs w:val="21"/>
          <w:shd w:fill="22262b" w:val="clear"/>
        </w:rPr>
      </w:pP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פסיקותיו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בתחום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זה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מאופיינות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:</w:t>
      </w:r>
    </w:p>
    <w:p w:rsidR="00000000" w:rsidDel="00000000" w:rsidP="00000000" w:rsidRDefault="00000000" w:rsidRPr="00000000" w14:paraId="00000032">
      <w:pPr>
        <w:numPr>
          <w:ilvl w:val="0"/>
          <w:numId w:val="2"/>
        </w:numPr>
        <w:bidi w:val="1"/>
        <w:spacing w:after="0" w:afterAutospacing="0" w:before="240" w:lineRule="auto"/>
        <w:ind w:left="720" w:hanging="360"/>
        <w:rPr>
          <w:color w:val="ffffff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color w:val="ffffff"/>
          <w:sz w:val="21"/>
          <w:szCs w:val="21"/>
          <w:shd w:fill="22262b" w:val="clear"/>
          <w:rtl w:val="1"/>
        </w:rPr>
        <w:t xml:space="preserve">שמרנות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ffffff"/>
          <w:sz w:val="21"/>
          <w:szCs w:val="21"/>
          <w:shd w:fill="22262b" w:val="clear"/>
          <w:rtl w:val="1"/>
        </w:rPr>
        <w:t xml:space="preserve">אשכנזית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: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הקפדה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חומרות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שהיו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מקובלות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בקרב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חסידי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אשכנז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הקדומים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.[2]</w:t>
      </w:r>
    </w:p>
    <w:p w:rsidR="00000000" w:rsidDel="00000000" w:rsidP="00000000" w:rsidRDefault="00000000" w:rsidRPr="00000000" w14:paraId="00000033">
      <w:pPr>
        <w:numPr>
          <w:ilvl w:val="0"/>
          <w:numId w:val="2"/>
        </w:numPr>
        <w:bidi w:val="1"/>
        <w:spacing w:after="0" w:afterAutospacing="0" w:before="0" w:beforeAutospacing="0" w:lineRule="auto"/>
        <w:ind w:left="720" w:hanging="360"/>
        <w:rPr>
          <w:color w:val="ffffff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color w:val="ffffff"/>
          <w:sz w:val="21"/>
          <w:szCs w:val="21"/>
          <w:shd w:fill="22262b" w:val="clear"/>
          <w:rtl w:val="1"/>
        </w:rPr>
        <w:t xml:space="preserve">דיוק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ffffff"/>
          <w:sz w:val="21"/>
          <w:szCs w:val="21"/>
          <w:shd w:fill="22262b" w:val="clear"/>
          <w:rtl w:val="1"/>
        </w:rPr>
        <w:t xml:space="preserve">טקסטואלי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: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ניסיון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לברר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הנוסח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המדויק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דברי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הרוקח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ולהתאימם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למנהג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המעשי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הנהוג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באוסטריה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.[2]</w:t>
      </w:r>
    </w:p>
    <w:p w:rsidR="00000000" w:rsidDel="00000000" w:rsidP="00000000" w:rsidRDefault="00000000" w:rsidRPr="00000000" w14:paraId="00000034">
      <w:pPr>
        <w:numPr>
          <w:ilvl w:val="0"/>
          <w:numId w:val="2"/>
        </w:numPr>
        <w:bidi w:val="1"/>
        <w:spacing w:after="240" w:before="0" w:beforeAutospacing="0" w:lineRule="auto"/>
        <w:ind w:left="720" w:hanging="360"/>
        <w:rPr>
          <w:color w:val="ffffff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color w:val="ffffff"/>
          <w:sz w:val="21"/>
          <w:szCs w:val="21"/>
          <w:shd w:fill="22262b" w:val="clear"/>
          <w:rtl w:val="1"/>
        </w:rPr>
        <w:t xml:space="preserve">סמכות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ffffff"/>
          <w:sz w:val="21"/>
          <w:szCs w:val="21"/>
          <w:shd w:fill="22262b" w:val="clear"/>
          <w:rtl w:val="1"/>
        </w:rPr>
        <w:t xml:space="preserve">מעשית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: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פסיקותיו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צוטטו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רבות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ידי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חכמים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מאוחרים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יותר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כמו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המהר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וייל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שמעיד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היותו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-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סמכא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בתחום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הטכני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והמורכב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השחיטה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.[2]</w:t>
      </w:r>
    </w:p>
    <w:tbl>
      <w:tblPr>
        <w:tblStyle w:val="Table2"/>
        <w:bidiVisual w:val="1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5e5e5e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jc w:val="center"/>
              <w:rPr>
                <w:rFonts w:ascii="Tahoma" w:cs="Tahoma" w:eastAsia="Tahoma" w:hAnsi="Tahoma"/>
                <w:b w:val="1"/>
                <w:bCs w:val="1"/>
                <w:color w:val="ffffff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ffffff"/>
                <w:sz w:val="21"/>
                <w:szCs w:val="21"/>
                <w:shd w:fill="22262b" w:val="clear"/>
                <w:rtl w:val="1"/>
              </w:rPr>
              <w:t xml:space="preserve">חיבור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5e5e5e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jc w:val="center"/>
              <w:rPr>
                <w:rFonts w:ascii="Tahoma" w:cs="Tahoma" w:eastAsia="Tahoma" w:hAnsi="Tahoma"/>
                <w:b w:val="1"/>
                <w:bCs w:val="1"/>
                <w:color w:val="ffffff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ffffff"/>
                <w:sz w:val="21"/>
                <w:szCs w:val="21"/>
                <w:shd w:fill="22262b" w:val="clear"/>
                <w:rtl w:val="1"/>
              </w:rPr>
              <w:t xml:space="preserve">תחום</w:t>
            </w: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ffffff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ffffff"/>
                <w:sz w:val="21"/>
                <w:szCs w:val="21"/>
                <w:shd w:fill="22262b" w:val="clear"/>
                <w:rtl w:val="1"/>
              </w:rPr>
              <w:t xml:space="preserve">עיסוק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5e5e5e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jc w:val="center"/>
              <w:rPr>
                <w:rFonts w:ascii="Tahoma" w:cs="Tahoma" w:eastAsia="Tahoma" w:hAnsi="Tahoma"/>
                <w:b w:val="1"/>
                <w:bCs w:val="1"/>
                <w:color w:val="ffffff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ffffff"/>
                <w:sz w:val="21"/>
                <w:szCs w:val="21"/>
                <w:shd w:fill="22262b" w:val="clear"/>
                <w:rtl w:val="1"/>
              </w:rPr>
              <w:t xml:space="preserve">סטטוס</w:t>
            </w: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ffffff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ffffff"/>
                <w:sz w:val="21"/>
                <w:szCs w:val="21"/>
                <w:shd w:fill="22262b" w:val="clear"/>
                <w:rtl w:val="1"/>
              </w:rPr>
              <w:t xml:space="preserve">הדפסה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rFonts w:ascii="Tahoma" w:cs="Tahoma" w:eastAsia="Tahoma" w:hAnsi="Tahoma"/>
                <w:b w:val="1"/>
                <w:bCs w:val="1"/>
                <w:color w:val="ffffff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ffffff"/>
                <w:sz w:val="21"/>
                <w:szCs w:val="21"/>
                <w:shd w:fill="22262b" w:val="clear"/>
                <w:rtl w:val="1"/>
              </w:rPr>
              <w:t xml:space="preserve">ספר</w:t>
            </w: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ffffff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ffffff"/>
                <w:sz w:val="21"/>
                <w:szCs w:val="21"/>
                <w:shd w:fill="22262b" w:val="clear"/>
                <w:rtl w:val="1"/>
              </w:rPr>
              <w:t xml:space="preserve">המנהגים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מנהגי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השנה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, 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תפילה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ומועדים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נדפס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לראשונה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בריווא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דטרינטו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 1558 [1, 2]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rFonts w:ascii="Tahoma" w:cs="Tahoma" w:eastAsia="Tahoma" w:hAnsi="Tahoma"/>
                <w:b w:val="1"/>
                <w:bCs w:val="1"/>
                <w:color w:val="ffffff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ffffff"/>
                <w:sz w:val="21"/>
                <w:szCs w:val="21"/>
                <w:shd w:fill="22262b" w:val="clear"/>
                <w:rtl w:val="1"/>
              </w:rPr>
              <w:t xml:space="preserve">הלכות</w:t>
            </w: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ffffff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ffffff"/>
                <w:sz w:val="21"/>
                <w:szCs w:val="21"/>
                <w:shd w:fill="22262b" w:val="clear"/>
                <w:rtl w:val="1"/>
              </w:rPr>
              <w:t xml:space="preserve">שחיטה</w:t>
            </w: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ffffff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ffffff"/>
                <w:sz w:val="21"/>
                <w:szCs w:val="21"/>
                <w:shd w:fill="22262b" w:val="clear"/>
                <w:rtl w:val="1"/>
              </w:rPr>
              <w:t xml:space="preserve">ובדיקה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איסור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והיתר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, 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הגהות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לרוקח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נדפס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מכתב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יד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בתוך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 '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רבינו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מנחם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ממירזבורק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' 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חלק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ב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' (2021) [2]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rFonts w:ascii="Tahoma" w:cs="Tahoma" w:eastAsia="Tahoma" w:hAnsi="Tahoma"/>
                <w:b w:val="1"/>
                <w:bCs w:val="1"/>
                <w:color w:val="ffffff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ffffff"/>
                <w:sz w:val="21"/>
                <w:szCs w:val="21"/>
                <w:shd w:fill="22262b" w:val="clear"/>
                <w:rtl w:val="1"/>
              </w:rPr>
              <w:t xml:space="preserve">תשובות</w:t>
            </w: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ffffff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ffffff"/>
                <w:sz w:val="21"/>
                <w:szCs w:val="21"/>
                <w:shd w:fill="22262b" w:val="clear"/>
                <w:rtl w:val="1"/>
              </w:rPr>
              <w:t xml:space="preserve">הלכתיות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שאלות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ותשובות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בנושאים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שונים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פזורות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בכתבי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תלמידיו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 (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תרומת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הדשן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, 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מהר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"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י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וייל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) [1, 4]</w:t>
            </w:r>
          </w:p>
        </w:tc>
      </w:tr>
    </w:tbl>
    <w:p w:rsidR="00000000" w:rsidDel="00000000" w:rsidP="00000000" w:rsidRDefault="00000000" w:rsidRPr="00000000" w14:paraId="00000041">
      <w:pPr>
        <w:bidi w:val="1"/>
        <w:rPr>
          <w:rFonts w:ascii="Tahoma" w:cs="Tahoma" w:eastAsia="Tahoma" w:hAnsi="Tahoma"/>
          <w:color w:val="ffffff"/>
          <w:sz w:val="21"/>
          <w:szCs w:val="21"/>
          <w:shd w:fill="22262b" w:val="clear"/>
        </w:rPr>
      </w:pP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פרק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ד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: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רבם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רבנים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-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השפעתו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דרך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תלמידיו</w:t>
      </w:r>
    </w:p>
    <w:p w:rsidR="00000000" w:rsidDel="00000000" w:rsidP="00000000" w:rsidRDefault="00000000" w:rsidRPr="00000000" w14:paraId="00000042">
      <w:pPr>
        <w:bidi w:val="1"/>
        <w:rPr>
          <w:rFonts w:ascii="Tahoma" w:cs="Tahoma" w:eastAsia="Tahoma" w:hAnsi="Tahoma"/>
          <w:color w:val="ffffff"/>
          <w:sz w:val="21"/>
          <w:szCs w:val="21"/>
          <w:shd w:fill="22262b" w:val="clear"/>
        </w:rPr>
      </w:pP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השפעתו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ארוכת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הטווח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אברהם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קלויזנר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עוברת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דרך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שלושה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תלמידים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מרכזיים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שכל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אחד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מהם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הפך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לעמוד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תווך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בעולם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ההלכה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:</w:t>
      </w:r>
    </w:p>
    <w:p w:rsidR="00000000" w:rsidDel="00000000" w:rsidP="00000000" w:rsidRDefault="00000000" w:rsidRPr="00000000" w14:paraId="00000043">
      <w:pPr>
        <w:bidi w:val="1"/>
        <w:rPr>
          <w:rFonts w:ascii="Tahoma" w:cs="Tahoma" w:eastAsia="Tahoma" w:hAnsi="Tahoma"/>
          <w:color w:val="ffffff"/>
          <w:sz w:val="21"/>
          <w:szCs w:val="21"/>
          <w:shd w:fill="22262b" w:val="clear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1.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המהרי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(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יעקב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מולין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)</w:t>
      </w:r>
    </w:p>
    <w:p w:rsidR="00000000" w:rsidDel="00000000" w:rsidP="00000000" w:rsidRDefault="00000000" w:rsidRPr="00000000" w14:paraId="00000044">
      <w:pPr>
        <w:bidi w:val="1"/>
        <w:rPr>
          <w:rFonts w:ascii="Tahoma" w:cs="Tahoma" w:eastAsia="Tahoma" w:hAnsi="Tahoma"/>
          <w:color w:val="ffffff"/>
          <w:sz w:val="21"/>
          <w:szCs w:val="21"/>
          <w:shd w:fill="22262b" w:val="clear"/>
        </w:rPr>
      </w:pP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המהרי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נחשב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אבי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מנהגי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אשכנז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המאוחרים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למד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בווינה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אצל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המהרא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ק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ודברי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רבו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מצוטטים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בחיבורו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ספר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המהרי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עשרות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פעמים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.[1, 2]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המהרי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המשיך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קו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היסוד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המהרא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ק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–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העלאת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המנהג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לדרגת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קדושה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–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והפך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אותו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לנחלת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הכלל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בגרמניה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ובמערב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אירופה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הקשר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בין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השניים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הבסיס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לכל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שאנו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מכירים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כיום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כ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מנהג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אשכנז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".[2, 7]</w:t>
      </w:r>
    </w:p>
    <w:p w:rsidR="00000000" w:rsidDel="00000000" w:rsidP="00000000" w:rsidRDefault="00000000" w:rsidRPr="00000000" w14:paraId="00000045">
      <w:pPr>
        <w:bidi w:val="1"/>
        <w:rPr>
          <w:rFonts w:ascii="Tahoma" w:cs="Tahoma" w:eastAsia="Tahoma" w:hAnsi="Tahoma"/>
          <w:color w:val="ffffff"/>
          <w:sz w:val="21"/>
          <w:szCs w:val="21"/>
          <w:shd w:fill="22262b" w:val="clear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2.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המהרו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טירנא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(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יצחק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אייזיק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מטירנא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)</w:t>
      </w:r>
    </w:p>
    <w:p w:rsidR="00000000" w:rsidDel="00000000" w:rsidP="00000000" w:rsidRDefault="00000000" w:rsidRPr="00000000" w14:paraId="00000046">
      <w:pPr>
        <w:bidi w:val="1"/>
        <w:rPr>
          <w:rFonts w:ascii="Tahoma" w:cs="Tahoma" w:eastAsia="Tahoma" w:hAnsi="Tahoma"/>
          <w:color w:val="ffffff"/>
          <w:sz w:val="21"/>
          <w:szCs w:val="21"/>
          <w:shd w:fill="22262b" w:val="clear"/>
        </w:rPr>
      </w:pP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יצחק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אייזיק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מטירנא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אף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תלמיד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המהרא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ק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חיבר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ספר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מנהגים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משלו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שהפך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לפופולרי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ביותר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במזרח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אירופה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(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פולין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ליטא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והונגריה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).[7]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ספרו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מתבסס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במידה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רבה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תורת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המהרא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ק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אך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נכתב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בסגנון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תמציתי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וקל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יותר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להבנה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.[1]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הצלחתו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ספר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זה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(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שהגיע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למאות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מהדורות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)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היא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עדות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חיה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להתפשטות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רעיונותיו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המהרא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ק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בכל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רחבי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העולם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היהודי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.[7]</w:t>
      </w:r>
    </w:p>
    <w:p w:rsidR="00000000" w:rsidDel="00000000" w:rsidP="00000000" w:rsidRDefault="00000000" w:rsidRPr="00000000" w14:paraId="00000047">
      <w:pPr>
        <w:bidi w:val="1"/>
        <w:rPr>
          <w:rFonts w:ascii="Tahoma" w:cs="Tahoma" w:eastAsia="Tahoma" w:hAnsi="Tahoma"/>
          <w:color w:val="ffffff"/>
          <w:sz w:val="21"/>
          <w:szCs w:val="21"/>
          <w:shd w:fill="22262b" w:val="clear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3.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שלום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מנוישטאדט</w:t>
      </w:r>
    </w:p>
    <w:p w:rsidR="00000000" w:rsidDel="00000000" w:rsidP="00000000" w:rsidRDefault="00000000" w:rsidRPr="00000000" w14:paraId="00000048">
      <w:pPr>
        <w:bidi w:val="1"/>
        <w:rPr>
          <w:rFonts w:ascii="Tahoma" w:cs="Tahoma" w:eastAsia="Tahoma" w:hAnsi="Tahoma"/>
          <w:color w:val="ffffff"/>
          <w:sz w:val="21"/>
          <w:szCs w:val="21"/>
          <w:shd w:fill="22262b" w:val="clear"/>
        </w:rPr>
      </w:pP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תלמיד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נוסף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המייצג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האסכולה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האוסטרית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המהרא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ק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פעל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לצד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רבו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בגיבוש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מנהגי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קהילות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אוסטרייך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",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שהיו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לעיתים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שונים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מהמנהגים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המקובלים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בקהילות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הריינוס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.[2, 4]</w:t>
      </w:r>
    </w:p>
    <w:p w:rsidR="00000000" w:rsidDel="00000000" w:rsidP="00000000" w:rsidRDefault="00000000" w:rsidRPr="00000000" w14:paraId="00000049">
      <w:pPr>
        <w:bidi w:val="1"/>
        <w:rPr>
          <w:rFonts w:ascii="Tahoma" w:cs="Tahoma" w:eastAsia="Tahoma" w:hAnsi="Tahoma"/>
          <w:color w:val="ffffff"/>
          <w:sz w:val="21"/>
          <w:szCs w:val="21"/>
          <w:shd w:fill="22262b" w:val="clear"/>
        </w:rPr>
      </w:pP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פרק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: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המעבר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לדפוס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והשפעה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השולחן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הערוך</w:t>
      </w:r>
    </w:p>
    <w:p w:rsidR="00000000" w:rsidDel="00000000" w:rsidP="00000000" w:rsidRDefault="00000000" w:rsidRPr="00000000" w14:paraId="0000004A">
      <w:pPr>
        <w:bidi w:val="1"/>
        <w:rPr>
          <w:rFonts w:ascii="Tahoma" w:cs="Tahoma" w:eastAsia="Tahoma" w:hAnsi="Tahoma"/>
          <w:color w:val="ffffff"/>
          <w:sz w:val="21"/>
          <w:szCs w:val="21"/>
          <w:shd w:fill="22262b" w:val="clear"/>
        </w:rPr>
      </w:pP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החוליה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המקשרת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בין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המהרא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ק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לבין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עולם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ההלכה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המודרני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היא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משה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איסרליש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(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הרמ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).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בבואו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לכתוב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הגהותיו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לשולחן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הערוך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ביקש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הרמ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לשמר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מורשת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אשכנז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מול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פסיקותיו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יוסף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קארו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הספרדי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.[2, 3]</w:t>
      </w:r>
    </w:p>
    <w:p w:rsidR="00000000" w:rsidDel="00000000" w:rsidP="00000000" w:rsidRDefault="00000000" w:rsidRPr="00000000" w14:paraId="0000004B">
      <w:pPr>
        <w:bidi w:val="1"/>
        <w:rPr>
          <w:rFonts w:ascii="Tahoma" w:cs="Tahoma" w:eastAsia="Tahoma" w:hAnsi="Tahoma"/>
          <w:color w:val="ffffff"/>
          <w:sz w:val="21"/>
          <w:szCs w:val="21"/>
          <w:shd w:fill="22262b" w:val="clear"/>
        </w:rPr>
      </w:pP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הרמ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הסתמך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באופן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ישיר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ועקיף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המהרא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ק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:</w:t>
      </w:r>
    </w:p>
    <w:p w:rsidR="00000000" w:rsidDel="00000000" w:rsidP="00000000" w:rsidRDefault="00000000" w:rsidRPr="00000000" w14:paraId="0000004C">
      <w:pPr>
        <w:numPr>
          <w:ilvl w:val="0"/>
          <w:numId w:val="4"/>
        </w:numPr>
        <w:bidi w:val="1"/>
        <w:spacing w:after="0" w:afterAutospacing="0" w:before="240" w:lineRule="auto"/>
        <w:ind w:left="720" w:hanging="360"/>
        <w:rPr>
          <w:color w:val="ffffff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color w:val="ffffff"/>
          <w:sz w:val="21"/>
          <w:szCs w:val="21"/>
          <w:shd w:fill="22262b" w:val="clear"/>
          <w:rtl w:val="1"/>
        </w:rPr>
        <w:t xml:space="preserve">ציטוט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ffffff"/>
          <w:sz w:val="21"/>
          <w:szCs w:val="21"/>
          <w:shd w:fill="22262b" w:val="clear"/>
          <w:rtl w:val="1"/>
        </w:rPr>
        <w:t xml:space="preserve">ישיר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: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בספריו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דרכי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משה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המפה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מביא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הרמ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מנהגי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המהרא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ק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כמקור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מוסמך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למנהג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אשכנז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המקובל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.[3]</w:t>
      </w:r>
    </w:p>
    <w:p w:rsidR="00000000" w:rsidDel="00000000" w:rsidP="00000000" w:rsidRDefault="00000000" w:rsidRPr="00000000" w14:paraId="0000004D">
      <w:pPr>
        <w:numPr>
          <w:ilvl w:val="0"/>
          <w:numId w:val="4"/>
        </w:numPr>
        <w:bidi w:val="1"/>
        <w:spacing w:after="240" w:before="0" w:beforeAutospacing="0" w:lineRule="auto"/>
        <w:ind w:left="720" w:hanging="360"/>
        <w:rPr>
          <w:color w:val="ffffff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color w:val="ffffff"/>
          <w:sz w:val="21"/>
          <w:szCs w:val="21"/>
          <w:shd w:fill="22262b" w:val="clear"/>
          <w:rtl w:val="1"/>
        </w:rPr>
        <w:t xml:space="preserve">תיווך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ffffff"/>
          <w:sz w:val="21"/>
          <w:szCs w:val="21"/>
          <w:shd w:fill="22262b" w:val="clear"/>
          <w:rtl w:val="1"/>
        </w:rPr>
        <w:t xml:space="preserve">המהרי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ffffff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ffffff"/>
          <w:sz w:val="21"/>
          <w:szCs w:val="21"/>
          <w:shd w:fill="22262b" w:val="clear"/>
          <w:rtl w:val="1"/>
        </w:rPr>
        <w:t xml:space="preserve">ל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: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מכיוון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שהמהרי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(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תלמיד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המהרא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ק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)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הפך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למקור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העיקרי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הרמ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למנהג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הרי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שתורת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המהרא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ק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נוכחת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כמעט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בכל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סעיף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מנהג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אשכנז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בשולחן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הערוך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.[2]</w:t>
      </w:r>
    </w:p>
    <w:tbl>
      <w:tblPr>
        <w:tblStyle w:val="Table3"/>
        <w:bidiVisual w:val="1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5e5e5e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jc w:val="center"/>
              <w:rPr>
                <w:rFonts w:ascii="Tahoma" w:cs="Tahoma" w:eastAsia="Tahoma" w:hAnsi="Tahoma"/>
                <w:b w:val="1"/>
                <w:bCs w:val="1"/>
                <w:color w:val="ffffff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ffffff"/>
                <w:sz w:val="21"/>
                <w:szCs w:val="21"/>
                <w:shd w:fill="22262b" w:val="clear"/>
                <w:rtl w:val="1"/>
              </w:rPr>
              <w:t xml:space="preserve">ספר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5e5e5e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jc w:val="center"/>
              <w:rPr>
                <w:rFonts w:ascii="Tahoma" w:cs="Tahoma" w:eastAsia="Tahoma" w:hAnsi="Tahoma"/>
                <w:b w:val="1"/>
                <w:bCs w:val="1"/>
                <w:color w:val="ffffff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ffffff"/>
                <w:sz w:val="21"/>
                <w:szCs w:val="21"/>
                <w:shd w:fill="22262b" w:val="clear"/>
                <w:rtl w:val="1"/>
              </w:rPr>
              <w:t xml:space="preserve">קשר</w:t>
            </w: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ffffff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ffffff"/>
                <w:sz w:val="21"/>
                <w:szCs w:val="21"/>
                <w:shd w:fill="22262b" w:val="clear"/>
                <w:rtl w:val="1"/>
              </w:rPr>
              <w:t xml:space="preserve">למהרא</w:t>
            </w: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ffffff"/>
                <w:sz w:val="21"/>
                <w:szCs w:val="21"/>
                <w:shd w:fill="22262b" w:val="clear"/>
                <w:rtl w:val="1"/>
              </w:rPr>
              <w:t xml:space="preserve">"</w:t>
            </w: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ffffff"/>
                <w:sz w:val="21"/>
                <w:szCs w:val="21"/>
                <w:shd w:fill="22262b" w:val="clear"/>
                <w:rtl w:val="1"/>
              </w:rPr>
              <w:t xml:space="preserve">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5e5e5e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jc w:val="center"/>
              <w:rPr>
                <w:rFonts w:ascii="Tahoma" w:cs="Tahoma" w:eastAsia="Tahoma" w:hAnsi="Tahoma"/>
                <w:b w:val="1"/>
                <w:bCs w:val="1"/>
                <w:color w:val="ffffff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ffffff"/>
                <w:sz w:val="21"/>
                <w:szCs w:val="21"/>
                <w:shd w:fill="22262b" w:val="clear"/>
                <w:rtl w:val="1"/>
              </w:rPr>
              <w:t xml:space="preserve">דרגת</w:t>
            </w: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ffffff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ffffff"/>
                <w:sz w:val="21"/>
                <w:szCs w:val="21"/>
                <w:shd w:fill="22262b" w:val="clear"/>
                <w:rtl w:val="1"/>
              </w:rPr>
              <w:t xml:space="preserve">השפעה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rFonts w:ascii="Tahoma" w:cs="Tahoma" w:eastAsia="Tahoma" w:hAnsi="Tahoma"/>
                <w:b w:val="1"/>
                <w:bCs w:val="1"/>
                <w:color w:val="ffffff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ffffff"/>
                <w:sz w:val="21"/>
                <w:szCs w:val="21"/>
                <w:shd w:fill="22262b" w:val="clear"/>
                <w:rtl w:val="1"/>
              </w:rPr>
              <w:t xml:space="preserve">מנהגי</w:t>
            </w: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ffffff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ffffff"/>
                <w:sz w:val="21"/>
                <w:szCs w:val="21"/>
                <w:shd w:fill="22262b" w:val="clear"/>
                <w:rtl w:val="1"/>
              </w:rPr>
              <w:t xml:space="preserve">מהרי</w:t>
            </w: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ffffff"/>
                <w:sz w:val="21"/>
                <w:szCs w:val="21"/>
                <w:shd w:fill="22262b" w:val="clear"/>
                <w:rtl w:val="1"/>
              </w:rPr>
              <w:t xml:space="preserve">"</w:t>
            </w: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ffffff"/>
                <w:sz w:val="21"/>
                <w:szCs w:val="21"/>
                <w:shd w:fill="22262b" w:val="clear"/>
                <w:rtl w:val="1"/>
              </w:rPr>
              <w:t xml:space="preserve">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נכתב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על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ידי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תלמידו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המובהק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גבוהה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מאוד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 (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מקור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ה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"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מפה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")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rPr>
                <w:rFonts w:ascii="Tahoma" w:cs="Tahoma" w:eastAsia="Tahoma" w:hAnsi="Tahoma"/>
                <w:b w:val="1"/>
                <w:bCs w:val="1"/>
                <w:color w:val="ffffff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ffffff"/>
                <w:sz w:val="21"/>
                <w:szCs w:val="21"/>
                <w:shd w:fill="22262b" w:val="clear"/>
                <w:rtl w:val="1"/>
              </w:rPr>
              <w:t xml:space="preserve">מנהגי</w:t>
            </w: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ffffff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ffffff"/>
                <w:sz w:val="21"/>
                <w:szCs w:val="21"/>
                <w:shd w:fill="22262b" w:val="clear"/>
                <w:rtl w:val="1"/>
              </w:rPr>
              <w:t xml:space="preserve">מהר</w:t>
            </w: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ffffff"/>
                <w:sz w:val="21"/>
                <w:szCs w:val="21"/>
                <w:shd w:fill="22262b" w:val="clear"/>
                <w:rtl w:val="1"/>
              </w:rPr>
              <w:t xml:space="preserve">"</w:t>
            </w: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ffffff"/>
                <w:sz w:val="21"/>
                <w:szCs w:val="21"/>
                <w:shd w:fill="22262b" w:val="clear"/>
                <w:rtl w:val="1"/>
              </w:rPr>
              <w:t xml:space="preserve">י</w:t>
            </w: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ffffff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ffffff"/>
                <w:sz w:val="21"/>
                <w:szCs w:val="21"/>
                <w:shd w:fill="22262b" w:val="clear"/>
                <w:rtl w:val="1"/>
              </w:rPr>
              <w:t xml:space="preserve">טירנא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נכתב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על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ידי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תלמידו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גבוהה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 (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השפיע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על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מזרח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אירופה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rPr>
                <w:rFonts w:ascii="Tahoma" w:cs="Tahoma" w:eastAsia="Tahoma" w:hAnsi="Tahoma"/>
                <w:b w:val="1"/>
                <w:bCs w:val="1"/>
                <w:color w:val="ffffff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ffffff"/>
                <w:sz w:val="21"/>
                <w:szCs w:val="21"/>
                <w:shd w:fill="22262b" w:val="clear"/>
                <w:rtl w:val="1"/>
              </w:rPr>
              <w:t xml:space="preserve">שולחן</w:t>
            </w: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ffffff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ffffff"/>
                <w:sz w:val="21"/>
                <w:szCs w:val="21"/>
                <w:shd w:fill="22262b" w:val="clear"/>
                <w:rtl w:val="1"/>
              </w:rPr>
              <w:t xml:space="preserve">ערוך</w:t>
            </w: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ffffff"/>
                <w:sz w:val="21"/>
                <w:szCs w:val="21"/>
                <w:shd w:fill="22262b" w:val="clear"/>
                <w:rtl w:val="1"/>
              </w:rPr>
              <w:t xml:space="preserve"> (</w:t>
            </w: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ffffff"/>
                <w:sz w:val="21"/>
                <w:szCs w:val="21"/>
                <w:shd w:fill="22262b" w:val="clear"/>
                <w:rtl w:val="1"/>
              </w:rPr>
              <w:t xml:space="preserve">רמ</w:t>
            </w: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ffffff"/>
                <w:sz w:val="21"/>
                <w:szCs w:val="21"/>
                <w:shd w:fill="22262b" w:val="clear"/>
                <w:rtl w:val="1"/>
              </w:rPr>
              <w:t xml:space="preserve">"</w:t>
            </w: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ffffff"/>
                <w:sz w:val="21"/>
                <w:szCs w:val="21"/>
                <w:shd w:fill="22262b" w:val="clear"/>
                <w:rtl w:val="1"/>
              </w:rPr>
              <w:t xml:space="preserve">א</w:t>
            </w: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ffffff"/>
                <w:sz w:val="21"/>
                <w:szCs w:val="21"/>
                <w:shd w:fill="22262b" w:val="clear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ציטוטים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ב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"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דרכי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משה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" 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ובהגהות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מכרעת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 (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קיבוע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המנהג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לדורות</w:t>
            </w:r>
            <w:r w:rsidDel="00000000" w:rsidR="00000000" w:rsidRPr="00000000">
              <w:rPr>
                <w:rFonts w:ascii="Tahoma" w:cs="Tahoma" w:eastAsia="Tahoma" w:hAnsi="Tahoma"/>
                <w:color w:val="ffffff"/>
                <w:sz w:val="21"/>
                <w:szCs w:val="21"/>
                <w:shd w:fill="22262b" w:val="clear"/>
                <w:rtl w:val="1"/>
              </w:rPr>
              <w:t xml:space="preserve">)</w:t>
            </w:r>
          </w:p>
        </w:tc>
      </w:tr>
    </w:tbl>
    <w:p w:rsidR="00000000" w:rsidDel="00000000" w:rsidP="00000000" w:rsidRDefault="00000000" w:rsidRPr="00000000" w14:paraId="0000005A">
      <w:pPr>
        <w:bidi w:val="1"/>
        <w:rPr>
          <w:rFonts w:ascii="Tahoma" w:cs="Tahoma" w:eastAsia="Tahoma" w:hAnsi="Tahoma"/>
          <w:color w:val="ffffff"/>
          <w:sz w:val="21"/>
          <w:szCs w:val="21"/>
          <w:shd w:fill="22262b" w:val="clear"/>
        </w:rPr>
      </w:pP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פרק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: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הוצאות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מודרניות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ומחקר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אקדמי</w:t>
      </w:r>
    </w:p>
    <w:p w:rsidR="00000000" w:rsidDel="00000000" w:rsidP="00000000" w:rsidRDefault="00000000" w:rsidRPr="00000000" w14:paraId="0000005B">
      <w:pPr>
        <w:bidi w:val="1"/>
        <w:rPr>
          <w:rFonts w:ascii="Tahoma" w:cs="Tahoma" w:eastAsia="Tahoma" w:hAnsi="Tahoma"/>
          <w:color w:val="ffffff"/>
          <w:sz w:val="21"/>
          <w:szCs w:val="21"/>
          <w:shd w:fill="22262b" w:val="clear"/>
        </w:rPr>
      </w:pP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לאורך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השנים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ספר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המנהגים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המהרא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ק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עבר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תהפוכות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המהדורה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הראשונה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(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ריווא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דטרינטו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, 1558/1559)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נדפסה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עם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שיבושים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השמטות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וכפילויות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ככל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הנראה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בגלל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הקושי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להפריד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בין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הטקסט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המקורי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המהרא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ק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לבין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תוספות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מעתיקים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מאוחרים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.[1]</w:t>
      </w:r>
    </w:p>
    <w:p w:rsidR="00000000" w:rsidDel="00000000" w:rsidP="00000000" w:rsidRDefault="00000000" w:rsidRPr="00000000" w14:paraId="0000005C">
      <w:pPr>
        <w:bidi w:val="1"/>
        <w:rPr>
          <w:rFonts w:ascii="Tahoma" w:cs="Tahoma" w:eastAsia="Tahoma" w:hAnsi="Tahoma"/>
          <w:color w:val="ffffff"/>
          <w:sz w:val="21"/>
          <w:szCs w:val="21"/>
          <w:shd w:fill="22262b" w:val="clear"/>
        </w:rPr>
      </w:pP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בשנת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1929,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הוציא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הרב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חיים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יהודה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ארנרייך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מהדורה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מדעית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-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תורנית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חדשה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הספר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.[1, 2]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ארנרייך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עשה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עבודת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נמלים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בבירור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הנוסח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השוואת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כתבי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יד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והוספת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מבוא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מפורט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חיי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המהרא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ק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מהדורה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זו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לצד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ההוצאות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המאוחרות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מכון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ירושלים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החזירה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המהרא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ק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למרכז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השיח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ההלכתי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המודרני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.[2]</w:t>
      </w:r>
    </w:p>
    <w:p w:rsidR="00000000" w:rsidDel="00000000" w:rsidP="00000000" w:rsidRDefault="00000000" w:rsidRPr="00000000" w14:paraId="0000005D">
      <w:pPr>
        <w:bidi w:val="1"/>
        <w:rPr>
          <w:rFonts w:ascii="Tahoma" w:cs="Tahoma" w:eastAsia="Tahoma" w:hAnsi="Tahoma"/>
          <w:color w:val="ffffff"/>
          <w:sz w:val="21"/>
          <w:szCs w:val="21"/>
          <w:shd w:fill="22262b" w:val="clear"/>
        </w:rPr>
      </w:pP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המחקר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ההיסטורי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והתורני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מדגיש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כי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המהרא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ק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לא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היה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רק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מאסף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מנהגים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אלא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פוסק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בעל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חזון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הבין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שבעולם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המשתנה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תיעוד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המנהג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הדרך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היחידה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לשמור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קדושת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הקהילה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.[2]</w:t>
      </w:r>
    </w:p>
    <w:p w:rsidR="00000000" w:rsidDel="00000000" w:rsidP="00000000" w:rsidRDefault="00000000" w:rsidRPr="00000000" w14:paraId="0000005E">
      <w:pPr>
        <w:bidi w:val="1"/>
        <w:rPr>
          <w:rFonts w:ascii="Tahoma" w:cs="Tahoma" w:eastAsia="Tahoma" w:hAnsi="Tahoma"/>
          <w:color w:val="ffffff"/>
          <w:sz w:val="21"/>
          <w:szCs w:val="21"/>
          <w:shd w:fill="22262b" w:val="clear"/>
        </w:rPr>
      </w:pP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סיכום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: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המהרא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ק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כגשר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בין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תקופות</w:t>
      </w:r>
    </w:p>
    <w:p w:rsidR="00000000" w:rsidDel="00000000" w:rsidP="00000000" w:rsidRDefault="00000000" w:rsidRPr="00000000" w14:paraId="0000005F">
      <w:pPr>
        <w:bidi w:val="1"/>
        <w:rPr>
          <w:rFonts w:ascii="Tahoma" w:cs="Tahoma" w:eastAsia="Tahoma" w:hAnsi="Tahoma"/>
          <w:color w:val="ffffff"/>
          <w:sz w:val="21"/>
          <w:szCs w:val="21"/>
          <w:shd w:fill="22262b" w:val="clear"/>
        </w:rPr>
      </w:pP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דמותו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אברהם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קלויזנר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עומדת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בתווך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שבין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תקופת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הראשונים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לבין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עולם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האחרונים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מצד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אחד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נטוע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עמוק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במסורות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חכמי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אשכנז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הקדומים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ומצד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שני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זה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שהניח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היסודות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לשיטת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הפסיקה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המבוססת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המנהג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ששינתה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פני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יהדות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אירופה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.[1]</w:t>
      </w:r>
    </w:p>
    <w:p w:rsidR="00000000" w:rsidDel="00000000" w:rsidP="00000000" w:rsidRDefault="00000000" w:rsidRPr="00000000" w14:paraId="00000060">
      <w:pPr>
        <w:bidi w:val="1"/>
        <w:rPr>
          <w:rFonts w:ascii="Tahoma" w:cs="Tahoma" w:eastAsia="Tahoma" w:hAnsi="Tahoma"/>
          <w:color w:val="ffffff"/>
          <w:sz w:val="21"/>
          <w:szCs w:val="21"/>
          <w:shd w:fill="22262b" w:val="clear"/>
        </w:rPr>
      </w:pP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פועלו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בווינה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הפך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העיר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למגדלור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תורני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ששיקם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אשכנז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לאחר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המגפה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ספרי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המנהגים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שיצאו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מבית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מדרשו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ובראשם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חיבורו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שלו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הפכו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למצפן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דתי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עבור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מיליוני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יהודים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לאורך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מאות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שנים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.[2, 7]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מורשתו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המהרא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ק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ממשיכה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לפעום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עד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היום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בכל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פעם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שקהילה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אשכנזית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שומרת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מנהג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עתיק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בתפילה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בחג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עדות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חיה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לכוחה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המסורת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שהמהרא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ק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כה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עמל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לשמר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.[3]</w:t>
      </w:r>
    </w:p>
    <w:p w:rsidR="00000000" w:rsidDel="00000000" w:rsidP="00000000" w:rsidRDefault="00000000" w:rsidRPr="00000000" w14:paraId="00000061">
      <w:pPr>
        <w:bidi w:val="1"/>
        <w:rPr>
          <w:rFonts w:ascii="Tahoma" w:cs="Tahoma" w:eastAsia="Tahoma" w:hAnsi="Tahoma"/>
          <w:color w:val="ffffff"/>
          <w:sz w:val="21"/>
          <w:szCs w:val="21"/>
          <w:shd w:fill="22262b" w:val="clear"/>
        </w:rPr>
      </w:pP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2">
      <w:pPr>
        <w:bidi w:val="1"/>
        <w:rPr>
          <w:rFonts w:ascii="Tahoma" w:cs="Tahoma" w:eastAsia="Tahoma" w:hAnsi="Tahoma"/>
          <w:color w:val="ffffff"/>
          <w:sz w:val="21"/>
          <w:szCs w:val="21"/>
          <w:shd w:fill="22262b" w:val="clear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color w:val="ffffff"/>
          <w:sz w:val="21"/>
          <w:szCs w:val="21"/>
          <w:shd w:fill="22262b" w:val="clear"/>
          <w:rtl w:val="1"/>
        </w:rPr>
        <w:t xml:space="preserve">הבהרה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ffffff"/>
          <w:sz w:val="21"/>
          <w:szCs w:val="21"/>
          <w:shd w:fill="22262b" w:val="clear"/>
          <w:rtl w:val="1"/>
        </w:rPr>
        <w:t xml:space="preserve">היסטורית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: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למען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הדיוק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המחקרי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יש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להבדיל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בין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אברהם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קלויזנר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המהרא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ק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(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המאה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-14)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לבין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הרב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אברהם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יהודה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קלויזנר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(1915–2007),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שהיה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רב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צבאי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אמריקאי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שסייע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לניצולי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השואה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בדכאו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.[8, 9, 10]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למרות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השם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הזהה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המהרא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ק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דמות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רבנית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מתקופת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הראשונים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באוסטריה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ותרומתו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היא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בתחום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ההלכה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והמנהג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..[11, 12]</w:t>
      </w:r>
    </w:p>
    <w:p w:rsidR="00000000" w:rsidDel="00000000" w:rsidP="00000000" w:rsidRDefault="00000000" w:rsidRPr="00000000" w14:paraId="00000063">
      <w:pPr>
        <w:bidi w:val="1"/>
        <w:rPr>
          <w:rFonts w:ascii="Tahoma" w:cs="Tahoma" w:eastAsia="Tahoma" w:hAnsi="Tahoma"/>
          <w:color w:val="ffffff"/>
          <w:sz w:val="21"/>
          <w:szCs w:val="21"/>
          <w:shd w:fill="22262b" w:val="clear"/>
        </w:rPr>
      </w:pP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4">
      <w:pPr>
        <w:numPr>
          <w:ilvl w:val="0"/>
          <w:numId w:val="1"/>
        </w:numPr>
        <w:bidi w:val="1"/>
        <w:spacing w:after="0" w:afterAutospacing="0" w:before="240" w:lineRule="auto"/>
        <w:ind w:left="720" w:hanging="360"/>
        <w:rPr>
          <w:rFonts w:ascii="Tahoma" w:cs="Tahoma" w:eastAsia="Tahoma" w:hAnsi="Tahoma"/>
          <w:color w:val="ffffff"/>
        </w:rPr>
      </w:pP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0"/>
        </w:rPr>
        <w:t xml:space="preserve">Klausner, Abraham | Encyclopedia.com, </w:t>
      </w:r>
      <w:hyperlink r:id="rId6">
        <w:r w:rsidDel="00000000" w:rsidR="00000000" w:rsidRPr="00000000">
          <w:rPr>
            <w:rFonts w:ascii="Tahoma" w:cs="Tahoma" w:eastAsia="Tahoma" w:hAnsi="Tahoma"/>
            <w:color w:val="ffffff"/>
            <w:sz w:val="21"/>
            <w:szCs w:val="21"/>
            <w:u w:val="single"/>
            <w:shd w:fill="22262b" w:val="clear"/>
            <w:rtl w:val="0"/>
          </w:rPr>
          <w:t xml:space="preserve">https://www.encyclopedia.com/religion/encyclopedias-almanacs-transcripts-and-maps/klausner-abraham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1"/>
        </w:numPr>
        <w:bidi w:val="1"/>
        <w:spacing w:after="0" w:afterAutospacing="0" w:before="0" w:beforeAutospacing="0" w:lineRule="auto"/>
        <w:ind w:left="720" w:hanging="360"/>
        <w:rPr>
          <w:rFonts w:ascii="Tahoma" w:cs="Tahoma" w:eastAsia="Tahoma" w:hAnsi="Tahoma"/>
          <w:color w:val="ffffff"/>
        </w:rPr>
      </w:pP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אברהם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קלויזנר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–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ויקיפדיה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, </w:t>
      </w:r>
      <w:hyperlink r:id="rId7">
        <w:r w:rsidDel="00000000" w:rsidR="00000000" w:rsidRPr="00000000">
          <w:rPr>
            <w:rFonts w:ascii="Tahoma" w:cs="Tahoma" w:eastAsia="Tahoma" w:hAnsi="Tahoma"/>
            <w:color w:val="ffffff"/>
            <w:sz w:val="21"/>
            <w:szCs w:val="21"/>
            <w:u w:val="single"/>
            <w:shd w:fill="22262b" w:val="clear"/>
            <w:rtl w:val="0"/>
          </w:rPr>
          <w:t xml:space="preserve">https://he.wikipedia.org/wiki/%D7%90%D7%91%D7%A8%D7%94%D7%9D_%D7%A7%D7%9C%D7%95%D7%99%D7%96%D7%A0%D7%A8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0"/>
          <w:numId w:val="1"/>
        </w:numPr>
        <w:bidi w:val="1"/>
        <w:spacing w:after="0" w:afterAutospacing="0" w:before="0" w:beforeAutospacing="0" w:lineRule="auto"/>
        <w:ind w:left="720" w:hanging="360"/>
        <w:rPr>
          <w:rFonts w:ascii="Tahoma" w:cs="Tahoma" w:eastAsia="Tahoma" w:hAnsi="Tahoma"/>
          <w:color w:val="ffffff"/>
        </w:rPr>
      </w:pP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יצחק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אייזיק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מטירנא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-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ויקיפדיה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, </w:t>
      </w:r>
      <w:hyperlink r:id="rId8">
        <w:r w:rsidDel="00000000" w:rsidR="00000000" w:rsidRPr="00000000">
          <w:rPr>
            <w:rFonts w:ascii="Tahoma" w:cs="Tahoma" w:eastAsia="Tahoma" w:hAnsi="Tahoma"/>
            <w:color w:val="ffffff"/>
            <w:sz w:val="21"/>
            <w:szCs w:val="21"/>
            <w:u w:val="single"/>
            <w:shd w:fill="22262b" w:val="clear"/>
            <w:rtl w:val="0"/>
          </w:rPr>
          <w:t xml:space="preserve">https://he.wikipedia.org/wiki/%D7%99%D7%A6%D7%97%D7%A7_%D7%90%D7%99%D7%99%D7%96%D7%99%D7%A7_%D7%9E%D7%98%D7%99%D7%A8%D7%A0%D7%90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0"/>
          <w:numId w:val="1"/>
        </w:numPr>
        <w:bidi w:val="1"/>
        <w:spacing w:after="0" w:afterAutospacing="0" w:before="0" w:beforeAutospacing="0" w:lineRule="auto"/>
        <w:ind w:left="720" w:hanging="360"/>
        <w:rPr>
          <w:rFonts w:ascii="Tahoma" w:cs="Tahoma" w:eastAsia="Tahoma" w:hAnsi="Tahoma"/>
          <w:color w:val="ffffff"/>
        </w:rPr>
      </w:pP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0"/>
        </w:rPr>
        <w:t xml:space="preserve">Abraham Klausner (Austrian rabbi) - Wikipedia, </w:t>
      </w:r>
      <w:hyperlink r:id="rId9">
        <w:r w:rsidDel="00000000" w:rsidR="00000000" w:rsidRPr="00000000">
          <w:rPr>
            <w:rFonts w:ascii="Tahoma" w:cs="Tahoma" w:eastAsia="Tahoma" w:hAnsi="Tahoma"/>
            <w:color w:val="ffffff"/>
            <w:sz w:val="21"/>
            <w:szCs w:val="21"/>
            <w:u w:val="single"/>
            <w:shd w:fill="22262b" w:val="clear"/>
            <w:rtl w:val="0"/>
          </w:rPr>
          <w:t xml:space="preserve">https://en.wikipedia.org/wiki/Abraham_Klausner_(Austrian_rabbi)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0"/>
          <w:numId w:val="1"/>
        </w:numPr>
        <w:bidi w:val="1"/>
        <w:spacing w:after="0" w:afterAutospacing="0" w:before="0" w:beforeAutospacing="0" w:lineRule="auto"/>
        <w:ind w:left="720" w:hanging="360"/>
        <w:rPr>
          <w:rFonts w:ascii="Tahoma" w:cs="Tahoma" w:eastAsia="Tahoma" w:hAnsi="Tahoma"/>
          <w:color w:val="ffffff"/>
        </w:rPr>
      </w:pP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0"/>
        </w:rPr>
        <w:t xml:space="preserve">KLAUSNER, ABRAHAM - JewishEncyclopedia.com, </w:t>
      </w:r>
      <w:hyperlink r:id="rId10">
        <w:r w:rsidDel="00000000" w:rsidR="00000000" w:rsidRPr="00000000">
          <w:rPr>
            <w:rFonts w:ascii="Tahoma" w:cs="Tahoma" w:eastAsia="Tahoma" w:hAnsi="Tahoma"/>
            <w:color w:val="ffffff"/>
            <w:sz w:val="21"/>
            <w:szCs w:val="21"/>
            <w:u w:val="single"/>
            <w:shd w:fill="22262b" w:val="clear"/>
            <w:rtl w:val="0"/>
          </w:rPr>
          <w:t xml:space="preserve">https://www.jewishencyclopedia.com/articles/496-abraham-klausner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0"/>
          <w:numId w:val="1"/>
        </w:numPr>
        <w:bidi w:val="1"/>
        <w:spacing w:after="0" w:afterAutospacing="0" w:before="0" w:beforeAutospacing="0" w:lineRule="auto"/>
        <w:ind w:left="720" w:hanging="360"/>
        <w:rPr>
          <w:rFonts w:ascii="Tahoma" w:cs="Tahoma" w:eastAsia="Tahoma" w:hAnsi="Tahoma"/>
          <w:color w:val="ffffff"/>
        </w:rPr>
      </w:pP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מנהגים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-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אברהם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קלויזנער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-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קלויזנר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אברהם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(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0"/>
        </w:rPr>
        <w:t xml:space="preserve">page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0"/>
        </w:rPr>
        <w:t xml:space="preserve"> 1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0"/>
        </w:rPr>
        <w:t xml:space="preserve">of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0"/>
        </w:rPr>
        <w:t xml:space="preserve"> 93), </w:t>
      </w:r>
      <w:hyperlink r:id="rId11">
        <w:r w:rsidDel="00000000" w:rsidR="00000000" w:rsidRPr="00000000">
          <w:rPr>
            <w:rFonts w:ascii="Tahoma" w:cs="Tahoma" w:eastAsia="Tahoma" w:hAnsi="Tahoma"/>
            <w:color w:val="ffffff"/>
            <w:sz w:val="21"/>
            <w:szCs w:val="21"/>
            <w:u w:val="single"/>
            <w:shd w:fill="22262b" w:val="clear"/>
            <w:rtl w:val="0"/>
          </w:rPr>
          <w:t xml:space="preserve">https://hebrewbooks.org/pdfpager.aspx?req=46975&amp;pgnum=1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0"/>
          <w:numId w:val="1"/>
        </w:numPr>
        <w:bidi w:val="1"/>
        <w:spacing w:after="0" w:afterAutospacing="0" w:before="0" w:beforeAutospacing="0" w:lineRule="auto"/>
        <w:ind w:left="720" w:hanging="360"/>
        <w:rPr>
          <w:rFonts w:ascii="Tahoma" w:cs="Tahoma" w:eastAsia="Tahoma" w:hAnsi="Tahoma"/>
          <w:color w:val="ffffff"/>
        </w:rPr>
      </w:pP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מנהג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(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יהדות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) –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ויקיפדיה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, </w:t>
      </w:r>
      <w:hyperlink r:id="rId12">
        <w:r w:rsidDel="00000000" w:rsidR="00000000" w:rsidRPr="00000000">
          <w:rPr>
            <w:rFonts w:ascii="Tahoma" w:cs="Tahoma" w:eastAsia="Tahoma" w:hAnsi="Tahoma"/>
            <w:color w:val="ffffff"/>
            <w:sz w:val="21"/>
            <w:szCs w:val="21"/>
            <w:u w:val="single"/>
            <w:shd w:fill="22262b" w:val="clear"/>
            <w:rtl w:val="0"/>
          </w:rPr>
          <w:t xml:space="preserve">https://he.wikipedia.org/wiki/%D7%9E%D7%A0%D7%94%D7%92_(%D7%99%D7%94%D7%93%D7%95%D7%AA)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numPr>
          <w:ilvl w:val="0"/>
          <w:numId w:val="1"/>
        </w:numPr>
        <w:bidi w:val="1"/>
        <w:spacing w:after="0" w:afterAutospacing="0" w:before="0" w:beforeAutospacing="0" w:lineRule="auto"/>
        <w:ind w:left="720" w:hanging="360"/>
        <w:rPr>
          <w:rFonts w:ascii="Tahoma" w:cs="Tahoma" w:eastAsia="Tahoma" w:hAnsi="Tahoma"/>
          <w:color w:val="ffffff"/>
        </w:rPr>
      </w:pP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0"/>
        </w:rPr>
        <w:t xml:space="preserve">Private collection of Rabbi Abraham J. Klausner (Sign. P 68) - The EHRI Portal, </w:t>
      </w:r>
      <w:hyperlink r:id="rId13">
        <w:r w:rsidDel="00000000" w:rsidR="00000000" w:rsidRPr="00000000">
          <w:rPr>
            <w:rFonts w:ascii="Tahoma" w:cs="Tahoma" w:eastAsia="Tahoma" w:hAnsi="Tahoma"/>
            <w:color w:val="ffffff"/>
            <w:sz w:val="21"/>
            <w:szCs w:val="21"/>
            <w:u w:val="single"/>
            <w:shd w:fill="22262b" w:val="clear"/>
            <w:rtl w:val="0"/>
          </w:rPr>
          <w:t xml:space="preserve">https://portal.ehri-project.eu/units/us-005578-irn559428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0"/>
          <w:numId w:val="1"/>
        </w:numPr>
        <w:bidi w:val="1"/>
        <w:spacing w:after="0" w:afterAutospacing="0" w:before="0" w:beforeAutospacing="0" w:lineRule="auto"/>
        <w:ind w:left="720" w:hanging="360"/>
        <w:rPr>
          <w:rFonts w:ascii="Tahoma" w:cs="Tahoma" w:eastAsia="Tahoma" w:hAnsi="Tahoma"/>
          <w:color w:val="ffffff"/>
        </w:rPr>
      </w:pP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0"/>
        </w:rPr>
        <w:t xml:space="preserve">Abraham Klausner - Wikipedia, </w:t>
      </w:r>
      <w:hyperlink r:id="rId14">
        <w:r w:rsidDel="00000000" w:rsidR="00000000" w:rsidRPr="00000000">
          <w:rPr>
            <w:rFonts w:ascii="Tahoma" w:cs="Tahoma" w:eastAsia="Tahoma" w:hAnsi="Tahoma"/>
            <w:color w:val="ffffff"/>
            <w:sz w:val="21"/>
            <w:szCs w:val="21"/>
            <w:u w:val="single"/>
            <w:shd w:fill="22262b" w:val="clear"/>
            <w:rtl w:val="0"/>
          </w:rPr>
          <w:t xml:space="preserve">https://en.wikipedia.org/wiki/Abraham_Klausner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1"/>
        </w:numPr>
        <w:bidi w:val="1"/>
        <w:spacing w:after="0" w:afterAutospacing="0" w:before="0" w:beforeAutospacing="0" w:lineRule="auto"/>
        <w:ind w:left="720" w:hanging="360"/>
        <w:rPr>
          <w:rFonts w:ascii="Tahoma" w:cs="Tahoma" w:eastAsia="Tahoma" w:hAnsi="Tahoma"/>
          <w:color w:val="ffffff"/>
        </w:rPr>
      </w:pP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0"/>
        </w:rPr>
        <w:t xml:space="preserve">Abraham Klausner describes encountering survivors of the Dachau camp, </w:t>
      </w:r>
      <w:hyperlink r:id="rId15">
        <w:r w:rsidDel="00000000" w:rsidR="00000000" w:rsidRPr="00000000">
          <w:rPr>
            <w:rFonts w:ascii="Tahoma" w:cs="Tahoma" w:eastAsia="Tahoma" w:hAnsi="Tahoma"/>
            <w:color w:val="ffffff"/>
            <w:sz w:val="21"/>
            <w:szCs w:val="21"/>
            <w:u w:val="single"/>
            <w:shd w:fill="22262b" w:val="clear"/>
            <w:rtl w:val="0"/>
          </w:rPr>
          <w:t xml:space="preserve">https://encyclopedia.ushmm.org/content/en/oral-history/abraham-klausner-1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1"/>
        </w:numPr>
        <w:bidi w:val="1"/>
        <w:spacing w:after="0" w:afterAutospacing="0" w:before="0" w:beforeAutospacing="0" w:lineRule="auto"/>
        <w:ind w:left="720" w:hanging="360"/>
        <w:rPr>
          <w:rFonts w:ascii="Tahoma" w:cs="Tahoma" w:eastAsia="Tahoma" w:hAnsi="Tahoma"/>
          <w:color w:val="ffffff"/>
        </w:rPr>
      </w:pP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אודות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השואה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|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יד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ושם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-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רשות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הזיכרון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לשואה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ולגבורה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1"/>
        </w:rPr>
        <w:t xml:space="preserve"> -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0"/>
        </w:rPr>
        <w:t xml:space="preserve">Yad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0"/>
        </w:rPr>
        <w:t xml:space="preserve"> 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0"/>
        </w:rPr>
        <w:t xml:space="preserve">Vashem</w:t>
      </w: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0"/>
        </w:rPr>
        <w:t xml:space="preserve">, </w:t>
      </w:r>
      <w:hyperlink r:id="rId16">
        <w:r w:rsidDel="00000000" w:rsidR="00000000" w:rsidRPr="00000000">
          <w:rPr>
            <w:rFonts w:ascii="Tahoma" w:cs="Tahoma" w:eastAsia="Tahoma" w:hAnsi="Tahoma"/>
            <w:color w:val="ffffff"/>
            <w:sz w:val="21"/>
            <w:szCs w:val="21"/>
            <w:u w:val="single"/>
            <w:shd w:fill="22262b" w:val="clear"/>
            <w:rtl w:val="0"/>
          </w:rPr>
          <w:t xml:space="preserve">https://www.yadvashem.org/he/taxonomy/term/528.html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0"/>
          <w:numId w:val="1"/>
        </w:numPr>
        <w:bidi w:val="1"/>
        <w:spacing w:after="0" w:afterAutospacing="0" w:before="0" w:beforeAutospacing="0" w:lineRule="auto"/>
        <w:ind w:left="720" w:hanging="360"/>
        <w:rPr>
          <w:rFonts w:ascii="Tahoma" w:cs="Tahoma" w:eastAsia="Tahoma" w:hAnsi="Tahoma"/>
          <w:color w:val="ffffff"/>
        </w:rPr>
      </w:pPr>
      <w:r w:rsidDel="00000000" w:rsidR="00000000" w:rsidRPr="00000000">
        <w:rPr>
          <w:rFonts w:ascii="Tahoma" w:cs="Tahoma" w:eastAsia="Tahoma" w:hAnsi="Tahoma"/>
          <w:color w:val="ffffff"/>
          <w:sz w:val="21"/>
          <w:szCs w:val="21"/>
          <w:shd w:fill="22262b" w:val="clear"/>
          <w:rtl w:val="0"/>
        </w:rPr>
        <w:t xml:space="preserve">Oral history interview with Abraham Klausner - Collections Search - United States Holocaust Memorial Museum, </w:t>
      </w:r>
      <w:hyperlink r:id="rId17">
        <w:r w:rsidDel="00000000" w:rsidR="00000000" w:rsidRPr="00000000">
          <w:rPr>
            <w:rFonts w:ascii="Tahoma" w:cs="Tahoma" w:eastAsia="Tahoma" w:hAnsi="Tahoma"/>
            <w:color w:val="ffffff"/>
            <w:sz w:val="21"/>
            <w:szCs w:val="21"/>
            <w:u w:val="single"/>
            <w:shd w:fill="22262b" w:val="clear"/>
            <w:rtl w:val="0"/>
          </w:rPr>
          <w:t xml:space="preserve">https://collections.ushmm.org/search/catalog/irn511057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5"/>
        </w:numPr>
        <w:bidi w:val="1"/>
        <w:spacing w:after="0" w:afterAutospacing="0" w:before="0" w:beforeAutospacing="0" w:lineRule="auto"/>
        <w:ind w:left="720" w:hanging="360"/>
        <w:rPr>
          <w:rFonts w:ascii="Tahoma" w:cs="Tahoma" w:eastAsia="Tahoma" w:hAnsi="Tahoma"/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5"/>
        </w:numPr>
        <w:bidi w:val="1"/>
        <w:spacing w:after="0" w:afterAutospacing="0" w:before="0" w:beforeAutospacing="0" w:lineRule="auto"/>
        <w:ind w:left="720" w:hanging="360"/>
        <w:rPr>
          <w:rFonts w:ascii="Tahoma" w:cs="Tahoma" w:eastAsia="Tahoma" w:hAnsi="Tahoma"/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5"/>
        </w:numPr>
        <w:bidi w:val="1"/>
        <w:spacing w:after="0" w:afterAutospacing="0" w:before="0" w:beforeAutospacing="0" w:lineRule="auto"/>
        <w:ind w:left="720" w:hanging="360"/>
        <w:rPr>
          <w:rFonts w:ascii="Tahoma" w:cs="Tahoma" w:eastAsia="Tahoma" w:hAnsi="Tahoma"/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5"/>
        </w:numPr>
        <w:bidi w:val="1"/>
        <w:spacing w:after="0" w:afterAutospacing="0" w:before="0" w:beforeAutospacing="0" w:lineRule="auto"/>
        <w:ind w:left="720" w:hanging="360"/>
        <w:rPr>
          <w:rFonts w:ascii="Tahoma" w:cs="Tahoma" w:eastAsia="Tahoma" w:hAnsi="Tahoma"/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5"/>
        </w:numPr>
        <w:bidi w:val="1"/>
        <w:spacing w:after="0" w:afterAutospacing="0" w:before="0" w:beforeAutospacing="0" w:lineRule="auto"/>
        <w:ind w:left="720" w:hanging="360"/>
        <w:rPr>
          <w:rFonts w:ascii="Tahoma" w:cs="Tahoma" w:eastAsia="Tahoma" w:hAnsi="Tahoma"/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5"/>
        </w:numPr>
        <w:bidi w:val="1"/>
        <w:spacing w:after="0" w:afterAutospacing="0" w:before="0" w:beforeAutospacing="0" w:lineRule="auto"/>
        <w:ind w:left="720" w:hanging="360"/>
        <w:rPr>
          <w:rFonts w:ascii="Tahoma" w:cs="Tahoma" w:eastAsia="Tahoma" w:hAnsi="Tahoma"/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5"/>
        </w:numPr>
        <w:bidi w:val="1"/>
        <w:spacing w:after="0" w:afterAutospacing="0" w:before="0" w:beforeAutospacing="0" w:lineRule="auto"/>
        <w:ind w:left="720" w:hanging="360"/>
        <w:rPr>
          <w:rFonts w:ascii="Tahoma" w:cs="Tahoma" w:eastAsia="Tahoma" w:hAnsi="Tahoma"/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0"/>
          <w:numId w:val="5"/>
        </w:numPr>
        <w:bidi w:val="1"/>
        <w:spacing w:after="0" w:afterAutospacing="0" w:before="0" w:beforeAutospacing="0" w:lineRule="auto"/>
        <w:ind w:left="720" w:hanging="360"/>
        <w:rPr>
          <w:rFonts w:ascii="Tahoma" w:cs="Tahoma" w:eastAsia="Tahoma" w:hAnsi="Tahoma"/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5"/>
        </w:numPr>
        <w:bidi w:val="1"/>
        <w:spacing w:after="0" w:afterAutospacing="0" w:before="0" w:beforeAutospacing="0" w:lineRule="auto"/>
        <w:ind w:left="720" w:hanging="360"/>
        <w:rPr>
          <w:rFonts w:ascii="Tahoma" w:cs="Tahoma" w:eastAsia="Tahoma" w:hAnsi="Tahoma"/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5"/>
        </w:numPr>
        <w:bidi w:val="1"/>
        <w:spacing w:after="0" w:afterAutospacing="0" w:before="0" w:beforeAutospacing="0" w:lineRule="auto"/>
        <w:ind w:left="720" w:hanging="360"/>
        <w:rPr>
          <w:rFonts w:ascii="Tahoma" w:cs="Tahoma" w:eastAsia="Tahoma" w:hAnsi="Tahoma"/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5"/>
        </w:numPr>
        <w:bidi w:val="1"/>
        <w:spacing w:after="0" w:afterAutospacing="0" w:before="0" w:beforeAutospacing="0" w:lineRule="auto"/>
        <w:ind w:left="720" w:hanging="360"/>
        <w:rPr>
          <w:rFonts w:ascii="Tahoma" w:cs="Tahoma" w:eastAsia="Tahoma" w:hAnsi="Tahoma"/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5"/>
        </w:numPr>
        <w:bidi w:val="1"/>
        <w:spacing w:after="0" w:afterAutospacing="0" w:before="0" w:beforeAutospacing="0" w:lineRule="auto"/>
        <w:ind w:left="720" w:hanging="360"/>
        <w:rPr>
          <w:rFonts w:ascii="Tahoma" w:cs="Tahoma" w:eastAsia="Tahoma" w:hAnsi="Tahoma"/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5"/>
        </w:numPr>
        <w:bidi w:val="1"/>
        <w:spacing w:after="0" w:afterAutospacing="0" w:before="0" w:beforeAutospacing="0" w:lineRule="auto"/>
        <w:ind w:left="720" w:hanging="360"/>
        <w:rPr>
          <w:rFonts w:ascii="Tahoma" w:cs="Tahoma" w:eastAsia="Tahoma" w:hAnsi="Tahoma"/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6"/>
        </w:numPr>
        <w:bidi w:val="1"/>
        <w:spacing w:after="0" w:afterAutospacing="0" w:before="0" w:beforeAutospacing="0" w:lineRule="auto"/>
        <w:ind w:left="720" w:hanging="360"/>
        <w:rPr>
          <w:rFonts w:ascii="Tahoma" w:cs="Tahoma" w:eastAsia="Tahoma" w:hAnsi="Tahoma"/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6"/>
        </w:numPr>
        <w:bidi w:val="1"/>
        <w:spacing w:after="0" w:afterAutospacing="0" w:before="0" w:beforeAutospacing="0" w:lineRule="auto"/>
        <w:ind w:left="720" w:hanging="360"/>
        <w:rPr>
          <w:rFonts w:ascii="Tahoma" w:cs="Tahoma" w:eastAsia="Tahoma" w:hAnsi="Tahoma"/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6"/>
        </w:numPr>
        <w:bidi w:val="1"/>
        <w:spacing w:after="0" w:afterAutospacing="0" w:before="0" w:beforeAutospacing="0" w:lineRule="auto"/>
        <w:ind w:left="720" w:hanging="360"/>
        <w:rPr>
          <w:rFonts w:ascii="Tahoma" w:cs="Tahoma" w:eastAsia="Tahoma" w:hAnsi="Tahoma"/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0"/>
          <w:numId w:val="6"/>
        </w:numPr>
        <w:bidi w:val="1"/>
        <w:spacing w:after="0" w:afterAutospacing="0" w:before="0" w:beforeAutospacing="0" w:lineRule="auto"/>
        <w:ind w:left="720" w:hanging="360"/>
        <w:rPr>
          <w:rFonts w:ascii="Tahoma" w:cs="Tahoma" w:eastAsia="Tahoma" w:hAnsi="Tahoma"/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6"/>
        </w:numPr>
        <w:bidi w:val="1"/>
        <w:spacing w:after="0" w:afterAutospacing="0" w:before="0" w:beforeAutospacing="0" w:lineRule="auto"/>
        <w:ind w:left="720" w:hanging="360"/>
        <w:rPr>
          <w:rFonts w:ascii="Tahoma" w:cs="Tahoma" w:eastAsia="Tahoma" w:hAnsi="Tahoma"/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0"/>
          <w:numId w:val="6"/>
        </w:numPr>
        <w:bidi w:val="1"/>
        <w:spacing w:after="0" w:afterAutospacing="0" w:before="0" w:beforeAutospacing="0" w:lineRule="auto"/>
        <w:ind w:left="720" w:hanging="360"/>
        <w:rPr>
          <w:rFonts w:ascii="Tahoma" w:cs="Tahoma" w:eastAsia="Tahoma" w:hAnsi="Tahoma"/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0"/>
          <w:numId w:val="6"/>
        </w:numPr>
        <w:bidi w:val="1"/>
        <w:spacing w:after="0" w:afterAutospacing="0" w:before="0" w:beforeAutospacing="0" w:lineRule="auto"/>
        <w:ind w:left="720" w:hanging="360"/>
        <w:rPr>
          <w:rFonts w:ascii="Tahoma" w:cs="Tahoma" w:eastAsia="Tahoma" w:hAnsi="Tahoma"/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0"/>
          <w:numId w:val="6"/>
        </w:numPr>
        <w:bidi w:val="1"/>
        <w:spacing w:after="0" w:afterAutospacing="0" w:before="0" w:beforeAutospacing="0" w:lineRule="auto"/>
        <w:ind w:left="720" w:hanging="360"/>
        <w:rPr>
          <w:rFonts w:ascii="Tahoma" w:cs="Tahoma" w:eastAsia="Tahoma" w:hAnsi="Tahoma"/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0"/>
          <w:numId w:val="6"/>
        </w:numPr>
        <w:bidi w:val="1"/>
        <w:spacing w:after="0" w:afterAutospacing="0" w:before="0" w:beforeAutospacing="0" w:lineRule="auto"/>
        <w:ind w:left="720" w:hanging="360"/>
        <w:rPr>
          <w:rFonts w:ascii="Tahoma" w:cs="Tahoma" w:eastAsia="Tahoma" w:hAnsi="Tahoma"/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0"/>
          <w:numId w:val="6"/>
        </w:numPr>
        <w:bidi w:val="1"/>
        <w:spacing w:after="0" w:afterAutospacing="0" w:before="0" w:beforeAutospacing="0" w:lineRule="auto"/>
        <w:ind w:left="720" w:hanging="360"/>
        <w:rPr>
          <w:rFonts w:ascii="Tahoma" w:cs="Tahoma" w:eastAsia="Tahoma" w:hAnsi="Tahoma"/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numPr>
          <w:ilvl w:val="0"/>
          <w:numId w:val="6"/>
        </w:numPr>
        <w:bidi w:val="1"/>
        <w:spacing w:after="0" w:afterAutospacing="0" w:before="0" w:beforeAutospacing="0" w:lineRule="auto"/>
        <w:ind w:left="720" w:hanging="360"/>
        <w:rPr>
          <w:rFonts w:ascii="Tahoma" w:cs="Tahoma" w:eastAsia="Tahoma" w:hAnsi="Tahoma"/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0"/>
          <w:numId w:val="6"/>
        </w:numPr>
        <w:bidi w:val="1"/>
        <w:spacing w:after="240" w:before="0" w:beforeAutospacing="0" w:lineRule="auto"/>
        <w:ind w:left="720" w:hanging="360"/>
        <w:rPr>
          <w:rFonts w:ascii="Tahoma" w:cs="Tahoma" w:eastAsia="Tahoma" w:hAnsi="Tahoma"/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bidi w:val="1"/>
        <w:spacing w:after="0" w:before="0" w:lineRule="auto"/>
        <w:ind w:left="-20" w:right="-20" w:firstLine="0"/>
        <w:rPr>
          <w:rFonts w:ascii="Tahoma" w:cs="Tahoma" w:eastAsia="Tahoma" w:hAnsi="Tahoma"/>
          <w:color w:val="ffffff"/>
          <w:sz w:val="24"/>
          <w:szCs w:val="24"/>
        </w:rPr>
      </w:pPr>
      <w:r w:rsidDel="00000000" w:rsidR="00000000" w:rsidRPr="00000000">
        <w:rPr>
          <w:rFonts w:ascii="Tahoma" w:cs="Tahoma" w:eastAsia="Tahoma" w:hAnsi="Tahoma"/>
          <w:color w:val="ffffff"/>
          <w:sz w:val="24"/>
          <w:szCs w:val="24"/>
          <w:rtl w:val="0"/>
        </w:rPr>
        <w:t xml:space="preserve">Reply ready.</w:t>
      </w:r>
    </w:p>
    <w:p w:rsidR="00000000" w:rsidDel="00000000" w:rsidP="00000000" w:rsidRDefault="00000000" w:rsidRPr="00000000" w14:paraId="0000008A">
      <w:pPr>
        <w:bidi w:val="1"/>
        <w:rPr>
          <w:rFonts w:ascii="Tahoma" w:cs="Tahoma" w:eastAsia="Tahoma" w:hAnsi="Tahoma"/>
          <w:color w:val="ffffff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Tahoma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f2f2f2"/>
        <w:sz w:val="21"/>
        <w:szCs w:val="21"/>
        <w:u w:val="none"/>
        <w:shd w:fill="22262b" w:val="clear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f2f2f2"/>
        <w:sz w:val="21"/>
        <w:szCs w:val="21"/>
        <w:u w:val="none"/>
        <w:shd w:fill="22262b" w:val="clear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f2f2f2"/>
        <w:sz w:val="21"/>
        <w:szCs w:val="21"/>
        <w:u w:val="none"/>
        <w:shd w:fill="22262b" w:val="clear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f2f2f2"/>
        <w:sz w:val="21"/>
        <w:szCs w:val="21"/>
        <w:u w:val="none"/>
        <w:shd w:fill="22262b" w:val="clear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c7c7c7"/>
        <w:sz w:val="21"/>
        <w:szCs w:val="21"/>
        <w:u w:val="none"/>
        <w:shd w:fill="22262b" w:val="clear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c7c7c7"/>
        <w:sz w:val="21"/>
        <w:szCs w:val="21"/>
        <w:u w:val="none"/>
        <w:shd w:fill="22262b" w:val="clear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hebrewbooks.org/pdfpager.aspx?req=46975&amp;pgnum=1" TargetMode="External"/><Relationship Id="rId10" Type="http://schemas.openxmlformats.org/officeDocument/2006/relationships/hyperlink" Target="https://www.jewishencyclopedia.com/articles/496-abraham-klausner" TargetMode="External"/><Relationship Id="rId13" Type="http://schemas.openxmlformats.org/officeDocument/2006/relationships/hyperlink" Target="https://portal.ehri-project.eu/units/us-005578-irn559428" TargetMode="External"/><Relationship Id="rId12" Type="http://schemas.openxmlformats.org/officeDocument/2006/relationships/hyperlink" Target="https://he.wikipedia.org/wiki/%D7%9E%D7%A0%D7%94%D7%92_(%D7%99%D7%94%D7%93%D7%95%D7%AA)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en.wikipedia.org/wiki/Abraham_Klausner_(Austrian_rabbi)" TargetMode="External"/><Relationship Id="rId15" Type="http://schemas.openxmlformats.org/officeDocument/2006/relationships/hyperlink" Target="https://encyclopedia.ushmm.org/content/en/oral-history/abraham-klausner-1" TargetMode="External"/><Relationship Id="rId14" Type="http://schemas.openxmlformats.org/officeDocument/2006/relationships/hyperlink" Target="https://en.wikipedia.org/wiki/Abraham_Klausner" TargetMode="External"/><Relationship Id="rId17" Type="http://schemas.openxmlformats.org/officeDocument/2006/relationships/hyperlink" Target="https://collections.ushmm.org/search/catalog/irn511057" TargetMode="External"/><Relationship Id="rId16" Type="http://schemas.openxmlformats.org/officeDocument/2006/relationships/hyperlink" Target="https://www.yadvashem.org/he/taxonomy/term/528.html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encyclopedia.com/religion/encyclopedias-almanacs-transcripts-and-maps/klausner-abraham" TargetMode="External"/><Relationship Id="rId7" Type="http://schemas.openxmlformats.org/officeDocument/2006/relationships/hyperlink" Target="https://he.wikipedia.org/wiki/%D7%90%D7%91%D7%A8%D7%94%D7%9D_%D7%A7%D7%9C%D7%95%D7%99%D7%96%D7%A0%D7%A8" TargetMode="External"/><Relationship Id="rId8" Type="http://schemas.openxmlformats.org/officeDocument/2006/relationships/hyperlink" Target="https://he.wikipedia.org/wiki/%D7%99%D7%A6%D7%97%D7%A7_%D7%90%D7%99%D7%99%D7%96%D7%99%D7%A7_%D7%9E%D7%98%D7%99%D7%A8%D7%A0%D7%90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