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התורנית ומורשתו של רבנו נסים בן יעקב מקירואן</w:t>
      </w:r>
    </w:p>
    <w:p>
      <w:r>
        <w:t>הקשר היסטורי-תרבותי ותולדות חייו</w:t>
      </w:r>
    </w:p>
    <w:p>
      <w:r>
        <w:t>במהלך המאה ה-11 חוותה היהדות הים-תיכונית תהליך עמוק של העתקת מרכזי הכובד הרוחניים וההלכתיים [cite: 1, 2]. לצד שקיעתן הדרגתית של ישיבות בבל ההיסטוריות בסורא ובפומבדיתא, צמחו מרכזים תורניים עצמאיים ומשגשגים בצפון אפריקה ובחצי האי האיברי [cite: 1, 2]. בלב תהליך תרבותי ודתי זה עמדה העיר קירואן (אל-קירואן, בתוניסיה של ימינו), אשר הפכה למוקד מסחרי, רוחני ולמדני ראשון במעלה בעולם היהודי-האיסלאמי [cite: 2, 3].</w:t>
      </w:r>
    </w:p>
    <w:p>
      <w:r>
        <w:t>רבנו נסים בן יעקב אבן שהין, המוכר בספרות התורנית כרב ניסים גאון, נולד בקירואן בסביבות שנת 990 למניינם [cite: 1, 2]. שם המשפחה "אבן שהין" מעיד על שורשים פרסיים קדומים של משפחתו [cite: 2]. אביו, רבי יעקב בן נסים, עמד בראש בית המדרש המקומי וכיהן כנציג הרשמי של ישיבות בבל עבור כל קהילות צפון אפריקה [cite: 1, 2]. רבי יעקב קנה את פרסומו ההיסטורי גם בזכות פנייתו המפורסמת בשנת 987 למניינם אל רב שרירא גאון בשם קהילת קירואן, שבה שאל על השתלשלות כתיבת המשנה והתלמוד – פנייה שהולידה את "איגרת רב שרירא גאון" המכוננת [cite: 2]. אימו של רבנו נסים הייתה ממשפחתו של המשורר והמדקדק הנודע דונש בן לברט [cite: 2].</w:t>
      </w:r>
    </w:p>
    <w:p>
      <w:r>
        <w:t>תקופת בגרותו של רב נסים עמדה בסימן תהפוכות פוליטיות וביטחוניות קשות באזור אפריקיה [cite: 2]. המאבק בין השושלת הפאטימית לבין השושלת הזירידית המקומית, בצד פלישת שבטי הבדואים בנו הילאל ובנו סולים, הביאו לחורבנה הכלכלי והפיזי ההדרגתי של קירואן [cite: 2]. בעקבות אי-השקט הפוליטי והידרדרות המצב הביטחוני, נאלץ רב נסים לעזוב את קירואן, ושנותיו האחרונות עברו עליו בעיר המהדיה, שם נפטר בסביבות שנת 1062 למניינם [cite: 2].</w:t>
      </w:r>
    </w:p>
    <w:p>
      <w:r>
        <w:t>אף על פי שרב נסים לא כיהן באופן רשמי כגאון באחת מישיבות בבל, הוענק לו התואר "גאון" על ידי בני דורו והדורות לבוא כתואר כבוד, מתוך הכרה בסמכותו התורנית העליונה ובמנהיגותו בישיבת קירואן, שנחשבה בשעתה למרכז תורה מרכזי השקול במעמדו לישיבות בבל [cite: 2, 4].</w:t>
      </w:r>
    </w:p>
    <w:p>
      <w:r>
        <w:t>רבותיו, קשריו התורניים ומעגלי השפעה הדדיים</w:t>
      </w:r>
    </w:p>
    <w:p>
      <w:r>
        <w:t>הכשרתו התורנית של רבנו נסים התעצבה בראש ובראשונה בבית מדרשו של אביו [cite: 1, 2]. לאחר פטירת אביו בשנת 1006 למניינם, המשיך את לימודיו אצל רבי חושיאל בן אלחנן, שהגיע לקירואן והפך לראש הישיבה [cite: 1, 2]. לאחר פטירת רבי חושיאל, תפס רב נסים את מקומו בראשות הישיבה, תוך שיתוף פעולה הדוק ורציף עם חברו וידידו, רבנו חננאל בן חושיאל [cite: 1, 2].</w:t>
      </w:r>
    </w:p>
    <w:p>
      <w:r>
        <w:t>במקביל להנהגת הישיבה בקירואן, טיפח רב נסים חליפת מכתבים מסועפת והדוקה עם אחרון גאוני בבל, רב האי גאון בפומבדיתא [cite: 1]. קשר זה שימש צינור חיוני להעברת מסורות הלימוד והפסיקה הבבלית אל מרכזי התורה בצפון אפריקה ומשם לספרד [cite: 1]. רב נסים שימש כחוליה מקשרת וכמתווך מרכזי בין רב האי גאון לבין רבי שמואל הנגיד (אבן נגרילה) בגרנדה, והיה אחראי להעברת תשובות ההלכה של הגאון לספרד [cite: 1].</w:t>
      </w:r>
    </w:p>
    <w:p>
      <w:r>
        <w:t>הקשר בין רב נסים לרבי שמואל הנגיד חרג מגבולות החלפת שאלות ותשובות בהלכה, והתאפיין בהערכה הדדית עמוקה ואף בקשר פיוטי ואישי [cite: 1, 4]. שמואל הנגיד שיבח את שיריו של רב נסים וציין את איכותם הגבוהה [cite: 4]. הידוק היחסים בין השניים הגיע לשיאו בשנת 1049 למניינם, כאשר בתו היחידה של רב נסים נישאה ליוסף, בנו של שמואל הנגיד [cite: 1, 2]. בת זו מתוארת במקורות ההיסטוריים, ובפרט ב"ספר הקבלה" לרבי אברהם אבן דאוד, כאישה מלומדת בתורה, חכמה ויראת שמים [cite: 1, 5]. לאחר הירצחו של יוסף הנגיד בפרעות גרנדה בשנת 1066 למניינם, נמלטה בתו של רב נסים ללוסנה, שם זכתה לתמיכה רחבה מצד הקהילה היהודית המקומית [cite: 1].</w:t>
      </w:r>
    </w:p>
    <w:p>
      <w:r>
        <w:t>היצירה הספרותית והמבנה הסוגתי של חיבוריו</w:t>
      </w:r>
    </w:p>
    <w:p>
      <w:r>
        <w:t>רבנו נסים בן יעקב היה מחבר פורפורה ורב-גוני, אשר הותיר אחריו נכסים ספרותיים במגוון סוגות: פרשנות תלמודית, הלכה פסיקתית, מחשבה ופילוסופיה, וספרות מוסר ואגדה [cite: 1, 2, 4, 6]. חלק מחיבוריו נכתבו בעברית וחלקם בערבית-יהודית [cite: 1, 2, 4, 6].</w:t>
      </w:r>
    </w:p>
    <w:p>
      <w:r>
        <w:t>שם החיבור | שפת המקור | סוגה תורנית/ספרותית | מצב השתמרות כיום | מאפיינים מרכזיים ותכנים</w:t>
      </w:r>
    </w:p>
    <w:p>
      <w:r>
        <w:t>ספר מפתח מנעולי התלמוד | עברית / ערבית-יהודית | פרשנות ומבוא לתלמוד | חלקי (מסכתות ברכות, שבת, עירובין ועוד) | הפניות צולבות, איתור מקורות, שימוש בירושלמי, ניתוח דרכי הדיון התלמודי [cite: 1, 2, 7, 8]</w:t>
      </w:r>
    </w:p>
    <w:p>
      <w:r>
        <w:t>חיבור יפה מהישועה (Kitab al-Faraj) | ערבית-יהודית | אגדה, מוסר ופילוסופיה עממית | שלם (תורגם לעברית וללשונות נוספות) | קובץ מעשיות לנחמה בעת צרה, שילוב אגדות חז"ל ומוטיבים כלל-איסלאמיים [cite: 1, 2, 4, 6, 9, 10]</w:t>
      </w:r>
    </w:p>
    <w:p>
      <w:r>
        <w:t>מגילת סתרים | עברית / ערבית-יהודית | שו"ת, הלכה ופילוסופיה | מקטעים (שחזור מגניזת קהיר) | 250 סימנים, דיון בהשתלשלות התורה שבעל פה (תואתר) ופסיקה הלכתית [cite: 1, 2, 4, 11]</w:t>
      </w:r>
    </w:p>
    <w:p>
      <w:r>
        <w:t>פירוש על התורה | ערבית-יהודית | פרשנות המקרא | אבוד (שרידים בציטוטים) | פרשנות המשלבת פשט עם תפיסות פילוסופיות ורציונליסטיות [cite: 1, 4, 12]</w:t>
      </w:r>
    </w:p>
    <w:p>
      <w:r>
        <w:t>ספר המצוות | ערבית-יהודית | מניין המצוות | אבוד (מוזכר בספרות המאוחרת) | סיווג ומודל מיוני של תרי"ג מצוות [cite: 1, 4]</w:t>
      </w:r>
    </w:p>
    <w:p>
      <w:r>
        <w:t>סידור תפילה | עברית / ערבית-יהודית | ליטורגיה והלכות תפילה | אבוד | סדר תפילות בצד ביאורים הלכתיים [cite: 1, 4]</w:t>
      </w:r>
    </w:p>
    <w:p>
      <w:r>
        <w:t>הלכות לולב | עברית / ערבית-יהודית | הלכה מונוגרפית | אבוד | פסק הלכה מפורט ופולמוס נגד הגישה הקראית [cite: 1, 4]</w:t>
      </w:r>
    </w:p>
    <w:p>
      <w:r>
        <w:t>חיבורו המפורסם ביותר של רב נסים בתחום הלמדני הוא "ספר מפתח מנעולי התלמוד" (המוכר כ"ספר המפתח") [cite: 1, 7]. מטרתו היסודית של החיבור הייתה לפענח את סוגיות התלמוד הבבלי המובאות בקיצור או ברמיזה, באמצעות הפניית הלומד למקבילות מפורטות במקומות אחרים בספרות התלמודית [cite: 1, 4, 7]. החיבור מסתמך באופן נרחב על התוספתא, מכילתא, ספרא, ספרי, ובמיוחד על התלמוד הירושלמי [cite: 1, 2, 7]. במבוא לחיבור זה מנסח רב נסים כללים הרמנויטיים ומתודולוגיים להבנת דרכי הדיון התלמודי (המשא והמתן התלמודי – שקלא וטריא) [cite: 7, 8]. החיבור אינו מסתפק בציון מראי מקומות בלבד, אלא כולל ניתוח פרשני מעמיק המיישב סתירות ומבהיר את המושגים הנדונים [cite: 1, 7]. החיבור הודפס בשולי דפי תלמוד וילנא במסכתות מסוימות וזכה למעמד קנוני [cite: 1, 4, 8].</w:t>
      </w:r>
    </w:p>
    <w:p>
      <w:r>
        <w:t>לצד עבודתו העיונית, חיבר רב נסים את "חיבור יפה מהישועה" (Kitab al-Faraj ba'd al-Shidda), שנכתב בערבית-יהודית ונחשב לאחת מיצירות הסיפורת והמוסר המוקדמות והמשפיעות ביותר בימי הביניים [cite: 2, 4, 6, 10]. הספר נכתב במקור כספר נחמה עבור חותנו דונש, שנקלע לצרה קשה, במטרה לחזק את אמונתו ואת רוחו [cite: 1, 2, 4]. החיבור שייך לסוגה הספרותית הערבית-איסלאמית של al-faraj ba'd al-shidda ("הרווחה לאחר המצוקה"), אך הוא מבוסס על אגדות חז"ל, מקורות גאוניים וסיפורי עם [cite: 1, 2, 4, 6, 10]. החיבור נועד לחזק את האמונה בהשגחה אלוהית ובגמול, ומכיל עיבודים ספרותיים מורכבים [cite: 1, 2, 10]. במסגרת דיוניו בחיבור זה, מתייחס רב נסים גם לסוגיות חברתיות וחינוכיות [cite: 5]. בדיונו על איסור לימוד תורה לנשים, הוא מקבל את עמדת חז"ל המסתייגת מלימוד עמוק של פלפול וסברא לנשים מחשש לערמומיות, אך בד בבד הוא מדגיש את החובה ללמדן את עיקרי המצוות, היסודות וההלכות המעשיות כדי שיוכלו לשמר את המסורת [cite: 5].</w:t>
      </w:r>
    </w:p>
    <w:p>
      <w:r>
        <w:t>חיבור מרכזי נוסף הוא "מגילת סתרים", שהיה אחת היצירות המוערכות והמצוטטות ביותר בקרב חכמי הראשונים בספרד, אשכנז ופרובנס [cite: 1, 2, 4]. החיבור כלל כ-250 סימנים המרכזים תשובות לשאלות הלכתיות חמורות, סוגיות עמוקות בתלמוד ודיונים פילוסופיים [cite: 4]. הספר נכתב ברובו בעברית, דבר שסייע לתפוצתו הרחבה בעולם היהודי [cite: 2]. החיבור אבד ברוב חלקיו במהלך השנים, אך מקטעים רבים ממנו שנחשפו בגניזת קהיר הופענחו ויצאו לאור על ידי חוקרים כמו שמחה אסף, שרגא אברמסון והרב יוסף קאפח [cite: 2, 4]. בין דיוניו המרכזיים בחיבור זה מופיע בירור מקיף של אמינות מסורת התורה שבעל פה באמצעות מושג ה"תואתר" – הרצף התמסורתי הבלתי-נפסק [cite: 4, 11].</w:t>
      </w:r>
    </w:p>
    <w:p>
      <w:r>
        <w:t>היקף יצירתו של רב נסים כולל גם חיבורים שלא שרדו במלואם אך הותירו רישום מובהק בספרות המאוחרת, כגון פירושו על התורה, שהיה בעל אופי פילוסופי-רציונליסטי [cite: 1, 4, 12], "ספר המצוות" העוסק במניין המצוות וסיווגן [cite: 1, 4], סידור תפילה המשלב הלכות ליטורגיות [cite: 1, 4], ו"הלכות לולב" שכלל פולמוס נוקב נגד התפיסה הקראית [cite: 1, 4].</w:t>
      </w:r>
    </w:p>
    <w:p>
      <w:r>
        <w:t>המתודולוגיה הפרשנית והתפיסה ההגותית-פילוסופית</w:t>
      </w:r>
    </w:p>
    <w:p>
      <w:r>
        <w:t>שיטתו הפרשנית של רב נסים גאון מתאפיינת בגישה סיסטמתית, השוואתית ורציונלית [cite: 1, 2, 7, 12]. בניגוד לגישה הפרשנית שפותחה באשכנז, שהתמקדה בביאור מילולי נקודתי של הטקסט, אסכולת קירואן בהובלת רב נסים ורבנו חננאל פיתחה שיטה של פרפראזה רחבה והסברת הֶקשרים מקיפים של הסוגיה התלמודית [cite: 2]. מאפיין בולט בשיטתו הוא השימוש המוגבר בתלמוד הירושלמי ככלי מפתח להבהרת סוגיות עמומות בתלמוד הבבלי [cite: 1, 2, 7]. רב נסים ראה בירושלמי מקור מוסמך המשקף מסורת תנאית ואמוראית קדומה, ובמקרים מסוימים פירש את הבבלי על פי המקבילה הירושלמית או העדיף את הסברה העולה ממנה [cite: 1, 7].</w:t>
      </w:r>
    </w:p>
    <w:p>
      <w:r>
        <w:t>במישור ההגותי והפילוסופי, היה רב נסים מעורב לעומק בחשיבה הדיאלקטית של זמנו [cite: 4, 12]. הוא אימץ גישה רציונליסטית מובהקת ביחס לאגדות חז"ל ולתיאורים הגשמיים (אנתרופומורפיזם) המופיעים בספרות חז"ל [cite: 12, 13]. בהסתמכו על עמדתו העקרונית של רב האי גאון, קבע רב נסים כי אין ללמוד עיקרי אמונה או הלכה ממאמרי אגדה שאינם מתיישבים עם השכל הישר או עם פשוטי המקראות, ויש לפרש מאמרים תמוהים אלה כמשלים או כביטויים אלגוריים [cite: 12, 13]. בספריו ניכרת התמודדות מעמיקה עם בעיית הצדק האלוהי (תיאודיציאה), סוגיות שכר ועונש, והבחנה בין מצוות שמעיות למצוות שכליות [cite: 1, 14]. תפיסתו ההגותית הושפעה ממחשבת הכלאם היהודי והמוסלמי, והוא חתר להציג מערכת שבה התורה והתבונה השכלית דרות בכפיפה אחת [cite: 4, 9, 12, 14].</w:t>
      </w:r>
    </w:p>
    <w:p>
      <w:r>
        <w:t>השילוב הבין-תרבותי אצל רב נסים בא לידי ביטוי מובהק גם בזיקתו לספרות ולפולקלור הערבי [cite: 4, 6, 9, 10]. ניתוח טקסטואלי של כתביו מגלה כי היה בקיא בספרות הערבית הקלאסית, ובממצאים מגניזת קהיר אף נמצאו בכתביו ציטוטים ואזכורים של אמירות מתוך הקוראן [cite: 4]. ניתוח נרטיבי של הסיפורים ב"חיבור יפה מהישועה" – כדוגמת המפגש בין אליהו הנביא לרבי יהושע בן לוי – מראה זיקה מבנית ותמאטית מובהקת למסורות איסלאמיות מקבילות, כגון מסורות אל-ח'דר [cite: 9]. רב נסים לא העתיק טקסטים אלה בצורה סבילה, אלא פעל בתוך מרחב נרטיבי ים-תיכוני משותף, תוך גיור המוטיבים והכפפתם הנורמטיבית לערכי האמונה והמוסר היהודיים [cite: 9, 10].</w:t>
      </w:r>
    </w:p>
    <w:p>
      <w:r>
        <w:t>תלמידיו, השפעתו ומורשתו לדורות</w:t>
      </w:r>
    </w:p>
    <w:p>
      <w:r>
        <w:t>השפעתו של רב נסים בן יעקב על ההתפתחות ההלכתית והתרבותית של היהדות בדורות שאחריו הייתה כבירה, והוא נחשב לאחד מגשרי המעבר המרכזיים מתקופת הגאונים לתקופת הראשונים [cite: 1, 2]. בין תלמידיו הישירים המצוינים במקורות נמנה חכמים כמו אבן אלגאסום, מחבר ספר על הלכות תפילה [cite: 1].</w:t>
      </w:r>
    </w:p>
    <w:p>
      <w:r>
        <w:t>סוגיה היסטוריוגרפית מרכזית במחקר נוגעת לזיקתו של רבי יצחק אלפסי (הרי"ף), מחבר "הלכות הרי"ף" ומגדולי הפוסקים בכל הזמנים, לרב נסים [cite: 1]. בעוד שמקורות קדומים מסוימים תיארו את הרי"ף כתלמיד שלמד באופן פרונטלי בישיבתו של רב נסים בקירואן, חוקרים קלאסיים ומודרניים, ובראשם שלמה יהודה רפפורט, הבהירו כי הרי"ף לא היה תלמיד ישיר שישב לפניו, אלא תלמיד-חבר אשר ינק והטמיע עמוקות את שיטתו הפרשנית וההלכתית של רב נסים מתוך ספריו [cite: 1].</w:t>
      </w:r>
    </w:p>
    <w:p>
      <w:r>
        <w:t>השפעתו של רב נסים ניכרת באופן מובהק ביצירתם של ענקי הראשונים בכל המרכזים היהודיים [cite: 1]. רבנו משה בן מיימון (הרמב"ם) אימץ את גישותיו הרציונליסטיות של רב נסים בפירוש אגדות חז"ל, והסתמך על שיטתו המתודית בניתוח התלמוד, במבואותיו ובמניין המצוות [cite: 1, 14]. רבי נתן בן יחיאל מרומי, מחבר המילון התלמודי המכונן "ספר הערוך", ציטט והסתמך בהרחבה על פירושיו ועל "ספר המפתח" לצורך ביאור מילים ומושגים תלמודיים קשים [cite: 1]. כמו כן, חכמי ספרד, פרובנס ואשכנז – ובהם רבי אברהם בן נתן הירחי (בעל "המנהיג") ורבי יצחק בן אבא מרי (בעל "העיטור") – מרבים לצטט מ"מגילת סתרים" ומפסקי ההלכה של רב נסים, והציבו אותו כסמכות פסקנית עליונה [cite: 1].</w:t>
      </w:r>
    </w:p>
    <w:p>
      <w:r>
        <w:t>סיכום</w:t>
      </w:r>
    </w:p>
    <w:p>
      <w:r>
        <w:t>רבנו נסים בן יעקב אבן שהין מקירואן מייצג נקודת מפנה היסטורית בתולדות המחשבה וההלכה היהודית [cite: 1, 2]. כאיש אשכולות ששילב למדנות תלמודית עמוקה, ניתוח הרמנויטי חד, ידע פילוסופי ורגישות חינוכית ומוסרית, עלה בידו לגשר בין מסורת גאוני בבל לבין המרכזים התורניים החדשים בצפון אפריקה ובאירופה [cite: 1, 2, 6].</w:t>
      </w:r>
    </w:p>
    <w:p>
      <w:r>
        <w:t>חיבורו "ספר מפתח מנעולי התלמוד" הניח יסודות מתודולוגיים לפרשנות התלמוד הבבלי [cite: 7, 8], "חיבור יפה מהישועה" תרם לעיצוב עולם האגדה והמוסר היהודי [cite: 2, 6, 10], ו"מגילת סתרים" ביססה את פסיקת ההלכה ואת תפיסת התואתר והרצף התמסורתי של התורה שבעל פה [cite: 4, 11]. מורשתו הלמדנית וההגותית מוסיפה להוות אבן שתייה בלמוד התלמוד ובחקר תולדות ההלכה והמחשבה היהודית [cite: 1, 7].</w:t>
      </w:r>
    </w:p>
    <w:p>
      <w:r>
        <w:t>--------------------------------------------------------------------------------</w:t>
      </w:r>
    </w:p>
    <w:p>
      <w:r>
        <w:t>1.  Rabbi Nissim ben Jacob (Hebrew - Tzadikim, https://dailyzohar.com/tzadikim/599-Rabbi-Nissim-ben-Jacob</w:t>
      </w:r>
    </w:p>
    <w:p>
      <w:r>
        <w:t>2.  Rabban Nissim ben Ya'qub ibn Shahin, Gaon al-Qayrawan - Akevoth, https://www.dutchjewry.org/genealogy/duparc/5534.shtml</w:t>
      </w:r>
    </w:p>
    <w:p>
      <w:r>
        <w:t>3.  Journey Through Jewish History Tunisia 2027 | Torah In Motion, https://torahinmotion.org/travel/tunisia/journey-through-jewish-history-tunisia-2027</w:t>
      </w:r>
    </w:p>
    <w:p>
      <w:r>
        <w:t>4.  רב ניסים גאון - ויקיפדיה, https://he.wikipedia.org/wiki/%D7%A8%D7%91_%D7%A0%D7%99%D7%A1%D7%99%D7%9D_%D7%92%D7%90%D7%95%D7%9F</w:t>
      </w:r>
    </w:p>
    <w:p>
      <w:r>
        <w:t>5.  Torah Study | Encyclopedia - Jewish Women's Archive, https://jwa.org/encyclopedia/article/torah-study</w:t>
      </w:r>
    </w:p>
    <w:p>
      <w:r>
        <w:t>6.  Jewish Folk Literature - SciSpace, https://scispace.com/pdf/jewish-folk-literature-4ph3wt4fhd.pdf</w:t>
      </w:r>
    </w:p>
    <w:p>
      <w:r>
        <w:t>7.  Talmud - Wikipedia, https://en.wikipedia.org/wiki/Talmud</w:t>
      </w:r>
    </w:p>
    <w:p>
      <w:r>
        <w:t>8.  2111308149_220538609.pdf - היכל מנחם, https://www.heichal.co.il/pics/pdf/2111308149_220538609.pdf</w:t>
      </w:r>
    </w:p>
    <w:p>
      <w:r>
        <w:t>9.  Beyond Borrowing in: Interdisciplinary Journal for Religion and Transformation in Contemporary Society - Ahead of print - Brill, https://brill.com/view/journals/jrat/aop/article-10.30965-23642807-bja10157/article-10.30965-23642807-bja10157.xml</w:t>
      </w:r>
    </w:p>
    <w:p>
      <w:r>
        <w:t>10. Folk-Books - Brill - Reference Works, https://referenceworks.brill.com/display/entries/EJBO/SIM-031623.xml?language=en</w:t>
      </w:r>
    </w:p>
    <w:p>
      <w:r>
        <w:t>11. After Revelation: The Rabbinic Past in the Medieval Islamic World [1 ed.] 9781512827781, https://dokumen.pub/after-revelation-the-rabbinic-past-in-the-medieval-islamic-world-1nbsped-9781512827781.html</w:t>
      </w:r>
    </w:p>
    <w:p>
      <w:r>
        <w:t>12. Chapter 6 A Fragment of a Mystical-Philosophical Judaeo-Arabic Commentary on the Talmudic ʾAggadot from the Pietist Circle in: From the Battlefield of Books - Brill, https://brill.com/display/book/9789004712331/BP000006.xml</w:t>
      </w:r>
    </w:p>
    <w:p>
      <w:r>
        <w:t>13. Chapter 6 A Fragment of a Mystical-Philosophical Judaeo-Arabic Commentary on the Talmudic ʾAggadot from the Pietist Circle in: From the Battlefield of Books - Brill, https://brill.com/display/book/9789004712331/BP000006.xml?language=en</w:t>
      </w:r>
    </w:p>
    <w:p>
      <w:r>
        <w:t>14. Thinking about Good and Evil: Jewish Views from Antiquity to Modernity 0827614713, 9780827614710 - DOKUMEN.PUB, https://dokumen.pub/thinking-about-good-and-evil-jewish-views-from-antiquity-to-modernity-0827614713-9780827614710.html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