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ומורשתו של רבי חיים בנבנשת: מנהיגות הלכתית בצילן של תמורות סוערות</w:t>
      </w:r>
    </w:p>
    <w:p>
      <w:r>
        <w:t>רבי חיים בן ישראל בנבנשת (החבי"ב, 1603–1673), מחבר הספר "כנסת הגדולה", נחשב לאחת הדמויות המרכזיות והמשפיעות ביותר בתולדות הפסיקה ההלכתית בעת החדשה המוקדמת [cite: 1]. פעילותו הקיפה תחומי עשייה תורניים, קודיפיקטיביים ומנהיגותיים בקהילות האימפריה העות'מאנית במאה ה-17 – תקופה שהתאפיינה בצמיחה רוחנית וספרותית ענפה מחד, ובזעזועים משיחיים וחברתיים חסרי תקדים מאידך [cite: 1, 2, 3]. יצירתו ההלכתית הפכה לאבן תשתית בעולם ההוראה, ומעמדו כ"מסכם" הפסיקה של דורות האחרונים קיבע את מקומו בכותל המזרח של הפוסקים לדורותיהם [cite: 1, 4].</w:t>
      </w:r>
    </w:p>
    <w:p>
      <w:r>
        <w:t>תולדות חייו ושלבי התפתחותו הרוחנית: מקושטא ועד איזמיר</w:t>
      </w:r>
    </w:p>
    <w:p>
      <w:r>
        <w:t>רבי חיים בנבנשת נולד בשנת ה'שס"ג (1603) באיסטנבול (קושטא), בירת האימפריה העות'מאנית [cite: 1]. הוא צמח במשפחה מיוחסת של חכמים ופרנסים; אביו היה רבי ישראל בן הרב משה בנבנשת, ואחיו הבכור היה החכם והפוסק רבי יהושע רפאל בנבנשת [cite: 1]. סביבתו הקהילתית והמשפחתית באיסטנבול סיפקה לו קרקע פוריה לצמיחה תורנית יוצאת דופן [cite: 1].</w:t>
      </w:r>
    </w:p>
    <w:p>
      <w:r>
        <w:t>את עיקר תורתו רכש מגדולי חכמי טורקיה בדורו. רבו המובהק היה מרן רבי יוסף מטראני (המהרי"ט), ששימש כראש רבני האימפריה העות'מאנית, אשר זיהה בשלב מוקדם את כישוריו התלמודיים והמשפטיים של תלמידו [cite: 1]. המהרי"ט קירבו באופן יוצא דופן, השיאו לבתו של אחד מעשירי הקהילה, ואף בירכו בברכה נבואית כי יזכה לחבר חיבור מקיף על "ספר מצוות גדול" (הסמ"ג) של רבי משה מקוצי [cite: 1]. ברכה זו התממשה כאשר כבר בגיל 21 חיבר רבי חיים את ספרו הראשון, "דינא דחיי" [cite: 1]. לצד המהרי"ט, למד רבי חיים מפי חכמים מבוססים נוספים באיסטנבול, ובהם רבי יוסף סאמיגה (מהר"י סאמיגה) ורבי צמח נרבוני, וכמו כן הושפע עמוקות מפסוקיו ומנהגיו של רבי שמואל בן וילייסיד [cite: 1].</w:t>
      </w:r>
    </w:p>
    <w:p>
      <w:r>
        <w:t>לאחר תקופת גידולו והכשרתו באיסטנבול, החל רבי חיים לכהן בתפקידי רבנות מעשיים. תחילה מונה לרב העיירה טירה הסמוכה לאיזמיר, ומשם עבר לעיר נמל מרכזית זו, שהייתה בתהליך צמיחה כלכלי ורוחני מהיר [cite: 1]. באיזמיר שימש רבי חיים כדיין וכראש ישיבה, ושמו החל להתפרסם ברחבי העולם היהודי כפוסק בעל שיעור קומה מן המעלה הראשונה [cite: 1].</w:t>
      </w:r>
    </w:p>
    <w:p>
      <w:r>
        <w:t>מפנה מרכזי במעמדו הקהילתי אירע עם פטירתו של רבה של איזמיר, רבי יוסף איסקפה [cite: 1]. רבי חיים בנבנשת נתפס כמועמד הטבעי והמוביל לרשת את כס הרבנות [cite: 1]. ואולם, מורכבות פוליטית פנימית וחיכוכים עם פרנסי הקהילה הובילו לפתרון פשרה מוסדי יחיד במינו: הנהגת העיר פוצלה שני רבנים ראשיים [cite: 1]. רבי חיים בנבנשת מונה לרב הפוסק בדיני איסור והיתר, בעוד שלתפקיד הרב הפוסק בדיני ממונות מונה רבי אהרן לפפה [cite: 1]. פיצול סמכויות זה יצר מתח מובנה בין שני אישים דגולים. אף שהשניים הקפידו לשמור על כבוד הדדי ולא להחצין את המחלוקת בחיי היום-יום, מרירותו של רבי חיים על נישולו מהסמכות הכוללת הייתה עמוקה [cite: 1]. החיד"א מעיד כי בספרו "כנסת הגדולה" האריך רבי חיים בתיאור המחלוקות והעימותים ההלכתיים והמנהליים שבינו לבין רבי אהרן לפפה, אולם קטעים אלו הושמטו לאחר מכן מן הדפוס מתוך זהירות וכבוד חכמים [cite: 1].</w:t>
      </w:r>
    </w:p>
    <w:p>
      <w:r>
        <w:t>תחנה בחייו | מיקום גיאוגרפי | תפקיד מרכזי / אירוע בולט | רבותיו ומשפיעיו המרכזיים</w:t>
      </w:r>
    </w:p>
    <w:p>
      <w:r>
        <w:t>תקופת הלימוד והגידול | איסטנבול (קושטא) | לימוד תלמוד ופסיקה, כתיבת "דינא דחיי" בגיל 21 [cite: 1] | רבי יוסף מטראני (המהרי"ט), מהר"י סאמיגה, רבי צמח נרבוני [cite: 1]</w:t>
      </w:r>
    </w:p>
    <w:p>
      <w:r>
        <w:t>ראשית הרבנות | טירה (Tire) | כהונה כרב הקהילה ומורה הוראה [cite: 1] | מסורות חכמי איסטנבול וניקופול [cite: 1]</w:t>
      </w:r>
    </w:p>
    <w:p>
      <w:r>
        <w:t>דיינות וראשות ישיבה | איזמיר | דיין מרכזי, מרביץ תורה וראש ישיבה [cite: 1] | רבי יוסף איסקפה [cite: 1]</w:t>
      </w:r>
    </w:p>
    <w:p>
      <w:r>
        <w:t>הרבנות הכפולה | איזמיר | מנוי כרב פוסק בדיני איסור והיתר לצד רבי אהרן לפפה [cite: 1] | עמיתו ומתחרהו רבי אהרן לפפה [cite: 1]</w:t>
      </w:r>
    </w:p>
    <w:p>
      <w:r>
        <w:t>הרבנות הכוללת והשנים המאוחרות | איזמיר | מנהיג יחיד של הקהילה, התמודדות עם השבתאות ושיקום הקהילה [cite: 2, 3, 5] | בית דינו וחכמי איזמיר [cite: 1, 5]</w:t>
      </w:r>
    </w:p>
    <w:p>
      <w:r>
        <w:t>היצירה התורנית והמפעל האנציקלופדי: ניתוח החיבורים המרכזיים</w:t>
      </w:r>
    </w:p>
    <w:p>
      <w:r>
        <w:t>משנתו התורנית של רבי חיים בנבנשת מתאפיינת בהיקף פנומנלי, בסדר מופתי ובשילוב בין למדנות עמוקה לבין צורך מעשי בארגון ידע הלכתי [cite: 1, 4, 6]. יצירותיו השונות מכסות את כלל סוגות הכתיבה הרבנית: אנציקלופדיות הלכתיות, פרשנות ספרי מצוות, שאלות ותשובות, פירושים למסכתות הש"ס ומונוגרפיות נושאיות [cite: 1].</w:t>
      </w:r>
    </w:p>
    <w:p>
      <w:r>
        <w:t>כנסת הגדולה ושיירי כנסת הגדולה</w:t>
      </w:r>
    </w:p>
    <w:p>
      <w:r>
        <w:t>חיבורו המרכזי והמפורסם ביותר הוא "כנסת הגדולה", אשר נדפס בעשרות כרכים והפך לאחד מספרי היסוד החשובים ביותר בתולדות הפסיקה [cite: 1, 6]. מטרת החיבור הייתה לרכז, לסדר ולהכריע בין אלפי הסברות, התשובות והמנהגים שהתרבו ללא נשוא מאז חתימת ה"שולחן ערוך" על ידי רבי יוסף קארו וה"הגהות" של הרמ"א [cite: 6].</w:t>
      </w:r>
    </w:p>
    <w:p>
      <w:r>
        <w:t>מבנה החיבור בנוי במקביל על סדר ארבעת הטורים והשולחן ערוך [cite: 1, 7]. רבי חיים חילק את דיוניו לשני מדורים עיקריים בכל סימן:</w:t>
      </w:r>
    </w:p>
    <w:p>
      <w:r>
        <w:t>1.  הגהות הטור: דיון בשיטות הראשונים, השוואת גרסאות ומקורות מקבילים בדברי הפוסקים הקדמונים [cite: 1, 7].</w:t>
      </w:r>
    </w:p>
    <w:p>
      <w:r>
        <w:t>2.  הגהות השולחן ערוך: אסיפה מקיפה ושיטתית של סברות ותשובות מחכמי הבלקן, האימפריה העות'מאנית, צפון אפריקה ואירופה, תוך ניתוח נקודתי של דברי מרן והרמ"א [cite: 1, 6].</w:t>
      </w:r>
    </w:p>
    <w:p>
      <w:r>
        <w:t>בשל חסרון כיס וקשיי הדפוס במאה ה-17, לא עלה בידו להדפיס את כל החיבור בחייו [cite: 4]. חלקים רבים מכתביו יצאו לאור לאחר פטירתו, ונקראו בשם "שיירי כנסת הגדולה" או "מהדורה בתרא" [cite: 1, 4, 6]. החלקים כוללים דיונים מפורטים על אורח חיים, יורה דעה, אבן העזר וחושן משפט, לצד כרכי כללים ולשונות הפוסקים [cite: 1, 6].</w:t>
      </w:r>
    </w:p>
    <w:p>
      <w:r>
        <w:t>דינא דחיי</w:t>
      </w:r>
    </w:p>
    <w:p>
      <w:r>
        <w:t>פירוש מקיף ומונומנטלי על ספר מצוות גדול (הסמ"ג) לרבי משה מקוצי [cite: 1]. חיבור זה, שהחל בכתיבתו בחרפות נעוריו, עוסק בניתוח מיוני של תרי"ג המצוות, בבירור מקורותיהן התלמודיים ובדיון השוואתי בין שיטת הסמ"ג לבין שיטות הרמב"ם, הרמב"ן והראשונים [cite: 1]. "דינא דחיי" מאופיין בעומק למדני חריף ובבקיאות עצומה בנפתולי סוגיות הש"ס [cite: 1].</w:t>
      </w:r>
    </w:p>
    <w:p>
      <w:r>
        <w:t>שו"ת בעי חיי</w:t>
      </w:r>
    </w:p>
    <w:p>
      <w:r>
        <w:t>ספר שאלות ותשובות המאגד מאות אתגרים משפטיים, חברתיים והלכתיים שהופנו אל רבי חיים בנבנשת מכל רחבי העולם היהודי [cite: 1, 5, 8]. חלק ניכר מן התשובות מוקדש לחלק חושן משפט (דיני ממונות, קהילות ומיסים), והן משקפות את הדינמיקה הכלכלית והחברתית התוססת של עריי הנמל העות'מאניות [cite: 5, 8]. בתשובות אלו מתגלה החבי"ב כפוסק בעל אומץ ציבורי, הרגיש לצרכי השעה ולתקנות הקהילה [cite: 5].</w:t>
      </w:r>
    </w:p>
    <w:p>
      <w:r>
        <w:t>חיבורים נוספים</w:t>
      </w:r>
    </w:p>
    <w:p>
      <w:r>
        <w:t>חמרא וחיי: פירוש וחידושים עמוקים על מסכת סנהדרין, המתמקדים בדיני דיינים, עדיות ופלילים [cite: 1].</w:t>
      </w:r>
    </w:p>
    <w:p>
      <w:r>
        <w:t>פסח מעובין: מונוגרפיה מפורטת המרכזת את כלל הלכות חג הפסח, ובכלל זה בדיקת חמץ, סדר ערבית של יום טוב, דיני מצות, קידוש, והסבר מקיף מילה במילה על הגדה של פסח [cite: 1].</w:t>
      </w:r>
    </w:p>
    <w:p>
      <w:r>
        <w:t>שם החיבור | תחום וסוגה הלכתית | מבנה ואופי העבודה | חשיבות ומעמד בפסיקה</w:t>
      </w:r>
    </w:p>
    <w:p>
      <w:r>
        <w:t>כנסת הגדולה / שיירי כנה"ג | אנציקלופדיה הלכתית [cite: 6] | סדר הטור והשו"ע; חלוקה להגהות הטור והגהות השו"ע [cite: 1, 7] | ספר יסוד ואוסף אולטימטיבי של תורת האחרונים [cite: 1, 4]</w:t>
      </w:r>
    </w:p>
    <w:p>
      <w:r>
        <w:t>דינא דחיי | פרשנות וביאור לסמ"ג [cite: 1] | ניתוח עומק של תרי"ג המצוות והכרעת ראשונים [cite: 1] | חיבור למדני מרכזי להבנת שיטות הראשונים [cite: 1]</w:t>
      </w:r>
    </w:p>
    <w:p>
      <w:r>
        <w:t>בעי חיי | שאלות ותשובות (שו"ת) [cite: 1, 8] | ארבעה חלקים (בדגש על חושן משפט) [cite: 5, 8] | מקור חשוב למשפט העברי ולהיסטוריה הכלכלית [cite: 5, 8]</w:t>
      </w:r>
    </w:p>
    <w:p>
      <w:r>
        <w:t>חמרא וחיי | פרשנות תלמודית [cite: 1] | חידושים על מסכת סנהדרין [cite: 1] | יצירת מופת בסוגיות סנהדרין ודיני ממונות [cite: 1]</w:t>
      </w:r>
    </w:p>
    <w:p>
      <w:r>
        <w:t>פסח מעובין | הלכה מעשית ומונוגרפיה [cite: 1] | הלכות פסח ופירוש על ההגדה [cite: 1] | מדריך הלכתי מקיף ומקובל להלכות החג [cite: 1]</w:t>
      </w:r>
    </w:p>
    <w:p>
      <w:r>
        <w:t>השיטה ההלכתית ומעמדו כמסכם פסיקת האחרונים</w:t>
      </w:r>
    </w:p>
    <w:p>
      <w:r>
        <w:t>כדי להבין את מעמדו הייחודי של רבי חיים בנבנשת, יש לבחון את ההתפתחות ההיסטורית של המשפט העברי במאה ה-17. לאחר הופעת השולחן ערוך, נוצר גל אדיר של ספרות שו"ת וחיבורים מקומיים בכל רחבי התפוצות. מצב זה הוביל לפיזור רב של מידע הלכתי, והורה הוראה נתקל בקושי ממשי להקיף את כל המקורות בטרם פסיקת הדין. רבי חיים בנבנשת נטל על עצמו את תפקיד "המסכם" (Codifier and Synthesizer) – הדמות המאגדת, הממיינת והמכריעה בתוך סבך השיטות [cite: 1, 4, 6].</w:t>
      </w:r>
    </w:p>
    <w:p>
      <w:r>
        <w:t>מתודולוגיית המיון וההכרעה</w:t>
      </w:r>
    </w:p>
    <w:p>
      <w:r>
        <w:t>שיטת פסיקתו של החבי"ב הושתתה על כמה עקרונות יסוד:</w:t>
      </w:r>
    </w:p>
    <w:p>
      <w:r>
        <w:t>טקסונומיה ביבליוגרפית: רישום וסידור מדוקדק של כל תשובה, פסק או מנהג לפי הנושא המדויק בשולחן ערוך [cite: 6]. החבי"ב השתמש בכתבי יד נדירים רבים שהגיעו לידיו מכל חכמי דורו [cite: 7].</w:t>
      </w:r>
    </w:p>
    <w:p>
      <w:r>
        <w:t>משקל המנהג הקהילתי: מתן תוקף משמעותי למנהגי הקהילות (בייחוד מנהגי קושטא, איזמיר וסלוניקי) [cite: 1]. כאשר מנהג רווח היה מנוגד לדעת יחיד, נטה לחזק את המנהג הקיים אם היה לו על מה לסמוך [cite: 1].</w:t>
      </w:r>
    </w:p>
    <w:p>
      <w:r>
        <w:t>אינטגרציה בין-עדתית: רבי חיים לא התמקד רק בחכמי ספרד והמזרח, אלא שילב באופן שיטתי את תשובות חכמי אשכנז, פולין ואיטליה, ובכך יצר גשר פסיקתי כלל-יהודי.</w:t>
      </w:r>
    </w:p>
    <w:p>
      <w:r>
        <w:t>הכרעה מתוך זהירות: החבי"ב נמנע לרוב מהכרעות חרדיות קיצוניות או מחדשות ללא ביסוס רחב, והעדיף לגבש קונסנזוס המבוסס על רוב בניין ורוב מניין של חכמי הדורות.</w:t>
      </w:r>
    </w:p>
    <w:p>
      <w:r>
        <w:t>מעמדו בעיני הדורות והערכת החיד"א</w:t>
      </w:r>
    </w:p>
    <w:p>
      <w:r>
        <w:t>השפעתו של החבי"ב על עולם ההוראה הייתה מיידית ומכרעת. הפוסקים שבאו אחריו ראו ב"כנסת הגדולה" סמכות עליונה שאין לפסוח עליה. הניסוח הממצה והמפורסם ביותר למעמד זה נכתב על ידי מרן רבי חיים יוסף דוד אזולאי (החיד"א) בספרו הביו-ביבליוגרפי "שם הגדולים":</w:t>
      </w:r>
    </w:p>
    <w:p>
      <w:r>
        <w:t>"הרב הנזכר מאיר עיני גולה הוא בספרי כנסת הגדולה אשר נדפסו... ובלעדו לא ירים איש מורה הוראה הבקי בדרכי הוראה והוא מיראי הוראה את ידו בשום הוראה עד שילך מהרה לבית הכנס"ת ויראה מה בפיו ומה ירמזון עיני חכמתו, ואחר צאתו מבית הכנסת בנחת רוח יערה יורה יורה" [cite: 1, 4].</w:t>
      </w:r>
    </w:p>
    <w:p>
      <w:r>
        <w:t>במליצה חריפה זו – המשתמשת בביטוי "בית הכנסת" כרמז כפול לבית התפילה ולספר "כנסת הגדולה" – קבע החיד"א נורמה הלכתית: כל דיין או פוסק המורה הלכה מבלי לעיין תחילה בשיטות המובאות ב"כנסת הגדולה", נחשב כמי שחסר את היסוד הנדרש למורה הוראה מוסמך [cite: 1, 4].</w:t>
      </w:r>
    </w:p>
    <w:p>
      <w:r>
        <w:t>המבחן ההיסטורי: יחסו לשבתי צבי, הדרמה באיזמיר ותשובתו</w:t>
      </w:r>
    </w:p>
    <w:p>
      <w:r>
        <w:t>אחת הפרשיות המורכבות, המרתקות והשנויות במחלוקת ביותר בתולדות חייו של רבי חיים בנבנשת היא מעורבותו באירועי התנועה השבתאית באיזמיר בשנים 1665–1666 (ה'תכ"ו) [cite: 2, 5, 9].</w:t>
      </w:r>
    </w:p>
    <w:p>
      <w:r>
        <w:t>השתלשלות האירועים באיזמיר (1665–1666)</w:t>
      </w:r>
    </w:p>
    <w:p>
      <w:r>
        <w:t>בסתיו שנת 1665 (ה'תכ"ו) שב משיח השקר שבתי צבי לעיר הולדתו איזמיר, לאחר שנורש מגאז'ה ומרושלים [cite: 5, 9]. הגעתו עוררה גל התלהבות משיחית חסר תקדים, שסחף אליו המונים מכל שכבות הציבור [cite: 3, 5].</w:t>
      </w:r>
    </w:p>
    <w:p>
      <w:r>
        <w:t>בראשית הדרך, עמדו רבני איזמיר בראש ההתנגדות הראשית לשבתי צבי [cite: 5, 9]. רבי חיים בנבנשת ורבי אהרן לפפה ראו בו דמות תמהונית ומסוכנת, יצאו בחריפות נגד הנהגותיו (כגון ביטול צומות והגיית השם המפורש), וניסו לבלום את הסחף החברתי [cite: 2, 5, 9].</w:t>
      </w:r>
    </w:p>
    <w:p>
      <w:r>
        <w:t>נקודת התפנית הדרמטית התרחשה בשבת, ד' בטבת ה'תכ"ו (12 בדצמבר 1665) [cite: 2]. שבתי צבי, בליווי המון מוסת של מאמינים, הסתער על בית הכנסת הפורטוגזי בעיר [cite: 2]. המתפרצים פרצו את הדלתות, הפסיקו את תפילת שחרית, וגירשו מן הבימה את החזן והרבנים [cite: 2]. במעמד אלים ופומבי זה, הכריז שבתי צבי על ביטול סמכותם של רבני העיר המתנגדים [cite: 2, 3]. הוא הדיח והחרים את רבי אהרן לפפה (שנאלץ להימלט מן העיר להגנה בקהילת מגנסיה לצד חותנו רבי שלמה אלגזי) [cite: 3].</w:t>
      </w:r>
    </w:p>
    <w:p>
      <w:r>
        <w:t>לעומת זאת, פנה שבתי צבי אל רבי חיים בנבנשת והציע לו להישאר בתפקידו כרב יחיד של איזמיר, תחת חסותו ומנהיגותו המשיחית [cite: 2, 3]. להפתעת הכל, רבי חיים בנבנשת הנהן בראשו, קיבל את המינוי, ועבר לתמוך באופן פומבי בתנועה השבתאית [cite: 2, 5]. במשך תשעה חודשים – מסוף 1665 ועד ספטמבר 1666 – כיהן רבי חיים בנבנשת כרב העיר מטעם התנועה המשיחית, פסק דינים בהתאם לאווירה החדשה, והפסיק כל הבעת התנגדות לשבתי צבי [cite: 2].</w:t>
      </w:r>
    </w:p>
    <w:p>
      <w:r>
        <w:t>תאריך / תקופה | אירוע מרכזי | משמעות היסטורית והתנהלות החבי"ב</w:t>
      </w:r>
    </w:p>
    <w:p>
      <w:r>
        <w:t>סתיו 1665 (ה'תכ"ו) | הגעת שבתי צבי לאיזמיר [cite: 5, 9] | התנגדות חריפה של החבי"ב ורבי אהרן לפפה לטענותיו המשיחיות [cite: 5, 9]</w:t>
      </w:r>
    </w:p>
    <w:p>
      <w:r>
        <w:t>ד' בטבת ה'תכ"ו (12 בדצמבר 1665) | הפריצה לבית הכנסת הפורטוגזי [cite: 2] | אלימות המון, הדחת רבי אהרן לפפה, והעמדת אולטימטום לרבי חיים בנבנשת [cite: 2, 3]</w:t>
      </w:r>
    </w:p>
    <w:p>
      <w:r>
        <w:t>טבת ה'תכ"ו – אלול ה'תכ"ו | כהונת החבי"ב תחת שבתי צבי [cite: 2] | תשעה חודשים של תמיכה פומבית וכהונה כרב יחיד מטעם התנועה [cite: 2, 3]</w:t>
      </w:r>
    </w:p>
    <w:p>
      <w:r>
        <w:t>אלול ה'תכ"ו (ספטמבר 1666) | התאסלמות שבתי צבי [cite: 2] | התפכחות מיידית, חזרה בתשובה, והובלת המערכה נגד השבתאות [cite: 2, 5]</w:t>
      </w:r>
    </w:p>
    <w:p>
      <w:r>
        <w:t>ניתוח המניעים והתנהלותו של החבי"ב</w:t>
      </w:r>
    </w:p>
    <w:p>
      <w:r>
        <w:t>חוקרי תולדות ישראל ופוסקי ההלכה הציעו מספר הסברים להתנהגותו של החבי"ב באותם תשעה חודשים דרמטיים:</w:t>
      </w:r>
    </w:p>
    <w:p>
      <w:r>
        <w:t>1.  אשליה משיחית והיפנוזה קולקטיבית: הטענה הרווחת במסורת הרבנית הישירה היא שרבי חיים, כרבים מגדולי דורו, נפל קרבן להתלהבות הסוחפת ולאותות המטעים [cite: 2, 5]. הלחץ הפסיכולוגי העצום והרצון הכבוש לגאולה העבירו אותו ואת בני קהילתו על דעתם [cite: 2].</w:t>
      </w:r>
    </w:p>
    <w:p>
      <w:r>
        <w:t>2.  טקטיקה של מיזעור נזקים ("דחליל"): ניתוח היסטורי-חברתי מורכב יותר מצביע על כך שרבי חיים הבין היטב את יחסי הכוחות [cite: 2]. הוא קלט שאם יסרב, הוא יגורש באופן מיידי או אף יירצח על ידי ההמון, ושבתי צבי יעמיד בראשות הקהילה גורם קיצוני וחסר רסן שימוטט לחלוטין את מוסדות ההלכה [cite: 2]. לפיכך, החליט להתפשר טקטית ולכהן תחת שבתי צבי, כדי לשמור על מנגנוני הקהילה, להגן על הרכוש והנפשות, ולמנוע הידרדרות לפורקן עול מוחלט [cite: 2].</w:t>
      </w:r>
    </w:p>
    <w:p>
      <w:r>
        <w:t>3.  מתח פנימי וניצול הזדמנויות פוליטי: הסכסוך הישן עם רבי אהרן לפפה ואי-הנחת מפיצול הרבנות שיחקו אף הם תפקיד ברקע הדברים [cite: 1]. הסילוק של לפפה בידי שבתי צבי החזיר לרבי חיים את הנהגת העיר היחידה, דבר שצינן את מוטיבציית ההתנגדות שלו [cite: 1, 3].</w:t>
      </w:r>
    </w:p>
    <w:p>
      <w:r>
        <w:t>ההתפכחות, התשובה והשיקום ההלכתי</w:t>
      </w:r>
    </w:p>
    <w:p>
      <w:r>
        <w:t>בחודש אלול ה'תכ"ו (ספטמבר 1666), כאשר הועמד שבתי צבי לפני הסולטאן העות'מאני והעדיף להתאסלם מאשר להירצח, נשברה האשליה בבת אחת [cite: 2].</w:t>
      </w:r>
    </w:p>
    <w:p>
      <w:r>
        <w:t>ברגע שהאמת התגלתה, התנער רבי חיים בנבנשת מיד משבתי צבי [cite: 2, 5]. הוא עשה תשובה מפורשת, התענה, והתייצב בראש המערכה הרבנית לביעור שאריות השבתאות מאיזמיר [cite: 2, 5]. הוא דרש בציבור נגד משיח השקר, חיזק את שמירת המצוות, והשיב את הקהילה למסלולה ההלכתי הנורמטיבי [cite: 2, 5].</w:t>
      </w:r>
    </w:p>
    <w:p>
      <w:r>
        <w:t>הפוסקים והחכמים בדורות הבאים בחנו בעין מעמיקה את מעמדו של החבי"ב לאחר נפילתו [cite: 1, 2, 5]. המסקנה המקובלת על כלל חכמי ישראל הייתה שתקופת תמיכתו נחשבת כ"טועה בהילכתא למשיחא" – טעות אנושית וכנה בהערכת המציאות הרוחנית וההיסטורית [cite: 1]. מכיוון שחזר בו מיד ועשה תשובה שלמה ברגע שהתבררה התרמית, לא נפגם מעמדו ההלכתי והרוחני כהוא זה [cite: 1, 2, 5]. ספריו המשיכו להתקבל ללא שום עוררין, והוא הוסיף להיחשב כאחד מגאוני הדורות [cite: 1, 2, 5].</w:t>
      </w:r>
    </w:p>
    <w:p>
      <w:r>
        <w:t>השפעתו לדורות ומורשתו ההלכתית</w:t>
      </w:r>
    </w:p>
    <w:p>
      <w:r>
        <w:t>רבי חיים בנבנשת נפטר באיזמיר ביום י"ט באלול ה'תל"ג (31 באוגוסט 1673), כשהוא בן 70 בערך [cite: 1]. מורשתו ההלכתית נותרה כסלע איתן בעולם הפסיקה.</w:t>
      </w:r>
    </w:p>
    <w:p>
      <w:r>
        <w:t>אבן שתייה בספרות הפסיקה</w:t>
      </w:r>
    </w:p>
    <w:p>
      <w:r>
        <w:t>ספרי "כנסת הגדולה" הפכו לרכיב הכרחי בארגז הכלים של כל פוסק הלכה מאז המאה ה-17 ועד ימינו:</w:t>
      </w:r>
    </w:p>
    <w:p>
      <w:r>
        <w:t>בספרות הפירושים על השולחן ערוך: מחברים מרכזיים כגון ה"אליה רבה", ה"פרי מגדים", וה"פתחי תשובה" ביססו חלקים נרחבים מציטוטיהם ומדיוניהם על הנתונים שהביא החבי"ב.</w:t>
      </w:r>
    </w:p>
    <w:p>
      <w:r>
        <w:t>ה"משנה ברורה": מרן רבי ישראל מאיר הכהן מראדין (החפץ חיים) מזכיר את ספרי כנסת הגדולה מאות פעמים כסמכות הכרעתית בכללי המנהגים ובספקות ברכות.</w:t>
      </w:r>
    </w:p>
    <w:p>
      <w:r>
        <w:t>ספרות השו"ת במאה ה-20: מרן רבי עובדיה יוסף בספרו "יביע אומר" וחיבוריו הנוספים מעמיד את החבי"ב כעמוד התווך של הפסיקה הספרדית-עות'מאנית, ומסתמך על כלליו בהכרעת מנהגים ודינים חמורים.</w:t>
      </w:r>
    </w:p>
    <w:p>
      <w:r>
        <w:t>תרומתו למשפט העברי ולחקר ההיסטוריה</w:t>
      </w:r>
    </w:p>
    <w:p>
      <w:r>
        <w:t>מעבר לחשיבות ההלכתית, ספרי החבי"ב – ובייחוד שו"ת "בעי חיי" ו"כנסת הגדולה" – מהווים צוהר היסטורי ומשפטי מרתק להבנת החיים הקהילתיים, הכלכליים והחברתיים באימפריה העות'מאנית [cite: 5, 8]. דיוניו בנושאי מיסוי, זכויות פרנסים, מעמד גרים, קשרי מסחר בין-לאומיים ותקנות הקהילה משמשים עד היום כחומר גלם ראשון במעלה לחוקרי המשפט העברי וההיסטוריה של יהודי המזרח [cite: 5].</w:t>
      </w:r>
    </w:p>
    <w:p>
      <w:r>
        <w:t>סיכום</w:t>
      </w:r>
    </w:p>
    <w:p>
      <w:r>
        <w:t>רבי חיים בנבנשת (החבי"ב) מייצג את השיא של יצירת חכמי האימפריה העות'מאנית במאה ה-17 [cite: 1]. מאיסטנבול ועד איזמיר, דרך כתיבת מפעל חייהם של ספרי "כנסת הגדולה", השכיל החבי"ב לארגן את תורת האחרונים ולנסח מתודולוגיה קודיפיקטיבית שהפכה לנכס צאן ברזל של האומה [cite: 1, 4].</w:t>
      </w:r>
    </w:p>
    <w:p>
      <w:r>
        <w:t>יכולתו להתאושש מהמשבר השבתאי הקשה, לחזור בתשובה שלמה ולהוביל את קהילתו לשיקום רוחני ומוסדי, מורה על עוצמת מנהיגותו [cite: 2, 5]. קבלתו הבלתי מותנית על ידי כלל חכמי התפוצות – אשכנזים וספרדים כאחד – מקבעת את מעמדו לא רק כמסכם הדורות, אלא כאחד ממאורי ההלכה הענקים של עם ישראל לדורותיו [cite: 1, 2, 4].</w:t>
      </w:r>
    </w:p>
    <w:p>
      <w:r>
        <w:t>--------------------------------------------------------------------------------</w:t>
      </w:r>
    </w:p>
    <w:p>
      <w:r>
        <w:t>1.  חיים בנבנישתי - ויקיפדיה, https://he.wikipedia.org/wiki/%D7%97%D7%99%D7%99%D7%9D_%D7%91%D7%A0%D7%91%D7%A0%D7%99%D7%A9%D7%AA%D7%99</w:t>
      </w:r>
    </w:p>
    <w:p>
      <w:r>
        <w:t>2.  התנער משבתי צבי: מי היה רבי חיים בנבנשתי? - הידברות, https://www.hidabroot.org/article/1214940</w:t>
      </w:r>
    </w:p>
    <w:p>
      <w:r>
        <w:t>3.  יהדות איזמיר - ויקיפדיה, https://he.wikipedia.org/wiki/%D7%99%D7%94%D7%93%D7%95%D7%AA_%D7%90%D7%99%D7%96%D7%9E%D7%99%D7%A8</w:t>
      </w:r>
    </w:p>
    <w:p>
      <w:r>
        <w:t>4.  כנסת הגדולה. העותק של החיד"א ואביו רבי יצחק זרחיה אזולאי - ווינרס מכירות פומביות, https://winners-auctions.com/items/%D7%9B%D7%A0%D7%A1%D7%AA-%D7%94%D7%92%D7%93%D7%95%D7%9C%D7%94-%D7%94%D7%A2%D7%95%D7%AA%D7%A7-%D7%A9%D7%9C-%D7%94%D7%97%D7%99%D7%93%D7%90-%D7%95%D7%90%D7%91%D7%99%D7%95-%D7%A8%D7%91%D7%99-%D7%99/</w:t>
      </w:r>
    </w:p>
    <w:p>
      <w:r>
        <w:t>5.  חכם חיים בנבנישתי - החכם היומי, https://hyomi.org.il/%D7%97%D7%9B%D7%9D-%D7%97%D7%99%D7%99%D7%9D-%D7%91%D7%A0%D7%91%D7%A0%D7%99%D7%A9%D7%AA%D7%99</w:t>
      </w:r>
    </w:p>
    <w:p>
      <w:r>
        <w:t>6.  כנסת הגדולה סט 26 כרכים / רבי חיים בנבנשתי זצ''ל - היכל הספר, https://www.heichal26.co.il/product/%D7%9B%D7%A0%D7%A1%D7%AA-%D7%94%D7%92%D7%93%D7%95%D7%9C%D7%94-%D7%A1%D7%98-26-%D7%9B%D7%A8%D7%9B%D7%99%D7%9D--%D7%A8%D7%91%D7%99-%D7%97%D7%99%D7%99%D7%9D-%D7%91%D7%A0%D7%91%D7%A0%D7%A9%D7%AA%D7%99-%D7%96%D7%A6%D7%9C</w:t>
      </w:r>
    </w:p>
    <w:p>
      <w:r>
        <w:t>7.  כנסת הגדולה - 3 כרכים | קדם בית מכירות פומביות בע״מ - Kedem Auctions, https://www.kedem-auctions.com/he/%D7%9B%D7%A0%D7%A1%D7%AA-%D7%94%D7%92%D7%93%D7%95%D7%9C%D7%94-3-%D7%9B%D7%A8%D7%9B%D7%99%D7%9D</w:t>
      </w:r>
    </w:p>
    <w:p>
      <w:r>
        <w:t>8.  בעי חיי - חו"מ ב -- בנבנשתי, חיים בן ישראל, 1603-1673 - HebrewBooks.org Sefer Detail, https://hebrewbooks.org/19104</w:t>
      </w:r>
    </w:p>
    <w:p>
      <w:r>
        <w:t>9.  צבי שבתי, https://avp310.leutkirch-psychiatrie.de/blog/automating-ethical-hacking-with-ai/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