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מנהיגותו ומשנתו התורנית של רבי שמואל די מדינה (המהרשד"ם): תולדות חייו, דרכו ההלכתית ומורשתו לדורות</w:t>
      </w:r>
    </w:p>
    <w:p>
      <w:r>
        <w:t>תולדות חייו והרקע ההיסטורי: סלוניקי במאה ה-16</w:t>
      </w:r>
    </w:p>
    <w:p>
      <w:r>
        <w:t>רבי שמואל בן משה די מדינה, הנודע בראשי התיבות מהרשד"ם (או רשד"ם), נולד בשנת ה'רס"ו (1506) בעיר סלוניקי, שהייתה באותה עת מן המרכזים העירוניים והכלכליים התוססים ביותר באימפריה העות'מאנית [cite: 1]. ייחוסה של המשפחה נמשך לעיר מדינה דל קמפו שבחבל קסטיליה בספרד, וממנה נגזר שם משפחתם [cite: 1]. אביו, רבי משה די מדינה, ואמו, ג'אמילה, נמנו עם עילית הקהילה הספרדית בעיר [cite: 1]. בצעירותו התייתם שמואל מאביו, ועול גידולו וחינוכו נפל על אחיו הבכור, רבי שמעיה די מדינה, אשר שימש לו כדמות אב ותמך בו רוחנית וכלכלית [cite: 1, 2]. נטיותיו העיוניות וכישוריו התלמודיים הבולטים ניכרו כבר בשנות ילדותו ונעוריו, וכפי שהעיד המהרשד"ם בתשובותיו, עוד בבחרותו שורגרו אליו שאלות הלכתיות סבוכות מכלל קהילות המרחב [cite: 1].</w:t>
      </w:r>
    </w:p>
    <w:p>
      <w:r>
        <w:t>התפתחותו של המהרשד"ם שזורה בצירי הצמיחה של סלוניקי כמרכז היהודי המוביל במזרח התיכון ובבלקן במהלך המאה ה-16 [cite: 1, 3]. בעקבות גירוש ספרד (1492) וגירוש פורטוגל (1497), ובחסות מדיניות קליטת המהגרים של הסולטאן ביאזיט השני, נהרו לעיר עשרות אלפי פליטים מכל רחבי חצי האי האיברי, לצד יהודים מאיטליה, אשכנז והמרחב הרומניוטי [cite: 4, 5]. הקהילה היהודית בסלוניקי התארגנה במבנה המכונה "קהלים" – תת-קהילות עצמאיות שהתאגדו על בסיס ערי מוצאן באירופה (כגון קהל קסטיליה, קהל קטלוניה, קהל פורטוגל וקהל פוליה) [cite: 2, 5]. כל קהל החזיק בבית כנסת, בית דין, תקנות ציבוריות, מערכת מיסוי ומוסדות צדקה נפרדים [cite: 5]. מציאות מבוזרת זו יצרה חיכוכים משפטיים וקהילתיים תכופים, ודרשה הנהגה רבנית בעלת שיעור קומה מסוגלת להשכין שלום, להסדיר את גביית המיסים ולנסח עקרונות פסיקה אחידים [cite: 3, 5, 6].</w:t>
      </w:r>
    </w:p>
    <w:p>
      <w:r>
        <w:t>לצד מעמדו הרם כראב"ד וראש ישיבה מרכזי, היו חייו האישיים של המהרשד"ם מלאי מכאוב ושכול [cite: 2, 6]. במהלך חייו שיכל את אחיו הגדול שגדלו, את בנו הבכור, וכן שניים מחתניו הבולטים (בהם רבי יצחק חיון, רבי יוסף צרפתי ורבי משה עזרא) [cite: 1, 2, 6]. עול פרנסת הבנות האלמנות וצאצאיהן הרבים נפל במידה רבה על כתפיו, והוא נאלץ לעיתים לצאת למסעות כדי לכלכל את בני ביתו [cite: 2]. למרות קשיים אלו ומצב בריאותי לקוי, שמר על יציבות רוחנית, המשיך בהנהגת הציבור והרבצת תורה עד לפטירתו בב' בחשוון ה'ש"ן (12 באוקטובר 1589), כשהוא כבן 83 [cite: 1, 6]. ענוותנותו הייתה מופלגת, ובצוואתו ציווה שלא יכתבו על מצבתו שום תארים ודברי שבח, אלא את הפסוק בלבד: "שָׁלוֹם רָב לְאֹהֲבֵי תוֹרָתֶךָ וְאֵין לָמוֹ מִכְשׁוֹל" (תהלים קיט, קסה) [cite: 1, 6].</w:t>
      </w:r>
    </w:p>
    <w:p>
      <w:r>
        <w:t>פרט ביוגרפי / היסטורי | נתונים ומאפיינים מרכזיים | משמעות היסטורית והלכתית</w:t>
      </w:r>
    </w:p>
    <w:p>
      <w:r>
        <w:t>תאריכי לידה ופטירה | ה'רס"ו (1506) – ב' בחשוון ה'ש"ן (12 באוקטובר 1589) [cite: 1] | פעל לאורך רוב המאה ה-16, תקופת עיצוב המרכז העות'מאני [cite: 1, 3]</w:t>
      </w:r>
    </w:p>
    <w:p>
      <w:r>
        <w:t>מוצא וייחוס | משפחה מגורשת ספרד, העיר מדינה דל קמפו [cite: 1] | השתייכות לעילית התלמודית והחברתית של מגורשי קסטיליה [cite: 1, 2]</w:t>
      </w:r>
    </w:p>
    <w:p>
      <w:r>
        <w:t>סביבה קהילתית | סלוניקי, מבנה קהילים מבוזר (חצי האי האיברי, איטליה, אשכנז) [cite: 3, 5] | הצורך בהסדרת תקנות, מיסוי ואיזון בין מנהגי קהילות שונים [cite: 5, 6]</w:t>
      </w:r>
    </w:p>
    <w:p>
      <w:r>
        <w:t>תפקידים מרכזיים | אב בית דין בסלוניקי, ראש ישיבה, פוסק בינלאומי [cite: 1, 2, 3] | סמכות משפטית עליונה במרחב העות'מאני, הבלקן ואיטליה [cite: 2, 7]</w:t>
      </w:r>
    </w:p>
    <w:p>
      <w:r>
        <w:t>צוואה ומצבה | חקירת פסוק יחיד (תהלים קיט, קסה) ללא תוארי תהילה [cite: 1, 6] | ביטוי לענווה מופלגת ולתפיסת תפקידו כמורה דרך ומשכין שלום [cite: 6]</w:t>
      </w:r>
    </w:p>
    <w:p>
      <w:r>
        <w:t>בית מדרשו ורבותיו המובהקים</w:t>
      </w:r>
    </w:p>
    <w:p>
      <w:r>
        <w:t>התפתחותו הלמדנית והמתודית של המהרשד"ם הושתתה על תורתם של שניים מגדולי חכמי דור המעבר שלאחר הגירוש, אותם הקפיד לתאר בתשובותיו בתואר "מורי הגדול" [cite: 1, 4, 6].</w:t>
      </w:r>
    </w:p>
    <w:p>
      <w:r>
        <w:t>רבו המובהק שמעמדו היה המרכזי ביותר בעיצוב דרכו הלימודית היה רבי יוסף טאיטאצאק (מהרי"ט), מנהיגה הרוחני וההלכתי של סלוניקי במחצית הראשונה של המאה ה-16 [cite: 1, 4]. ישיבתו של רבי יוסף טאיטאצאק נחשבה ללב הפועם של עולם התורה הספרדי באימפריה העות'מאנית, ובה צמחו מרבית חכמי הדור, וביניהם מרן רבי יוסף קארו [cite: 1]. מהרי"ט הנחיל לתלמידיו את גישת העיון הספרדית הקלאסית, השואפת להבנה מבררת של לשונות התלמוד והראשונים [cite: 2]. רבו השני היה רבי לוי בן חביב (מהרלב"ח), מחבר שו"ת מהרלב"ח ובנו של בעל "עין יעקב" (רבי יעקב בן חביב) [cite: 1, 4, 6]. המהרשד"ם למד אצלו בצעירותו בסלוניקי, בטרם עלה המהרלב"ח לירושלים והנהיג בה את הקהילה [cite: 1, 3].</w:t>
      </w:r>
    </w:p>
    <w:p>
      <w:r>
        <w:t>בשנת רצ"א (1531), והוא כבן 25 בלבד, הקים המהרשד"ם ישיבה גדולה בסלוניקי ועמד בראשה [cite: 3, 4]. ישיבה זו הפכה למוקד מתוודע לטובי התלמידים מכל רחבי הבלקן והאימפריה [cite: 2, 7]. המוסד נהנה מתמיכתה הכלכלית הנדיבה של המנהיגה והפילנתרופית דונה גרציה מנדס-נשי, דבר שאיפשר הענקת מלגות קיום לתלמידים והקדשת זמנם הבלעדי לתורה [cite: 2]. המהרשד"ם יישם בישיבתו את מתודולוגיית הלימוד שהונחה על ידי רבי יצחק קמפנטון מחכמי ספרד במאה ה-15 [cite: 2]. שיטה זו, המכונה "עיון ספרדי", התבססה על ניתוח מדוקדק של הלשון התלמודית, בירור דיוקי רש"י, הרי"ף, הרמב"ם והרא"ש, וחשיפת ההגיון המשפטי הפנימי העומד ביסוד מחלוקות הסוגיה [cite: 2].</w:t>
      </w:r>
    </w:p>
    <w:p>
      <w:r>
        <w:t>מאפיין פדגוגי ייחודי בהנהגת הישיבה היה שילובם הפעיל של התלמידים העילויים בעבודתו המעשית של בית הדין [cite: 3]. המהרשד"ם עודד חשיבה ביקורתית ועצמאות תורנית; כל שאלה משפטית או ציבורית מורכבת שהובאה לפתחו הוצגה תחילה בפני חברי הישיבה, והם נדרשו להעלות סברות, להציע ראיות ולדון בדין בטרם יגבש המהרשד"ם את פסק ההלכה הסופי [cite: 3].</w:t>
      </w:r>
    </w:p>
    <w:p>
      <w:r>
        <w:t>היצירה התורנית וההתפתחות הביבליוגרפית</w:t>
      </w:r>
    </w:p>
    <w:p>
      <w:r>
        <w:t>מורשתו הכתובה של המהרשד"ם כוללת חיבורים בהלכה, בדרש ובפרשנות התלמוד, אשר זכו לתפוצה רחבה בעולם היהודי.</w:t>
      </w:r>
    </w:p>
    <w:p>
      <w:r>
        <w:t>שו"ת מהרשד"ם</w:t>
      </w:r>
    </w:p>
    <w:p>
      <w:r>
        <w:t>חיבורו המרכזי והמשפיע ביותר, הכולל קרוב לאלף תשובות הלכתיות שנשלחו אליו מכל קהילות הבלקן, האימפריה העות'מאנית, איטליה ואף מארץ ישראל [cite: 5, 7, 8]. התשובות עוסקות בכל תחומי החיים: איסור והיתר, שבת ומועדים, דיני אישות, עגונות, יחסי ממון, מסחר בינלאומי, חוקי מסים ותקנות קהל [cite: 1, 5].</w:t>
      </w:r>
    </w:p>
    <w:p>
      <w:r>
        <w:t>ההיסטוריה הטקסטואלית של הספר מורכבת משני שלבים עיקריים:</w:t>
      </w:r>
    </w:p>
    <w:p>
      <w:r>
        <w:t>1.  פסקי רשד"ם (דפוס ראשון): יצא לאור בסלוניקי בשנים ה'ש"ם–ה'שמ"ב (1580–1582) בחיי המחבר [cite: 5, 8]. מהדורה זו כללה שני כרכים, אך סבלה משגיאות דפוס רבות ומסדר לא עקבי של השאלות [cite: 5, 6].</w:t>
      </w:r>
    </w:p>
    <w:p>
      <w:r>
        <w:t>2.  שו"ת מהרשד"ם (דפוס שני): לאחר פטירת המחבר, נטל בנו, רבי משה די מדינה (שהיה דיין ומנהיג בסלוניקי), את מלאכת העריכה [cite: 1, 2, 5, 6]. הוא הקים בית דפוס עברי בסלוניקי והוציא את הספר מחדש בשנים 1594–1598 בשלושה חלקים, כשהוא מסודר לפי ארבעת חלקי הטור והשולחן ערוך [cite: 2, 5, 6, 8]. הבן הוסיף תשובות חדשות מכתבי היד של אביו, השמיט כפילויות ותיקן משבשיו [cite: 5]. מהדורה זו הפכה לנוסח היסוד המצוטט בספרות הפסיקה [cite: 5].</w:t>
      </w:r>
    </w:p>
    <w:p>
      <w:r>
        <w:t>בן שמואל</w:t>
      </w:r>
    </w:p>
    <w:p>
      <w:r>
        <w:t>ספר דרשות שנערך והובא לבית הדפוס במנטובה בשנת ה'שפ"ב (1622) על ידי נכדו רבי שמעיה די מדינה [cite: 1, 2, 9]. החיבור כולל שלושים דרשות מעמיקות לשבתות מיוחדות, מועדים ואירועי שמחה [cite: 1, 9, 10]. הדרשות משלבות עיונים הלכתיים, פרשנות מקראית, מחשבה ומוסר, לצד ביאור מקיף למזמורי תהלים שמשובצים בטקסט [cite: 1, 9, 10].</w:t>
      </w:r>
    </w:p>
    <w:p>
      <w:r>
        <w:t>חידושים על הש"ס ופירוש למסכת אבות</w:t>
      </w:r>
    </w:p>
    <w:p>
      <w:r>
        <w:t>המהרשד"ם חיבר חידושים עמוקים על כמה ממסכתות הש"ס, וביניהן מסכת קידושין ומסכת ביצה, וכן פירוש על מסכת אבות [cite: 6, 7]. חידושים אלו לא נדפסו כספר נפרד בימי חייו ונותרו ברובם בכתבי יד, אך סברותיו וראיותיו משוקעות ברבות מתשובותיו ובספרי תלמידיו [cite: 6, 7, 11].</w:t>
      </w:r>
    </w:p>
    <w:p>
      <w:r>
        <w:t>שם החיבור | סוגה ותוכן מבוקש | מקום ושנת דפוס ראשון | מאפייני העריכה וההשתלשלות</w:t>
      </w:r>
    </w:p>
    <w:p>
      <w:r>
        <w:t>פסקי רשד"ם | כ-1000 תשובות הלכתיות בסדר מקורי | סלוניקי, ה'ש"ם–ה'שמ"ב (1580–1582) [cite: 5, 8] | נדפס בחיי המחבר; כלל שיבושי דפוס [cite: 5, 6]</w:t>
      </w:r>
    </w:p>
    <w:p>
      <w:r>
        <w:t>שו"ת מהרשד"ם | תשובות מסודרות ע"פ ד' חלקי הטור והשו"ע | סלוניקי, ה'שנ"ד–ה'שנ"ח (1594–1598) [cite: 2, 6, 8] | נערך ע"י בנו ר' משה; נוסח היסוד לדורות [cite: 1, 5, 6]</w:t>
      </w:r>
    </w:p>
    <w:p>
      <w:r>
        <w:t>בן שמואל | 30 דרשות למועדים, שבתות ומחשבה | מנטובה, ה'שפ"ב (1622) [cite: 1, 9] | הובא לבית הדפוס ע"י צאצאיו [cite: 1, 2]</w:t>
      </w:r>
    </w:p>
    <w:p>
      <w:r>
        <w:t>חידושי ש"ס ופירוש אבות | עיונים על קידושין, ביצה, אבות ועוד | נותרו בכתבי יד / משוקעים בתשובות [cite: 6, 7] | שימשו את תלמידיו בכתיבת חיבוריהם [cite: 6, 11]</w:t>
      </w:r>
    </w:p>
    <w:p>
      <w:r>
        <w:t>משנתו ההלכתית, כללי הפסיקה והנהגתו הציבורית</w:t>
      </w:r>
    </w:p>
    <w:p>
      <w:r>
        <w:t>שיטתו ההלכתית של המהרשד"ם משלבת אנליזה משפטית קפדנית, תפיסה ריאלית של דינמיקות מסחריות, והנהגה תקיפה אך סובלנית.</w:t>
      </w:r>
    </w:p>
    <w:p>
      <w:r>
        <w:t>דחיית הפלפול והרחקת הקבלה מהכרעת הדין</w:t>
      </w:r>
    </w:p>
    <w:p>
      <w:r>
        <w:t>אף שצמח בבית מדרשו של רבי יוסף טאיטאצאק, מגדולי חכמי הקבלה בזמנו, הקפיד המהרשד"ם להפריד באופן מוחלט בין תורת הנסתר לבין ההכרעה המשפטית-הלכתית [cite: 1, 3]. בתשובותיו כמעט ולא ניכרת הסתמכות על מקורות קבליים לצורך פסיקת הדין [cite: 1, 3]. הוא החזיק בעמדה כי הקודש הבלעדי של ההלכה מושתת על העיון התלמודי הטהור, תוך התרחקות מפלפול עקלקל וחתירה להעמדת הדין על פשט הסוגיה וראיות הראשונים (הרי"ף, הרמב"ם, הרא"ש והרשב"א).</w:t>
      </w:r>
    </w:p>
    <w:p>
      <w:r>
        <w:t>דיני ממונות, "מנהג הסוחרים" וקניין סיטומתא</w:t>
      </w:r>
    </w:p>
    <w:p>
      <w:r>
        <w:t>אחת מתרומותיו היסודיות של המהרשד"ם למשפט העברי היא ביסוס מעמדו של "מנהג הסוחרים" כגורם המשנה דין תורה בדיני ממונות [cite: 5, 12, 13]. בתשובותיו בחושן משפט ניסח את התפיסה האומרת שכל דיני הקניינים וההתחייבויות הממוניות מתקיימים בשני אפיקים מקבילים: האפיק הדיני המקורי שנקבע בתלמוד, והאפיק הסכמי המבוסס על תנאי בני אדם [cite: 13].</w:t>
      </w:r>
    </w:p>
    <w:p>
      <w:r>
        <w:t>לפי ניתוחו, תוקפו המשפטי של מנהג המסחר (כגון קניין "סיטומתא", הקנאה בכתב יד, או הסדרי אשראי) אינו נשען על המנהג כשלעצמו בלבד, אלא על העובדה שהעוסקים במסחר עורכים ביניהם קניין הסכמי מכללא [cite: 13]. הסכמה זו נחשבת לתנאי שבממון, ובכוחה לפעול בניגוד לכללי הקניין התלמודיים המקוריים, על פי הכלל "מנהג בממון מבטל הלכה" [cite: 12, 13]. תפיסה זו העניקה גמישות משפטית רבה לקהילת הסוחרים בסלוניקי, ואיפשרה לבית הדין לאכוף חוזים ושותפויות בהתאם לפרקטיקות המסחריות הנהוגות בשוק [cite: 3, 5, 13].</w:t>
      </w:r>
    </w:p>
    <w:p>
      <w:r>
        <w:t>כמו כן, הקצה המהרשד"ם מקום נרחב לפרשנות תקנות הקהל והסכמות הציבור [cite: 3, 5]. הוא קבע כללי פרשנות מוגדרים המבחינים בין לשון התקנה הפורמלית לבין אומדן דעת בני הקהילה בעת התקנה, ודן בתוקפן של הסכמות כאשר מתחלף המנהיג או כאשר נפטר אחד מבעלי ההסכמה [cite: 5, 14].</w:t>
      </w:r>
    </w:p>
    <w:p>
      <w:r>
        <w:t>פלורליזם קהילתי ואוטונומיית הקהלים</w:t>
      </w:r>
    </w:p>
    <w:p>
      <w:r>
        <w:t>במציאות הרב-קהילתית של סלוניקי, גיבש המהרשד"ם מדיניות הלכתית המגינה על האוטונומיה של כל קהל וקהל [cite: 5, 6]. הוא פסק באופן קטגורי כי כל קהילת מהגרים זכאית ומחויבת להמשיך ולנהוג כמנהג אבותיה, ואין לקהל אחד – אפילו הציג רוב מספרי בעיר – שום סמכות לכפות את מנהגיו, תקנותיו, או נוסח תפילתו על קהל אחר [cite: 6]. עמדה זו מנעה סכסוכים בין-עדתיים קשים ושימרה את השלום הקהילתי [cite: 6].</w:t>
      </w:r>
    </w:p>
    <w:p>
      <w:r>
        <w:t>היחס לאנוסים וצאצאיהם</w:t>
      </w:r>
    </w:p>
    <w:p>
      <w:r>
        <w:t>שאלת מעמדם המשפטי וההלכתי של האנוסים שנמלטו מחצי האי האיברי ותבעו את מקומם בקהילה היהודית עמדה במרכז פסיקתו [cite: 5, 15, 16]. המהרשד"ם עסק בסוגיות מורכבות של חליצה, יבום, נאמנות עדים אנוסים, ודיני ירושה של משפחות אנוסים (כמו המאבק המשפטי המפורסם בנכסי דונה גרציה מנדס) [cite: 5, 15, 16, 17]. בפסיקתו שילב זהירות משפטית לגבי נישואין שנערכו בספרד תחת כפייה נוצרית, לצד גישה מקלה ומקרבת שאפשרה את התערבותם של השבים ליהדות בחברה היהודית ללא משברים [cite: 5, 15].</w:t>
      </w:r>
    </w:p>
    <w:p>
      <w:r>
        <w:t>תקיפות דיינית מול ענווה אישית</w:t>
      </w:r>
    </w:p>
    <w:p>
      <w:r>
        <w:t>בנהגת בית הדין הפעיל המהרשד"ם סמכות תקיפה ולא נרתע מהטלת מרותו על בעלי דין אלימים או גבירים תקיפים [cite: 2, 3]. כאשר חכמי צפת (וביניהם רבי יוסף קארו) ניסו להתערב בענייניה הפנימיים של קהילת סלוניקי, שלח אליהם איגרת תקיפה המבהירה את עצמאותה של ההנהגה המקומית [cite: 2].</w:t>
      </w:r>
    </w:p>
    <w:p>
      <w:r>
        <w:t>מאידך, בהנהגתו האישית נהג בענווה מופלגת [cite: 6]. דוגמה לכך היא מנהגו בעניין המיסים: אף שעל פי הדין הפסוק תלמידי חכמים פטורים ממסי גולגולת [cite: 18], נהג המהרשד"ם לשלם מדי שנה "זוז אחד" לקופת הקהל עבור מס הגולגולת [cite: 18]. במעשה חסידות זה ביקש שלא להחזיק עצמו כ"תלמיד חכם" הפטור מן המס ולהשתתף בסמליות בעול הציבור, תוך הקפדה שלא לפגוע בכלל הפטור ההלכתי של שאר חכמי העיר [cite: 18].</w:t>
      </w:r>
    </w:p>
    <w:p>
      <w:r>
        <w:t>חוג תלמידיו וקשריו עם פוסקי דורו</w:t>
      </w:r>
    </w:p>
    <w:p>
      <w:r>
        <w:t>ישיבתו של המהרשד"ם בסלוניקי הצמיחה את מנהיגיו התורניים של הדור הבא באימפריה העות'מאנית. בין תלמידיו הבולטים נמנים:</w:t>
      </w:r>
    </w:p>
    <w:p>
      <w:r>
        <w:t>רבי אברהם די בוטון, מחבר החיבור הנודע "לחם משנה" על משנה תורה לרמב"ם ושו"ת "לחם רב", הנחשב לאחד מחשובי מפרשי הרמב"ם בכל הדורות [cite: 3, 6, 7]. תלמיד מובהק נוסף היה רבי יוסף אבן עזרא, מחבר החיבור התלמודי "עצמות יוסף" על מסכת קידושין והספר "משא מלך" העוסק בדיני מיסים, מנהגים ותקנות קהל, אשר כיהן בהמשך כרבה של סופיה [cite: 1, 2, 11]. כמו כן למדו אצלו רבי אברהם בן בורג'יל (מחבר "לחם אבירים" על הש"ס) [cite: 6], רבי מנחם די לונזאנו (מחבר "מאור עיניים") [cite: 7], וכן נכדו רבי שמואל חיון (מחבר שו"ת "בני שמואל") [cite: 1].</w:t>
      </w:r>
    </w:p>
    <w:p>
      <w:r>
        <w:t>קשריו של המהרשד"ם עם חכמי דורו משקפים את מעמדו כפוסק ראשון במעלה במרחב הים-תיכוני [cite: 1, 2]. הוא ניהל חליפת שו"ת ענפה עם מרן רבי יוסף קארו (בעל ה"בית יוסף" וה"שולחן ערוך"), אשר אף פנה אליו במכתב אישי לבקש את הכרעתו במחלוקת הלכתית בינו לבין רבי משה מטראני (המבי"ט) בצפת, בעניין הוראת הלכה של תלמידים צעירים [cite: 1, 2]. המהרשד"ם צידד בעמדתו של רבי יוסף קארו ושלח פסק מפורט לביסוס שיטתו [cite: 1].</w:t>
      </w:r>
    </w:p>
    <w:p>
      <w:r>
        <w:t>כמו כן עמד בקשרי פסיקה רציפים עם ענקי הדור: רבי יוסף בן לב (ריב"ל) [cite: 3, 6], הרדב"ז (רבי דוד בן זמרא) [cite: 3], רבי בצלאל אשכנזי (מחבר "שיטה מקובצת") במצרים [cite: 3], ורבי שלמה הכהן (מהרש"ך) בסלוניקי [cite: 2, 19].</w:t>
      </w:r>
    </w:p>
    <w:p>
      <w:r>
        <w:t>שם התלמיד | חיבורו המרכזי | תחום ע עיסוק מרכזי | תפקידים והשפעה ציבורית</w:t>
      </w:r>
    </w:p>
    <w:p>
      <w:r>
        <w:t>רבי אברהם די בוטון | "לחם משנה", "לחם רב" | פרשנות הרמב"ם ושו"ת הלכתי [cite: 6] | מחשובי פוסקי סלוניקי והבלקן [cite: 6]</w:t>
      </w:r>
    </w:p>
    <w:p>
      <w:r>
        <w:t>רבי יוסף אבן עזרא | "עצמות יוסף", "משא מלך" | עיוני קידושין ודיני מיסים [cite: 1, 11] | רבה של סופיה, פוסק מרכזי [cite: 11]</w:t>
      </w:r>
    </w:p>
    <w:p>
      <w:r>
        <w:t>רבי אברהם בן בורג'יל | "לחם אבירים" | חידושים עמוקים על הש"ס [cite: 6] | ראש ישיבה ומרביץ תורה [cite: 6]</w:t>
      </w:r>
    </w:p>
    <w:p>
      <w:r>
        <w:t>רבי מנחם די לונזאנו | "מאור עיניים", "דרך חיים" | מסורה, מדרשים, מחקר ופיוט [cite: 7] | מחכמי ירושלים, קושטא ואטליה [cite: 7]</w:t>
      </w:r>
    </w:p>
    <w:p>
      <w:r>
        <w:t>רבי שמואל חיון | שו"ת "בני שמואל" | שאלות ותשובות בהלכה [cite: 1] | דיין בסלוניקי ופוסק בוונציה [cite: 1]</w:t>
      </w:r>
    </w:p>
    <w:p>
      <w:r>
        <w:t>השפעתו, מורשתו לדורות והמחקר המודרני</w:t>
      </w:r>
    </w:p>
    <w:p>
      <w:r>
        <w:t>השפעתו של המהרשד"ם על עיצוב המשפט העברי והפסיקה ההלכתית נמשכת ברציפות מאז המאה ה-16 [cite: 3, 5, 7]. פוסקי הדורות שאחריו – ובפרט מחברי ספרות השו"ת במזרח, באירופה ובבלקן – ראו בשו"ת מהרשד"ם מקור סמכות עליון להכרעות בית הדין [cite: 3, 5]. רבי חיים שבתי (מהרח"ש) ורבי יעקב אלפאנדרי השוו את מעמדם של המהרשד"ם ומהרש"ך בסלוניקי למעמדם של הרמב"ם והרא"ש בתקופתם [cite: 2]. דייני סלוניקי לאורך מאות שנים נהגו לצטט מפסקיו ולראות בהם נורמה משפטית מחייבת [cite: 3]. בספרות הפסיקה המאוחרת, כגון ב"כנסת הגדולה" לרבי חיים בנבנישתי, תופסים פסקיו של המהרשד"ם מקום מרכזי בדיני ממונות ותקנות קהל [cite: 20].</w:t>
      </w:r>
    </w:p>
    <w:p>
      <w:r>
        <w:t>במאה ה-20 וה-21 הפכו חיבוריו של המהרשד"ם לכר נרחב למחקר אקדמי בתחומי ההיסטוריה, הסוציולוגיה והמשפט העברי. חוקרים זיהו בתשובותיו מקור היסטורי ראשון במעלה לשחזור החיים הכלכליים, הניהוליים והחברתיים של יהודי האימפריה העות'מאנית במאה ה-16 [cite: 5, 21].</w:t>
      </w:r>
    </w:p>
    <w:p>
      <w:r>
        <w:t>בין המחקרים המרכזיים שנכתבו על פועלו: מחקר היסוד של מוריס גודבלט (Morris S. Goodblatt) משנת 1952 (Jewish Life in Turkey in the XVIth Century as Reflected in the Legal Writings of Samuel de Medina) ניתח בצורה מקיפה את המציאות הקהילתית, המסחרית והמשפטית המשתקפת בתשובות המהרשד"ם [cite: 2, 22, 23].</w:t>
      </w:r>
    </w:p>
    <w:p>
      <w:r>
        <w:t>מפעל המפתח המקיף של פרופ' לאה בורנשטיין-מקובצקי (אוניברסיטת בר-אילן, תשל"ט) סיפק מפתח היסטורי-נושאי לכל מאות התשובות בשו"ת מהרשד"ם, בצירוף מונוגרפיה נרחבת על חייו, קשריו, ומערכת המושגים המשפטית של תשובותיו [cite: 1, 5, 21].</w:t>
      </w:r>
    </w:p>
    <w:p>
      <w:r>
        <w:t>כמו כן, מחקרו של פרופ' יעקב שמואל שפיגל (במבוא לשו"ת מהרשד"ם מהדורת "זיכרון אהרן", תשע"ה) הציג ניתוח טקסטואלי-ביבליוגרפי מפורט של תולדות המחבר, מבנה ספריו, והיחס בין המהדורות השונות של פסקיו [cite: 5].</w:t>
      </w:r>
    </w:p>
    <w:p>
      <w:r>
        <w:t>סיכום</w:t>
      </w:r>
    </w:p>
    <w:p>
      <w:r>
        <w:t>רבי שמואל די מדינה (המהרשד"ם) מהווה דמות מפתח בתולדות ההלכה והמנהיגות הרוחנית של יהדות ספרד והמזרח. פועלו המגוון בסלוניקי איחד בין למדנות תלמודית מעמיקה, הנהגת ישיבה שהצמיחה את חכמי הדור הבא, וניהול בית דין מרכזי שהתמודד עם אתגרי השעה. משנתו ההלכתית, שהתאפיינה בהכרה בצרכי המסחר והכלכלה, בהגנה על האוטונומיה של הקהילות, ובגישה עיונית רציונלית, ביססה את יסודות המשפט העברי באימפריה העות'מאנית והבטיחה את מקומו של שו"ת מהרשד"ם כאחד מחיבורי הפסיקה המרכזיים לדורות.</w:t>
      </w:r>
    </w:p>
    <w:p>
      <w:r>
        <w:t>--------------------------------------------------------------------------------</w:t>
      </w:r>
    </w:p>
    <w:p>
      <w:r>
        <w:t>1.  שמואל די מדינה - ויקיפדיה, https://he.wikipedia.org/wiki/%D7%A9%D7%9E%D7%95%D7%90%D7%9C_%D7%93%D7%99_%D7%9E%D7%93%D7%99%D7%A0%D7%94</w:t>
      </w:r>
    </w:p>
    <w:p>
      <w:r>
        <w:t>2.  Samuel ben Moses de Medina - Jewish Virtual Library, https://jewishvirtuallibrary.org/medina-samuel-ben-moses-de</w:t>
      </w:r>
    </w:p>
    <w:p>
      <w:r>
        <w:t>3.  אנציקלופדיה יהודית דעת - שמואל די מדינה, מהרשד"ם ;, https://www.daat.ac.il/encyclopedia/value.asp?id1=1792</w:t>
      </w:r>
    </w:p>
    <w:p>
      <w:r>
        <w:t>4.  חכם שמואל די מדינה - החכם היומי, https://hyomi.org.il/%D7%97%D7%9B%D7%9D-%D7%A9%D7%9E%D7%95%D7%90%D7%9C-%D7%93%D7%99-%D7%9E%D7%93%D7%99%D7%A0%D7%94</w:t>
      </w:r>
    </w:p>
    <w:p>
      <w:r>
        <w:t>5.  שו"ת מהרשד"ם - ויקיפדיה, https://he.wikipedia.org/wiki/%D7%A9%D7%95%22%D7%AA_%D7%9E%D7%94%D7%A8%D7%A9%D7%93%22%D7%9D</w:t>
      </w:r>
    </w:p>
    <w:p>
      <w:r>
        <w:t>6.  רבי שמואל די מודינה – ויקישיבה, https://www.yeshiva.org.il/wiki/index.php/%D7%A8%D7%91%D7%99_%D7%A9%D7%9E%D7%95%D7%90%D7%9C_%D7%93%D7%99_%D7%9E%D7%95%D7%93%D7%99%D7%A0%D7%94</w:t>
      </w:r>
    </w:p>
    <w:p>
      <w:r>
        <w:t>7.  שמואל די מדינה | מקורות מתוך ספריית ספריא, https://www.sefaria.org.il/topics/samuel-de-medina</w:t>
      </w:r>
    </w:p>
    <w:p>
      <w:r>
        <w:t>8.  שו"ת מהרשד"ם | האוסף של ספריא, https://www.sefaria.org.il/Responsa_Maharashdam</w:t>
      </w:r>
    </w:p>
    <w:p>
      <w:r>
        <w:t>9.  בן שמואל. מנטובה שפ"ב [1622], מהדורה יחידה - ווינרס מכירות פומביות, https://winners-auctions.com/items/%D7%91%D7%9F-%D7%A9%D7%9E%D7%95%D7%90%D7%9C-%D7%9E%D7%A0%D7%98%D7%95%D7%91%D7%94-%D7%A9%D7%A4%D7%91-1622-%D7%9E%D7%94%D7%93%D7%95%D7%A8%D7%94-%D7%99%D7%97%D7%99%D7%93%D7%94/</w:t>
      </w:r>
    </w:p>
    <w:p>
      <w:r>
        <w:t>10. דרוש נדיר והיסטורי: ספר בן שמואל להגאון המהרשד”ם – מנטובה, שפ”ב – עותק שהגו בו במלחמת העולם השנייה בספריית במחנה טרעזנשטאט - Torah Auctions, https://torahauctions.com/auction/237-18/lot-43-%D7%93%D7%A8%D7%95%D7%A9-%D7%A0%D7%93%D7%99%D7%A8/</w:t>
      </w:r>
    </w:p>
    <w:p>
      <w:r>
        <w:t>11. משא מלך – דיני מסים ומנהגים - יד הרב ניסים, https://yadharavnissim.com/product/%D7%9E%D7%A9%D7%90-%D7%9E%D7%9C%D7%9A-%D7%93%D7%99%D7%A0%D7%99-%D7%9E%D7%A1%D7%99%D7%9D-%D7%95%D7%9E%D7%A0%D7%94%D7%92%D7%99%D7%9D/</w:t>
      </w:r>
    </w:p>
    <w:p>
      <w:r>
        <w:t>12. כוחם של מנהגי ממון לבטל הלכה: חכמי סלוניקי ואסתאנבול (קושטא) במאות הט"ז הי" ז, https://orot.ac.il/sites/default/files/%D7%A7%D7%9C%D7%99%D7%99%D7%A0%D7%9E%D7%9F%2015.pdf</w:t>
      </w:r>
    </w:p>
    <w:p>
      <w:r>
        <w:t>13. סיטומתא – כוחו של המנהג בדיני הקניין - מכון משפטי ארץ, https://dintora.org/Show_article/1121</w:t>
      </w:r>
    </w:p>
    <w:p>
      <w:r>
        <w:t>14. שו"ת מהרשד"ם/יורה דעה/סימן עח - ויקיטקסט, https://he.wikisource.org/wiki/%D7%A9%D7%95%22%D7%AA_%D7%9E%D7%94%D7%A8%D7%A9%D7%93%22%D7%9D/%D7%99%D7%95%D7%A8%D7%94_%D7%93%D7%A2%D7%94/%D7%A1%D7%99%D7%9E%D7%9F_%D7%A2%D7%97</w:t>
      </w:r>
    </w:p>
    <w:p>
      <w:r>
        <w:t>15. מעמד האנוסים לאור ההלכה / ישראל תא שמע, https://www.daat.ac.il/daat/history/nidhey/ta_shma.htm</w:t>
      </w:r>
    </w:p>
    <w:p>
      <w:r>
        <w:t>16. "ומשפטים בל ידעום"? פסיקה לפי חוקי גויים ומנהגיהם המסחריים: עמדת חכמי ההלכה באימפריה העות'מאנית במאות הט"ז הי"ט, https://orot.ac.il/sites/default/files/%D7%A7%D7%9C%D7%99%D7%99%D7%A0%D7%9E%D7%9F%2011_0_0.pdf</w:t>
      </w:r>
    </w:p>
    <w:p>
      <w:r>
        <w:t>17. שו"ת מהרשד"ם, אבן העזר א׳ | האוסף של ספריא, https://www.sefaria.org.il/Responsa_Maharashdam,_Even_HaEzer</w:t>
      </w:r>
    </w:p>
    <w:p>
      <w:r>
        <w:t>18. מדוע מהרשד"ם ז"ל נתן זוז אחד כל שנה לקופת הקהל? - דרשו, https://www.dirshu.co.il/%D7%9E%D7%93%D7%95%D7%A2-%D7%9E%D7%94%D7%A8%D7%A9%D7%93%D7%9D-%D7%96%D7%9C-%D7%A0%D7%AA%D7%9F-%D7%96%D7%95%D7%96-%D7%90%D7%97%D7%93-%D7%9B%D7%9C-%D7%A9%D7%A0%D7%94-%D7%9C%D7%A7%D7%95%D7%A4%D7%AA/</w:t>
      </w:r>
    </w:p>
    <w:p>
      <w:r>
        <w:t>19. במקום מנהג - פסקי דין רבניים, https://www.psakim.org/psakim/tags/35679</w:t>
      </w:r>
    </w:p>
    <w:p>
      <w:r>
        <w:t>20. הצמדה למדד בהלכה - הרב ישועה רטבי - ישיבת מצפה יריחו, https://www.kiryatmoshe.co.il/index2.php?id=4374&amp;lang=HEB</w:t>
      </w:r>
    </w:p>
    <w:p>
      <w:r>
        <w:t>21. לאה בורנשטיין מקובצקי - ויקיפדיה, https://he.wikipedia.org/wiki/%D7%9C%D7%90%D7%94_%D7%91%D7%95%D7%A8%D7%A0%D7%A9%D7%98%D7%99%D7%99%D7%9F_%D7%9E%D7%A7%D7%95%D7%91%D7%A6%D7%A7%D7%99</w:t>
      </w:r>
    </w:p>
    <w:p>
      <w:r>
        <w:t>22. Jewish Life in Turkey in the XVIth Century: As Reflected in the Legal Writings... (Cloth) - AbeBooks, https://www.abebooks.com/signed/Jewish-Life-Turkey-XVIth-Century-Reflected/18273226025/bd</w:t>
      </w:r>
    </w:p>
    <w:p>
      <w:r>
        <w:t>23. Jewish Life in Turkey in the XVIth Century: As Reflected in the Legal Writings of Samuel de Medina - Google Livres, https://books.google.bi/books?id=M81tAAAAMAAJ&amp;hl=fr&amp;source=gbs_navlinks_s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