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אברהם די בוטון (בעל "לחם משנה")</w:t>
      </w:r>
    </w:p>
    <w:p>
      <w:r>
        <w:t>תולדות חייו ותקופתו: תור הזהב בסלוניקי העות'מאנית</w:t>
      </w:r>
    </w:p>
    <w:p>
      <w:r>
        <w:t>במהלך המאה ה-16 שמשה העיר סלוניקי, תחת שלטון האימפריה העות'מאנית, כמרכז הרוחני, הכלכלי וההלכתי הבולט ביותר של פזורת מגורשי ספרד [cite: 1]. הגעתם של אלפי חכמים ומשפחות מיהדות ספרד והפורטוגזים הפיחה חיים חדשים בקהילה המקומית, והפכה את סלוניקי לעיר של ישיבות, בתי דפוס עבריים ובתי דין שהשפעתם הפסיקתית התפשטה על פני כל רחבי העולם היהודי [cite: 1]. בסביבה עתירת תלמידי חכמים ודיונים הלכתיים סוערים צמח רבי חייא אברהם ברבי משה די בוטון [cite: 1]. התקופה התאפיינה במאמצים כבירים לארגון, קידוד ופרשנות של המשפט העברי, עקב ניתוק הקהילות ממרכזיהן ההיסטוריים בחצי האי האיברי והצורך לתת מענה משפטי ומנהלי לאתגרים החדשים של החיים בגלות העות'מאנית [cite: 1]. יצירתו התורנית של רבי אברהם די בוטון צמחה בדיוק במרחב הדינמי הזה, שבו נדרשו החכמים ליצור סינתזה בין עומק הלימוד העיוני-ספרדי לבין היכולת להוציא לפועל פסיקת הלכה למעשה בקהילות שוקקות מסחר ודעת [cite: 1, 2, 3].</w:t>
      </w:r>
    </w:p>
    <w:p>
      <w:r>
        <w:t>רבי חייא אברהם די בוטון נולד בסלוניקי בשנות ה-40 של המאה ה-16 (סביב שנת ה'ש"ה / 1545) למשפחה מיוחסת מצאצאי מגורשי ספרד [cite: 1, 4]. השם "חייא" נוסף לשמו המקורי "אברהם" במהלך מחלה קשה שפקדה אותו בימי חייו, כסגולה לרפואה ולאריכות ימים, וכך נהג לעיתים לחתום את שמו בחיבוריו ובפסקיו [cite: 1]. למרות מעמדו הרם והכתוזייתו כאחד מחכמי סלוניקי, ראש ישיבה ופוסק מרכזי, חייו היו קצרים באופן יחסית [cite: 1, 2]. הוא נפטר בצעירותו, ככל הנראה בגיל 43 בלבד, בעת שהשתוללה מגיפה קשה בעירו [cite: 1, 2]. שנת פטירתו המקובלת במחקר ובמסורת היא ה'שמ"ח (1588), אף כי קיימות במקורות מסוימים הצעות מאוחרות יותר לשנות ה-90 של המאה ה-16 [cite: 1, 5]. הוא נטמן בבית העלמין היהודי העתיק בסלוניקי [cite: 1].</w:t>
      </w:r>
    </w:p>
    <w:p>
      <w:r>
        <w:t>סביב פטירתו וקבורתו נקשרה אגדה עממית היסטורית המעידה על יראת הכבוד והערצה שרחשו לו בני עדתו. לפי המסורת, נפטר רבי אברהם בערב שבת, וקבורתו הסתיימה בסמוך מאוד לשקיעת החמה, עד כי המלווים חששו כי נכנסו לספק חילול שבת [cite: 1]. הצער העמוק של בני הקהילה שכך כאשר מיד לאחר הקבורה יצאה השמש מבעד לעננים והתברר כי השבת טרם נכנסה [cite: 1]. רבי אברהם די בוטון הניח אחריו שושלת תורנית מפוארת [cite: 1]. בניו – רבי מאיר די בוטון (מחבר "שו"ת מהר"ם די בוטון"), רבי יעקב ורבי אהרן – שימשו אף הם בתפקידים רבניים והלכתיים באימפריה העות'מאנית [cite: 1, 3, 6]. צאצאיו וחתניו, ובהם הגביר יצחק אלגראנטי, היו מעורבים מאוחר יותר בהוצאה לאור ובשימור ירושתו התורנית בבית הדפוס באיזמיר ובקהילות נוספות [cite: 3].</w:t>
      </w:r>
    </w:p>
    <w:p>
      <w:r>
        <w:t>בית המדרש הסלוניקאי: רבותיו ותלמידיו</w:t>
      </w:r>
    </w:p>
    <w:p>
      <w:r>
        <w:t>התפתחותו התורנית של רבי אברהם די בוטון יושבת על אדני בית המדרש המפואר של סלוניקי במאה ה-16 [cite: 1, 2]. רבו המובהק והעיקרי היה רבי שמואל די מדינה, הנודע בכינויו המהרשד"ם – מגדולי חכמי סלוניקי, פוסק הדור ומנהיגה הרוחני של הקהילה [cite: 1, 2, 5]. המהרשד"ם הנחיל לתלמידו את הגישה הלימודית הניתוחית, המתאפיינת בדיוק טקסטואלי חמור, בבחינת מקורות התלמוד והראשונים בעיניים ביקורתיות, ובחתירה מתמדת להכרעה הלכתית המעוגנת במציאות הכלכלית והחברתית [cite: 1, 2, 7]. זיקתו של רבי אברהם לרבו הייתה עמוקה ביותר, ומשנתו של המהרשד"ם מהווה מסד מרכזי בתשובותיו ובפירושיו של בעל "לחם משנה" [cite: 1, 2, 7].</w:t>
      </w:r>
    </w:p>
    <w:p>
      <w:r>
        <w:t>כרב וראש ישיבה בסלוניקי, העמיד רבי אברהם די בוטון תלמידים רבים שהמשיכו את דרכו הלימודית והחזיקו במשרות רבניות ברחבי האימפריה העות'מאנית [cite: 1]. מבין תלמידיו הבולטים שנזכרו בספרות הדור נמנים רבי שמואל חיון, מחכמי סלוניקי אשר המשיך את מסורת הלימוד של רבו בהוראה ובפסיקה, ורבי שבתי יונה, מחבר ופוסק מוערך שהפיץ את תורת רבו ברחבי הקהילות [cite: 1]. בספרות ההיסטורית, כגון בספר "קורא הדורות" לרבי דוד קונפורטי, מובאת טענה בשם רבי מרדכי קלעי, כי כתב חלקים מפירוש "לחם משנה" בשותפות עמו [cite: 1]. עם זאת, חוקרים ופרשנים מציינים כי טענה זו אינה נתמכת במקורות נוספים ואינה משקפת את יצירתו היחידאית של בעל החיבור [cite: 1].</w:t>
      </w:r>
    </w:p>
    <w:p>
      <w:r>
        <w:t>חיבורו המרכזי: "לחם משנה" על משנה תורה לרמב"ם</w:t>
      </w:r>
    </w:p>
    <w:p>
      <w:r>
        <w:t>החיבור שהקנה לרבי אברהם די בוטון את מקומו האלמותי בקאנון התורני הוא ספרו "לחם משנה", פירוש מקיף ומעמיק על חיבורו הגדול של הרמב"ם, "משנה תורה" [cite: 1, 2, 8]. תהליך חיבורו של "לחם משנה" כולל פרק ביבליוגרפי ודרמטי בתולדות ספרות מפרשי הרמב"ם [cite: 1, 9, 10]. רבי אברהם החל לחבר את יצירתו כפירוש עצמאי שמטרתו הייתה לאתר את המקורות התלמודיים של פסיקות הרמב"ם, ליישב את השגות הראב"ד (רבי אברהם בן דוד מפוֹשְקִירָה), ולהסביר תמיהות קשות בלשון הרמב"ם [cite: 1, 8, 11].</w:t>
      </w:r>
    </w:p>
    <w:p>
      <w:r>
        <w:t>בעודו שקוע בכתיבת החיבור, הגיע לידיו פירושו של מרן רבי יוסף קארו, "כסף משנה", אשר נדפס באותה תקופה [cite: 1, 9, 10]. משהתוודע לכך שרבי יוסף קארו כבר עסק בהרחבה באיתור המקורות ובמענה להשגות הראב"ד, קיבל רבי אברהם די בוטון החלטה עריכתית מרחיקת לכת. הוא השמיט מכתב היד שלו את כל הביאורים והמקורות שהובאו כבר ב"כסף משנה", והתמקד אך ורק בנושאים, בסתירות ובקשיים שרבי יוסף קארו לא עסק בהם או שהניחם בצריך עיון [cite: 9, 10, 12]. כתוצאה מכך, הפך ספרו מביאור יסודי גרידא לחיבור מרוכז, עמוק ומפולפל, המשלימה את ה"כסף משנה" – ומכאן גם נגזר שמו: "לחם משנה", כביטוי למנה כפולה ותוספת על פירושו של מרן [cite: 9, 10, 12].</w:t>
      </w:r>
    </w:p>
    <w:p>
      <w:r>
        <w:t>השיטה הפרשנית של ה"לחם משנה" מושתתת על מספר עקרונות עיוניים מרכזיים. ראשית, הוא מתמקד בהרמוניזציה ויישוב סתירות פנימיות ברמב"ם. בעוד שמפרשים מוקדמים נטו לעיתים לייחס שינויי לשון ברמב"ם לחזרות או לטעויות העתקה, רבי אברהם די בוטון הניח כהנחת יסוד כי הרמב"ם דייק בכל מילה [cite: 8, 13]. הוא פיתח מנגנונים חילוקיים מבריקים כדי ליישב סתירות בין הלכות שונות בספר "משנה תורה", כגון יישוב הסתירה בין יחס הרמב"ם לשפה היוונית בהלכות תפילין לבין הדין המובא על ידו בהלכות מגילה [cite: 8, 13].</w:t>
      </w:r>
    </w:p>
    <w:p>
      <w:r>
        <w:t>שנית, במקומות שבהם ה"כסף משנה" לא מצא מקור מפורש בתלמוד הבבלי, ה"לחם משנה" מראה שליטה נרחבת בתלמוד הירושלמי, בתוספתא, במדרשי ההלכה ובמבנה הסוגיות, ומחלץ מכוח עומק הפלפול את המקור המדויק [cite: 8]. שלישית, בעניין השגות הראב"ד, רבי אברהם אינו מסתפק בדחיית ההשגה, אלא חודר לעומק סברתו של הראב"ד ומנסח את המחלוקת שבינו לבין הרמב"ם כיחידה תפיסתית-הלכתית שלמה [cite: 11, 14].</w:t>
      </w:r>
    </w:p>
    <w:p>
      <w:r>
        <w:t>מדד השוואה | מגיד משנה (רבי וידאל די טולוזא) [cite: 1] | כסף משנה (רבי יוסף קארו) [cite: 1, 8, 9] | לחם משנה (רבי אברהם די בוטון) [cite: 1, 8, 9]</w:t>
      </w:r>
    </w:p>
    <w:p>
      <w:r>
        <w:t>זמן ומקום | המאה ה-14, ספרד [cite: 1] | המאה ה-16, ארץ ישראל / טורקיה [cite: 1, 8] | המאה ה-16, סלוניקי [cite: 1, 8]</w:t>
      </w:r>
    </w:p>
    <w:p>
      <w:r>
        <w:t>יעד מרכזי | חשיפת המקור התלמודי והסבר פשט הרמב"ם [cite: 8] | אנציקלופדיה של מקורות ויישוב השגות הראב"ד [cite: 1, 8] | השלמת ה"כסף משנה", יישוב סתירות ועומק הפלפול [cite: 8, 9, 13]</w:t>
      </w:r>
    </w:p>
    <w:p>
      <w:r>
        <w:t>סגנון לימודי | תמציתי, מדויק ומבוסס פשט | מקיף, כולל השוואות לבית יוסף ולטור | עיוני-חילוקי, ממוקד בקשיים טקסטואליים ומושגיים [cite: 1, 8]</w:t>
      </w:r>
    </w:p>
    <w:p>
      <w:r>
        <w:t>ייחוד מתודולוגי | היצירה הקלאסית הראשונה שנכתבה על הרמב"ם | כיסוי כמעט מלא של כל חלקי היד החזקה | התמקדות בדקויות, מניעת כפילות מודעת והקפדה על דיוק לשוני [cite: 1, 9]</w:t>
      </w:r>
    </w:p>
    <w:p>
      <w:r>
        <w:t>יצירתו ההלכתית: שו"ת "לחם רב" ושיטתו הפסיקתית</w:t>
      </w:r>
    </w:p>
    <w:p>
      <w:r>
        <w:t>לצד עבודתו הפרשנית על הרמב"ם, פעל רבי אברהם די בוטון כפוסק הלכה מרכזי והשיב למאות שאלות הלכתיות שנשלחו אליו מכל רחבי האימפריה העות'מאנית [cite: 1, 2, 3]. תשובותיו כונסו בספרו "שו"ת לחם רב" [cite: 1, 2, 3]. ספר השאלות והתשובות לא נדפס בחיי המחבר עקב פטירתו המוקדמת [cite: 2, 3]. החיבור הובא לבית הדפוס באיזמיר בשנת ה'ת"כ (1660) על ידי נכדו, החכם רבי אברהם בן רבי אהרן די בוטון, בשותפות עם הגביר יצחק אלגראנטי, שהיה נשוי לבת בנו של המחבר [cite: 3]. המדפיסים והצאצאים הקדישו חמש מאות ספרים מתוך המהדורה כקרן קישור שפירותיה יוקדשו לתמיכה בתלמידי חכמים הלומדים בישיבות, עובדה המלמדת על התפיסה הקהילתית והלמדנית של המשפחה [cite: 3].</w:t>
      </w:r>
    </w:p>
    <w:p>
      <w:r>
        <w:t>תשובותיו של בעל "לחם משנה" ב"שו"ת לחם רב" מגלות פוסק בעל אופק רחב, המשלב עומק עיוני עם ירידה לפרטי פרטים של חוק ומשפט [cite: 3, 15, 16]. בשיטתו הפסיקתית בולטת הסתמכותו על עקרון "אומדנא דמוכח" (הערכת כוונת הלב) בפרשנות שטרות ותנאים. רבי אברהם העניק משקל רב לכוונת המשוערת של הצדדים בעסקאות ובחוזים, מעבר לניסוח הדווקאי של המילים [cite: 15]. בפסק מפורסם הדגיש כי כאשר אדם מפקיד או מעביר נכסים לחברו לשם כיסוי חובות, אין להניח כי התכוון שאותו חבר יגרוף רווחים אישיים מהנכסים, אלא אם כן צוין כך במפורש [cite: 15].</w:t>
      </w:r>
    </w:p>
    <w:p>
      <w:r>
        <w:t>כמו כן, בתחומי חושן משפט העניק תוקף הלכתי מכריע למנהג הסוחרים (מנהג הסיטומתא), אף במצבים שבהם הדין התלמודי המקורי מעמיד קשיים, כגון התחייבות בדבר שלא בא לעולם או אסמכתא [cite: 16]. פסקיו ביססו גם את הכוח המשפטי המוחלט של הציבור והפרנסים להתחייב ולהתקשר בחוזים ללא קצבה מוגדרת מראש, תוך הסתמכות על מעמדם המיוחד של ענייני ציבור במשפט העברי [cite: 16]. בנוסף, דיוניו בסוגיות של "ברי ושמא" ודיני טענות ומענות מראים ניתוח שיטתי של דיני החזקות, תוך העדפה עקבית של חזקת הממון במקום שבו אין ראיה קבילה לסתור [cite: 17].</w:t>
      </w:r>
    </w:p>
    <w:p>
      <w:r>
        <w:t>חוקרי ספרות השו"ת והלשון העברית, ובהם נחום סוקולוב, עמדו על סגנונו המיוחד של רבי אברהם די בוטון [cite: 1]. כתיבתו מתאפיינת בעברית צחה, סדורה, מדויקת ועשירה, הנמנעת מסרבול מליצי ומציגה את הטיעון המשפטי בצורה לוגית, שקופה ומסודרת [cite: 1]. סגנון נהיר זה תרם רבות להתקבלות פסקיו בקרב חכמי הדורות הבאים [cite: 1].</w:t>
      </w:r>
    </w:p>
    <w:p>
      <w:r>
        <w:t>השפעתו, התקבלותו ומורשתו לדורות</w:t>
      </w:r>
    </w:p>
    <w:p>
      <w:r>
        <w:t>מורשתו התורנית של רבי אברהם די בוטון נטמעה באופן עמוק ויסודי בעולם הלימוד היהודי [cite: 1, 2, 4]. מעטים הם החיבורים שזכו להיכנס למעמד של "נושאי כלים" קבועים הנדפסים לצדו של טקסט היסוד [cite: 1, 2]. החל מהדפסת המהדורות המרכזיות של ספר "משנה תורה" בוונציה (כגון מהדורת תס"ב / 1702), שולב פירוש "לחם משנה" באופן קבוע לצד ה"כסף משנה" וה"מגיד משנה" [cite: 1, 4, 18]. שילוב זה הפך את ה"לחם משנה" לטקסט חובה עבור כל לומד רמב"ם [cite: 1, 2]. היכולת שלו ליישב קשיים חמורים ולחשוף את העומק הסמוי של פסיקת הרמב"ם שימשה כמודל לחיבורים מאוחרים יותר, ובראשם הפירוש "משנה למלך" לרבי יהודה רוזאניס, אשר המשיך והרחיב את הדרך העיונית שסלל ה"לחם משנה" [cite: 4, 8].</w:t>
      </w:r>
    </w:p>
    <w:p>
      <w:r>
        <w:t>במאות ה-19 וה-20, עם צמיחת עולם הישיבות בליטא ופיתוח שיטת הלימוד המושגית-חילוקית, זכה פירוש "לחם משנה" לעדנה מחודשת. ראשי הישיבות ראו בחידושיו של רבי אברהם די בוטון את האב-טיפוס של החילוק המושגי, שכן "לחם משנה" היה מן הראשונים שהראו כי סתירות ברמב"ם אינן נובעות משינויי גרסאות בלבד, אלא מתפיסות משפטיות שונות של המושג ההלכתי בהקשרים שונים [cite: 8, 13, 14]. במקביל, תשובותיו בספר "שו"ת לחם רב" הפכו למקור סמכות ראשון במעלה בפסיקה הספרדית והעות'מאנית [cite: 3, 15]. חכמי איזמיר, שאלוניקי, ירושלים וקושטא ציטטו את פסקיו בנושאי תקנות קהילה, מנהגי מסחר, דיני כתובות ואישות, וראו בו אחד מאבות המסורת המשפטית העות'מאנית [cite: 3, 15].</w:t>
      </w:r>
    </w:p>
    <w:p>
      <w:r>
        <w:t>סיכום</w:t>
      </w:r>
    </w:p>
    <w:p>
      <w:r>
        <w:t>רבי חייא אברהם די בוטון מציב דמות מופת של תלמיד חכם ופוסק הפועל בנקודת המפגש ההיסטורית בין מורשת ספרד לבין המרכז העות'מאני בסלוניקי [cite: 1, 2]. אף על פי שנפטר בקיצור ימים, הצליח בזמן קצר להטביע חותם בל יימחה על ארון הספרים היהודי [cite: 1, 2]. החלטתו העריכתית שלא לכפול דברים שנכתבו ב"כסף משנה" לרבי יוסף קארו, אלא ליצור ביאור מרוכז, מעמיק ומשלים, יצרה את אחד מחיבורי הפרשנות המבריקים ביותר על היד החזקה [cite: 1, 9, 10]. בעבודתו הפרשנית ב"לחם משנה" ובתשובותיו ההלכתיות ב"שו"ת לחם רב", בנה רבי אברהם גשר מתודולוגי בין הפשט והמקור התלמודי לבין הפלפול והעומק המושגי [cite: 3, 8, 13]. מורשתו ממשיכה להדהד בבתי המדרש ובספרות הפסיקה עד עצם היום הזה, כחלק בלתי נפרד מלימוד הרמב"ם ותורת חכמי סלוניקי [cite: 1, 2, 4].</w:t>
      </w:r>
    </w:p>
    <w:p>
      <w:r>
        <w:t>--------------------------------------------------------------------------------</w:t>
      </w:r>
    </w:p>
    <w:p>
      <w:r>
        <w:t>1.  אברהם די בוטון - ויקיפדיה, https://he.wikipedia.org/wiki/%D7%90%D7%91%D7%A8%D7%94%D7%9D_%D7%93%D7%99_%D7%91%D7%95%D7%98%D7%95%D7%9F</w:t>
      </w:r>
    </w:p>
    <w:p>
      <w:r>
        <w:t>2.  שיעור 8 | לחם משנה - YouTube, https://www.youtube.com/watch?v=_NkoqHylBso</w:t>
      </w:r>
    </w:p>
    <w:p>
      <w:r>
        <w:t>3.  Shut Lechem Rav Machon Zichron Aharon - שו"ת לחם רב מכון זכרון אהרן - Judaica Plaza, https://judaicaplaza.com/products/11503260</w:t>
      </w:r>
    </w:p>
    <w:p>
      <w:r>
        <w:t>4.  משנה תורה - ויקיפדיה, https://he.wikipedia.org/wiki/%D7%9E%D7%A9%D7%A0%D7%94_%D7%AA%D7%95%D7%A8%D7%94</w:t>
      </w:r>
    </w:p>
    <w:p>
      <w:r>
        <w:t>5.  סדר הדורות הקצר - Portal Daf Yomi, https://files.daf-yomi.com/files/bookfiles/seder-hadorot-hakatsar/seder-hadorot-hakatsar.pdf</w:t>
      </w:r>
    </w:p>
    <w:p>
      <w:r>
        <w:t>6.  Browse Seforim - HebrewBooks.org, https://www.hebrewbooks.org/shut</w:t>
      </w:r>
    </w:p>
    <w:p>
      <w:r>
        <w:t>7.  תשובות הרשב"א: מעט סדר במבוך כתבי היד, https://tora-forum.co.il/attachments/%D7%AA%D7%A9%D7%95%D7%91%D7%95%D7%AA-%D7%94%D7%A8%D7%A9%D7%91%D7%90-%D7%9E%D7%A2%D7%98-%D7%A1%D7%93%D7%A8-%D7%91%D7%9E%D7%91%D7%95%D7%9A-%D7%9B%D7%AA%D7%91%D7%99-%D7%94%D7%99%D7%93-pdf.165348/</w:t>
      </w:r>
    </w:p>
    <w:p>
      <w:r>
        <w:t>8.  משנה תורה לרמב"ם - תרבות.il, https://tarbutil.cet.ac.il/anthology/%D7%A2%D7%9C-%D7%9E%D7%A9%D7%A0%D7%94-%D7%AA%D7%95%D7%A8%D7%94-%D7%9C%D7%A8%D7%9E%D7%91%D7%9D/</w:t>
      </w:r>
    </w:p>
    <w:p>
      <w:r>
        <w:t>9.  לחם משנה על משנה תורה, הלכות מלכים ומלחמות | האוסף של ספריא, https://www.sefaria.org.il/Lechem_Mishneh_on_Mishneh_Torah,_Kings_and_Wars</w:t>
      </w:r>
    </w:p>
    <w:p>
      <w:r>
        <w:t>10. לחם משנה על משנה תורה, הלכות קריאת שמע | האוסף של ספריא, https://www.sefaria.org.il/Lechem_Mishneh_on_Mishneh_Torah,_Reading_the_Shema</w:t>
      </w:r>
    </w:p>
    <w:p>
      <w:r>
        <w:t>11. ילקוט יוסף, https://rabbinicalalliance.org/wp-content/uploads/2021/03/%D7%99%D7%9C%D7%A7%D7%95%D7%98-%D7%99%D7%95%D7%A1%D7%A3-%D7%A2%D7%A8%D7%91-%D7%A4%D7%A1%D7%97-%D7%A9%D7%97%D7%9C-%D7%91%D7%A9%D7%91%D7%AA.pdf</w:t>
      </w:r>
    </w:p>
    <w:p>
      <w:r>
        <w:t>12. לחם משנה על משנה תורה, הלכות חמץ ומצה | האוסף של ספריא, https://www.sefaria.org.il/Lechem_Mishneh_on_Mishneh_Torah,_Leavened_and_Unleavened_Bread</w:t>
      </w:r>
    </w:p>
    <w:p>
      <w:r>
        <w:t>13. הלכות מגילה פרק ב: דיני קריאת המגילה ושמחת פורים - וּכְשֵׁם שֶׁאֲנִי – האתר של יצחק לאווי, https://yitzchoklowy.com/uncategorized/hlkw-mgylh-5/</w:t>
      </w:r>
    </w:p>
    <w:p>
      <w:r>
        <w:t>14. קובץ יסודות וחקירות/לקט חקירות - ויקיטקסט, https://he.wikisource.org/wiki/%D7%A7%D7%95%D7%91%D7%A5_%D7%99%D7%A1%D7%95%D7%93%D7%95%D7%AA_%D7%95%D7%97%D7%A7%D7%99%D7%A8%D7%95%D7%AA/%D7%9C%D7%A7%D7%98_%D7%97%D7%A7%D7%99%D7%A8%D7%95%D7%AA</w:t>
      </w:r>
    </w:p>
    <w:p>
      <w:r>
        <w:t>15. כללים בפרשנות שטר (והסכם ממון) - אלחנן רבינסקי טוען רבני ומגשר, https://r-mediator.co.il/psakim/%D7%9B%D7%9C%D7%9C%D7%99%D7%9D-%D7%91%D7%A4%D7%A8%D7%A9%D7%A0%D7%95%D7%AA-%D7%A9%D7%98%D7%A8-%D7%95%D7%94%D7%A1%D7%9B%D7%9D-%D7%9E%D7%9E%D7%95%D7%9F/</w:t>
      </w:r>
    </w:p>
    <w:p>
      <w:r>
        <w:t>16. הלכות הלואה סימנים לט - ס - אתר פסקי דין רבניים, https://www.psakim.org/Psakim/File/14337</w:t>
      </w:r>
    </w:p>
    <w:p>
      <w:r>
        <w:t>17. מיקרופדיה תלמודית:חזקת ממון – ויקישיבה, https://www.yeshiva.org.il/wiki/index.php/%D7%9E%D7%99%D7%A7%D7%A8%D7%95%D7%A4%D7%93%D7%99%D7%94_%D7%AA%D7%9C%D7%9E%D7%95%D7%93%D7%99%D7%AA:%D7%97%D7%96%D7%A7%D7%AA_%D7%9E%D7%9E%D7%95%D7%9F</w:t>
      </w:r>
    </w:p>
    <w:p>
      <w:r>
        <w:t>18. | Page 2093 | קדם בית מכירות פומביות בע״מ - Kedem Auctions, https://www.kedem-auctions.com/he/search?page=2092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