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bidi w:val="1"/>
        <w:rPr>
          <w:rFonts w:ascii="Times New Roman" w:cs="Times New Roman" w:eastAsia="Times New Roman" w:hAnsi="Times New Roman"/>
          <w:color w:val="1b1b1c"/>
          <w:sz w:val="33"/>
          <w:szCs w:val="33"/>
        </w:rPr>
      </w:pPr>
      <w:r w:rsidDel="00000000" w:rsidR="00000000" w:rsidRPr="00000000">
        <w:rPr>
          <w:rFonts w:ascii="Times New Roman" w:cs="Times New Roman" w:eastAsia="Times New Roman" w:hAnsi="Times New Roman"/>
          <w:color w:val="1b1b1c"/>
          <w:sz w:val="33"/>
          <w:szCs w:val="33"/>
          <w:rtl w:val="1"/>
        </w:rPr>
        <w:t xml:space="preserve">הארכיטקטורה</w:t>
      </w:r>
      <w:r w:rsidDel="00000000" w:rsidR="00000000" w:rsidRPr="00000000">
        <w:rPr>
          <w:rFonts w:ascii="Times New Roman" w:cs="Times New Roman" w:eastAsia="Times New Roman" w:hAnsi="Times New Roman"/>
          <w:color w:val="1b1b1c"/>
          <w:sz w:val="33"/>
          <w:szCs w:val="33"/>
          <w:rtl w:val="1"/>
        </w:rPr>
        <w:t xml:space="preserve"> </w:t>
      </w:r>
      <w:r w:rsidDel="00000000" w:rsidR="00000000" w:rsidRPr="00000000">
        <w:rPr>
          <w:rFonts w:ascii="Times New Roman" w:cs="Times New Roman" w:eastAsia="Times New Roman" w:hAnsi="Times New Roman"/>
          <w:color w:val="1b1b1c"/>
          <w:sz w:val="33"/>
          <w:szCs w:val="33"/>
          <w:rtl w:val="1"/>
        </w:rPr>
        <w:t xml:space="preserve">של</w:t>
      </w:r>
      <w:r w:rsidDel="00000000" w:rsidR="00000000" w:rsidRPr="00000000">
        <w:rPr>
          <w:rFonts w:ascii="Times New Roman" w:cs="Times New Roman" w:eastAsia="Times New Roman" w:hAnsi="Times New Roman"/>
          <w:color w:val="1b1b1c"/>
          <w:sz w:val="33"/>
          <w:szCs w:val="33"/>
          <w:rtl w:val="1"/>
        </w:rPr>
        <w:t xml:space="preserve"> </w:t>
      </w:r>
      <w:r w:rsidDel="00000000" w:rsidR="00000000" w:rsidRPr="00000000">
        <w:rPr>
          <w:rFonts w:ascii="Times New Roman" w:cs="Times New Roman" w:eastAsia="Times New Roman" w:hAnsi="Times New Roman"/>
          <w:color w:val="1b1b1c"/>
          <w:sz w:val="33"/>
          <w:szCs w:val="33"/>
          <w:rtl w:val="1"/>
        </w:rPr>
        <w:t xml:space="preserve">המחשבה</w:t>
      </w:r>
      <w:r w:rsidDel="00000000" w:rsidR="00000000" w:rsidRPr="00000000">
        <w:rPr>
          <w:rFonts w:ascii="Times New Roman" w:cs="Times New Roman" w:eastAsia="Times New Roman" w:hAnsi="Times New Roman"/>
          <w:color w:val="1b1b1c"/>
          <w:sz w:val="33"/>
          <w:szCs w:val="33"/>
          <w:rtl w:val="1"/>
        </w:rPr>
        <w:t xml:space="preserve"> </w:t>
      </w:r>
      <w:r w:rsidDel="00000000" w:rsidR="00000000" w:rsidRPr="00000000">
        <w:rPr>
          <w:rFonts w:ascii="Times New Roman" w:cs="Times New Roman" w:eastAsia="Times New Roman" w:hAnsi="Times New Roman"/>
          <w:color w:val="1b1b1c"/>
          <w:sz w:val="33"/>
          <w:szCs w:val="33"/>
          <w:rtl w:val="1"/>
        </w:rPr>
        <w:t xml:space="preserve">היהודית</w:t>
      </w:r>
      <w:r w:rsidDel="00000000" w:rsidR="00000000" w:rsidRPr="00000000">
        <w:rPr>
          <w:rFonts w:ascii="Times New Roman" w:cs="Times New Roman" w:eastAsia="Times New Roman" w:hAnsi="Times New Roman"/>
          <w:color w:val="1b1b1c"/>
          <w:sz w:val="33"/>
          <w:szCs w:val="33"/>
          <w:rtl w:val="1"/>
        </w:rPr>
        <w:t xml:space="preserve"> </w:t>
      </w:r>
      <w:r w:rsidDel="00000000" w:rsidR="00000000" w:rsidRPr="00000000">
        <w:rPr>
          <w:rFonts w:ascii="Times New Roman" w:cs="Times New Roman" w:eastAsia="Times New Roman" w:hAnsi="Times New Roman"/>
          <w:color w:val="1b1b1c"/>
          <w:sz w:val="33"/>
          <w:szCs w:val="33"/>
          <w:rtl w:val="1"/>
        </w:rPr>
        <w:t xml:space="preserve">בתקופת</w:t>
      </w:r>
      <w:r w:rsidDel="00000000" w:rsidR="00000000" w:rsidRPr="00000000">
        <w:rPr>
          <w:rFonts w:ascii="Times New Roman" w:cs="Times New Roman" w:eastAsia="Times New Roman" w:hAnsi="Times New Roman"/>
          <w:color w:val="1b1b1c"/>
          <w:sz w:val="33"/>
          <w:szCs w:val="33"/>
          <w:rtl w:val="1"/>
        </w:rPr>
        <w:t xml:space="preserve"> </w:t>
      </w:r>
      <w:r w:rsidDel="00000000" w:rsidR="00000000" w:rsidRPr="00000000">
        <w:rPr>
          <w:rFonts w:ascii="Times New Roman" w:cs="Times New Roman" w:eastAsia="Times New Roman" w:hAnsi="Times New Roman"/>
          <w:color w:val="1b1b1c"/>
          <w:sz w:val="33"/>
          <w:szCs w:val="33"/>
          <w:rtl w:val="1"/>
        </w:rPr>
        <w:t xml:space="preserve">הרנסנס</w:t>
      </w:r>
      <w:r w:rsidDel="00000000" w:rsidR="00000000" w:rsidRPr="00000000">
        <w:rPr>
          <w:rFonts w:ascii="Times New Roman" w:cs="Times New Roman" w:eastAsia="Times New Roman" w:hAnsi="Times New Roman"/>
          <w:color w:val="1b1b1c"/>
          <w:sz w:val="33"/>
          <w:szCs w:val="33"/>
          <w:rtl w:val="1"/>
        </w:rPr>
        <w:t xml:space="preserve">: </w:t>
      </w:r>
      <w:r w:rsidDel="00000000" w:rsidR="00000000" w:rsidRPr="00000000">
        <w:rPr>
          <w:rFonts w:ascii="Times New Roman" w:cs="Times New Roman" w:eastAsia="Times New Roman" w:hAnsi="Times New Roman"/>
          <w:color w:val="1b1b1c"/>
          <w:sz w:val="33"/>
          <w:szCs w:val="33"/>
          <w:rtl w:val="1"/>
        </w:rPr>
        <w:t xml:space="preserve">חייו</w:t>
      </w:r>
      <w:r w:rsidDel="00000000" w:rsidR="00000000" w:rsidRPr="00000000">
        <w:rPr>
          <w:rFonts w:ascii="Times New Roman" w:cs="Times New Roman" w:eastAsia="Times New Roman" w:hAnsi="Times New Roman"/>
          <w:color w:val="1b1b1c"/>
          <w:sz w:val="33"/>
          <w:szCs w:val="33"/>
          <w:rtl w:val="1"/>
        </w:rPr>
        <w:t xml:space="preserve">, </w:t>
      </w:r>
      <w:r w:rsidDel="00000000" w:rsidR="00000000" w:rsidRPr="00000000">
        <w:rPr>
          <w:rFonts w:ascii="Times New Roman" w:cs="Times New Roman" w:eastAsia="Times New Roman" w:hAnsi="Times New Roman"/>
          <w:color w:val="1b1b1c"/>
          <w:sz w:val="33"/>
          <w:szCs w:val="33"/>
          <w:rtl w:val="1"/>
        </w:rPr>
        <w:t xml:space="preserve">כתביו</w:t>
      </w:r>
      <w:r w:rsidDel="00000000" w:rsidR="00000000" w:rsidRPr="00000000">
        <w:rPr>
          <w:rFonts w:ascii="Times New Roman" w:cs="Times New Roman" w:eastAsia="Times New Roman" w:hAnsi="Times New Roman"/>
          <w:color w:val="1b1b1c"/>
          <w:sz w:val="33"/>
          <w:szCs w:val="33"/>
          <w:rtl w:val="1"/>
        </w:rPr>
        <w:t xml:space="preserve"> </w:t>
      </w:r>
      <w:r w:rsidDel="00000000" w:rsidR="00000000" w:rsidRPr="00000000">
        <w:rPr>
          <w:rFonts w:ascii="Times New Roman" w:cs="Times New Roman" w:eastAsia="Times New Roman" w:hAnsi="Times New Roman"/>
          <w:color w:val="1b1b1c"/>
          <w:sz w:val="33"/>
          <w:szCs w:val="33"/>
          <w:rtl w:val="1"/>
        </w:rPr>
        <w:t xml:space="preserve">ושיטתו</w:t>
      </w:r>
      <w:r w:rsidDel="00000000" w:rsidR="00000000" w:rsidRPr="00000000">
        <w:rPr>
          <w:rFonts w:ascii="Times New Roman" w:cs="Times New Roman" w:eastAsia="Times New Roman" w:hAnsi="Times New Roman"/>
          <w:color w:val="1b1b1c"/>
          <w:sz w:val="33"/>
          <w:szCs w:val="33"/>
          <w:rtl w:val="1"/>
        </w:rPr>
        <w:t xml:space="preserve"> </w:t>
      </w:r>
      <w:r w:rsidDel="00000000" w:rsidR="00000000" w:rsidRPr="00000000">
        <w:rPr>
          <w:rFonts w:ascii="Times New Roman" w:cs="Times New Roman" w:eastAsia="Times New Roman" w:hAnsi="Times New Roman"/>
          <w:color w:val="1b1b1c"/>
          <w:sz w:val="33"/>
          <w:szCs w:val="33"/>
          <w:rtl w:val="1"/>
        </w:rPr>
        <w:t xml:space="preserve">הפילוסופית</w:t>
      </w:r>
      <w:r w:rsidDel="00000000" w:rsidR="00000000" w:rsidRPr="00000000">
        <w:rPr>
          <w:rFonts w:ascii="Times New Roman" w:cs="Times New Roman" w:eastAsia="Times New Roman" w:hAnsi="Times New Roman"/>
          <w:color w:val="1b1b1c"/>
          <w:sz w:val="33"/>
          <w:szCs w:val="33"/>
          <w:rtl w:val="1"/>
        </w:rPr>
        <w:t xml:space="preserve"> </w:t>
      </w:r>
      <w:r w:rsidDel="00000000" w:rsidR="00000000" w:rsidRPr="00000000">
        <w:rPr>
          <w:rFonts w:ascii="Times New Roman" w:cs="Times New Roman" w:eastAsia="Times New Roman" w:hAnsi="Times New Roman"/>
          <w:color w:val="1b1b1c"/>
          <w:sz w:val="33"/>
          <w:szCs w:val="33"/>
          <w:rtl w:val="1"/>
        </w:rPr>
        <w:t xml:space="preserve">של</w:t>
      </w:r>
      <w:r w:rsidDel="00000000" w:rsidR="00000000" w:rsidRPr="00000000">
        <w:rPr>
          <w:rFonts w:ascii="Times New Roman" w:cs="Times New Roman" w:eastAsia="Times New Roman" w:hAnsi="Times New Roman"/>
          <w:color w:val="1b1b1c"/>
          <w:sz w:val="33"/>
          <w:szCs w:val="33"/>
          <w:rtl w:val="1"/>
        </w:rPr>
        <w:t xml:space="preserve"> </w:t>
      </w:r>
      <w:r w:rsidDel="00000000" w:rsidR="00000000" w:rsidRPr="00000000">
        <w:rPr>
          <w:rFonts w:ascii="Times New Roman" w:cs="Times New Roman" w:eastAsia="Times New Roman" w:hAnsi="Times New Roman"/>
          <w:color w:val="1b1b1c"/>
          <w:sz w:val="33"/>
          <w:szCs w:val="33"/>
          <w:rtl w:val="1"/>
        </w:rPr>
        <w:t xml:space="preserve">רבי</w:t>
      </w:r>
      <w:r w:rsidDel="00000000" w:rsidR="00000000" w:rsidRPr="00000000">
        <w:rPr>
          <w:rFonts w:ascii="Times New Roman" w:cs="Times New Roman" w:eastAsia="Times New Roman" w:hAnsi="Times New Roman"/>
          <w:color w:val="1b1b1c"/>
          <w:sz w:val="33"/>
          <w:szCs w:val="33"/>
          <w:rtl w:val="1"/>
        </w:rPr>
        <w:t xml:space="preserve"> </w:t>
      </w:r>
      <w:r w:rsidDel="00000000" w:rsidR="00000000" w:rsidRPr="00000000">
        <w:rPr>
          <w:rFonts w:ascii="Times New Roman" w:cs="Times New Roman" w:eastAsia="Times New Roman" w:hAnsi="Times New Roman"/>
          <w:color w:val="1b1b1c"/>
          <w:sz w:val="33"/>
          <w:szCs w:val="33"/>
          <w:rtl w:val="1"/>
        </w:rPr>
        <w:t xml:space="preserve">יהודה</w:t>
      </w:r>
      <w:r w:rsidDel="00000000" w:rsidR="00000000" w:rsidRPr="00000000">
        <w:rPr>
          <w:rFonts w:ascii="Times New Roman" w:cs="Times New Roman" w:eastAsia="Times New Roman" w:hAnsi="Times New Roman"/>
          <w:color w:val="1b1b1c"/>
          <w:sz w:val="33"/>
          <w:szCs w:val="33"/>
          <w:rtl w:val="1"/>
        </w:rPr>
        <w:t xml:space="preserve"> </w:t>
      </w:r>
      <w:r w:rsidDel="00000000" w:rsidR="00000000" w:rsidRPr="00000000">
        <w:rPr>
          <w:rFonts w:ascii="Times New Roman" w:cs="Times New Roman" w:eastAsia="Times New Roman" w:hAnsi="Times New Roman"/>
          <w:color w:val="1b1b1c"/>
          <w:sz w:val="33"/>
          <w:szCs w:val="33"/>
          <w:rtl w:val="1"/>
        </w:rPr>
        <w:t xml:space="preserve">מוסקאטו</w:t>
      </w:r>
    </w:p>
    <w:p w:rsidR="00000000" w:rsidDel="00000000" w:rsidP="00000000" w:rsidRDefault="00000000" w:rsidRPr="00000000" w14:paraId="00000002">
      <w:pPr>
        <w:shd w:fill="edeffa"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Source guide</w:t>
      </w:r>
    </w:p>
    <w:p w:rsidR="00000000" w:rsidDel="00000000" w:rsidP="00000000" w:rsidRDefault="00000000" w:rsidRPr="00000000" w14:paraId="00000003">
      <w:pPr>
        <w:shd w:fill="edeffa" w:val="clear"/>
        <w:bidi w:val="1"/>
        <w:spacing w:after="160" w:lineRule="auto"/>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color w:val="303030"/>
          <w:sz w:val="21"/>
          <w:szCs w:val="21"/>
          <w:rtl w:val="1"/>
        </w:rPr>
        <w:t xml:space="preserve">טקסט</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זה</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סוקר</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את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פועלו</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האינטלקטואלי</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של</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רבי</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יהודה</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מוסקאטו</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דמות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מפתח</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ביהדות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איטליה</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בתקופת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הרנסאנס</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אשר</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פעל</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לביסוס</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סינתזה</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תרבותית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בין</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המסורת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הרבנית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לבין</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מדעי</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הרוח</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והפילוסופיה</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האירופית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מוסקאטו</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קידם</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את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רעיון</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החוכמה</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הקדומה</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לפיו</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ידיעות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חילוניות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במדע</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ובמוזיקה</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הן</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למעשה</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קניין</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יהודי</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מקורי</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שאבד</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בגלות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ובכך</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העניק</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לגיטימציה</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לשילובן</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בלימודי</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הקודש</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באמצעות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יצירותיו</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המכוננות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נפוצות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יהודה</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ו</w:t>
      </w:r>
      <w:r w:rsidDel="00000000" w:rsidR="00000000" w:rsidRPr="00000000">
        <w:rPr>
          <w:rFonts w:ascii="Times New Roman" w:cs="Times New Roman" w:eastAsia="Times New Roman" w:hAnsi="Times New Roman"/>
          <w:color w:val="303030"/>
          <w:sz w:val="21"/>
          <w:szCs w:val="21"/>
          <w:rtl w:val="1"/>
        </w:rPr>
        <w:t xml:space="preserve">"</w:t>
      </w:r>
      <w:r w:rsidDel="00000000" w:rsidR="00000000" w:rsidRPr="00000000">
        <w:rPr>
          <w:rFonts w:ascii="Times New Roman" w:cs="Times New Roman" w:eastAsia="Times New Roman" w:hAnsi="Times New Roman"/>
          <w:color w:val="303030"/>
          <w:sz w:val="21"/>
          <w:szCs w:val="21"/>
          <w:rtl w:val="1"/>
        </w:rPr>
        <w:t xml:space="preserve">קול</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יהודה</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הוא</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חולל</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מהפכה</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בתחום</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הדרשנות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האסתטית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והחיה</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את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ספר</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הכוזרי</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תוך</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שילוב</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תורת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הקבלה</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עם</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רציונליזם</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קלאסי</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מטרת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החיבור</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היא</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להציג</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את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מוסקאטו</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כהומניסט</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יהודי</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ששאף</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לשלמות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אינטלקטואלית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תוך</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שהוא</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מגדיר</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מחדש</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את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זהות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הקהילה</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היהודית</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כחלק</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בלתי</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נפרד</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מהמרחב</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התרבותי</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הנאור</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של</w:t>
      </w:r>
      <w:r w:rsidDel="00000000" w:rsidR="00000000" w:rsidRPr="00000000">
        <w:rPr>
          <w:rFonts w:ascii="Times New Roman" w:cs="Times New Roman" w:eastAsia="Times New Roman" w:hAnsi="Times New Roman"/>
          <w:color w:val="303030"/>
          <w:sz w:val="21"/>
          <w:szCs w:val="21"/>
          <w:rtl w:val="1"/>
        </w:rPr>
        <w:t xml:space="preserve"> </w:t>
      </w:r>
      <w:r w:rsidDel="00000000" w:rsidR="00000000" w:rsidRPr="00000000">
        <w:rPr>
          <w:rFonts w:ascii="Times New Roman" w:cs="Times New Roman" w:eastAsia="Times New Roman" w:hAnsi="Times New Roman"/>
          <w:color w:val="303030"/>
          <w:sz w:val="21"/>
          <w:szCs w:val="21"/>
          <w:rtl w:val="1"/>
        </w:rPr>
        <w:t xml:space="preserve">זמנו</w:t>
      </w:r>
      <w:r w:rsidDel="00000000" w:rsidR="00000000" w:rsidRPr="00000000">
        <w:rPr>
          <w:rFonts w:ascii="Times New Roman" w:cs="Times New Roman" w:eastAsia="Times New Roman" w:hAnsi="Times New Roman"/>
          <w:color w:val="303030"/>
          <w:sz w:val="21"/>
          <w:szCs w:val="21"/>
          <w:rtl w:val="1"/>
        </w:rPr>
        <w:t xml:space="preserve">.</w:t>
      </w:r>
    </w:p>
    <w:p w:rsidR="00000000" w:rsidDel="00000000" w:rsidP="00000000" w:rsidRDefault="00000000" w:rsidRPr="00000000" w14:paraId="00000004">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The Architecture of Renaissance Jewish Thought: The Life, Works, and Philosophical System of Rabbi Judah Moscato</w:t>
      </w:r>
    </w:p>
    <w:p w:rsidR="00000000" w:rsidDel="00000000" w:rsidP="00000000" w:rsidRDefault="00000000" w:rsidRPr="00000000" w14:paraId="00000005">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The intellectual history of the sixteenth-century Italian Jewish community is characterized by a profound and deliberate attempt to synthesize the traditional components of rabbinic erudition with the burgeoning cultural and philosophical movements of the European Renaissance. At the epicenter of this cultural convergence stands Rabbi Judah ben Joseph Moscato (c. 1530–1593), an individual whose multifaceted career as a communal leader, philosopher, poet, and master of homiletics represents the pinnacle of Jewish Humanism. Moscato’s legacy is defined by a rigorous commitment to the idea that the "secular" wisdom of antiquity—ranging from Neoplatonic philosophy to the mathematical ratios of music—was not an external imposition upon Judaism, but rather a long-lost inheritance originally revealed to the prophets and kings of Israel. Through his two monumental works, the sermon collection </w:t>
      </w:r>
      <w:r w:rsidDel="00000000" w:rsidR="00000000" w:rsidRPr="00000000">
        <w:rPr>
          <w:rFonts w:ascii="Times New Roman" w:cs="Times New Roman" w:eastAsia="Times New Roman" w:hAnsi="Times New Roman"/>
          <w:i w:val="1"/>
          <w:iCs w:val="1"/>
          <w:color w:val="1b1b1c"/>
          <w:sz w:val="24"/>
          <w:szCs w:val="24"/>
          <w:rtl w:val="0"/>
        </w:rPr>
        <w:t xml:space="preserve">Nefutzot Yehudah</w:t>
      </w:r>
      <w:r w:rsidDel="00000000" w:rsidR="00000000" w:rsidRPr="00000000">
        <w:rPr>
          <w:rFonts w:ascii="Times New Roman" w:cs="Times New Roman" w:eastAsia="Times New Roman" w:hAnsi="Times New Roman"/>
          <w:color w:val="1b1b1c"/>
          <w:sz w:val="24"/>
          <w:szCs w:val="24"/>
          <w:rtl w:val="0"/>
        </w:rPr>
        <w:t xml:space="preserve"> and the comprehensive </w:t>
      </w:r>
      <w:r w:rsidDel="00000000" w:rsidR="00000000" w:rsidRPr="00000000">
        <w:rPr>
          <w:rFonts w:ascii="Times New Roman" w:cs="Times New Roman" w:eastAsia="Times New Roman" w:hAnsi="Times New Roman"/>
          <w:i w:val="1"/>
          <w:iCs w:val="1"/>
          <w:color w:val="1b1b1c"/>
          <w:sz w:val="24"/>
          <w:szCs w:val="24"/>
          <w:rtl w:val="0"/>
        </w:rPr>
        <w:t xml:space="preserve">Kuzari</w:t>
      </w:r>
      <w:r w:rsidDel="00000000" w:rsidR="00000000" w:rsidRPr="00000000">
        <w:rPr>
          <w:rFonts w:ascii="Times New Roman" w:cs="Times New Roman" w:eastAsia="Times New Roman" w:hAnsi="Times New Roman"/>
          <w:color w:val="1b1b1c"/>
          <w:sz w:val="24"/>
          <w:szCs w:val="24"/>
          <w:rtl w:val="0"/>
        </w:rPr>
        <w:t xml:space="preserve"> commentary </w:t>
      </w:r>
      <w:r w:rsidDel="00000000" w:rsidR="00000000" w:rsidRPr="00000000">
        <w:rPr>
          <w:rFonts w:ascii="Times New Roman" w:cs="Times New Roman" w:eastAsia="Times New Roman" w:hAnsi="Times New Roman"/>
          <w:i w:val="1"/>
          <w:iCs w:val="1"/>
          <w:color w:val="1b1b1c"/>
          <w:sz w:val="24"/>
          <w:szCs w:val="24"/>
          <w:rtl w:val="0"/>
        </w:rPr>
        <w:t xml:space="preserve">Kol Yehuda</w:t>
      </w:r>
      <w:r w:rsidDel="00000000" w:rsidR="00000000" w:rsidRPr="00000000">
        <w:rPr>
          <w:rFonts w:ascii="Times New Roman" w:cs="Times New Roman" w:eastAsia="Times New Roman" w:hAnsi="Times New Roman"/>
          <w:color w:val="1b1b1c"/>
          <w:sz w:val="24"/>
          <w:szCs w:val="24"/>
          <w:rtl w:val="0"/>
        </w:rPr>
        <w:t xml:space="preserve">, Moscato fundamentally reshaped the internal discourse of Italian Jewry, providing a framework for intellectual perfection that harmonized the mystical depth of the Kabbalah with the rationalist rigor of classical rhetoric and the aesthetic sensibilities of the Renaissance elite.</w:t>
      </w:r>
    </w:p>
    <w:p w:rsidR="00000000" w:rsidDel="00000000" w:rsidP="00000000" w:rsidRDefault="00000000" w:rsidRPr="00000000" w14:paraId="00000006">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Biographical Foundations and the Mantuan Context</w:t>
      </w:r>
    </w:p>
    <w:p w:rsidR="00000000" w:rsidDel="00000000" w:rsidP="00000000" w:rsidRDefault="00000000" w:rsidRPr="00000000" w14:paraId="00000007">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The life of Judah Moscato was forged in a period of significant demographic and political upheaval for the Jewish populations of the Italian peninsula. Born in Osimo, a town near Ancona in the Papal States, Moscato’s early years were spent in an environment that was becoming increasingly hostile under the Counter-Reformation policies of the Catholic Church.[1, 2] The election of Pope Paul IV in 1555 and the subsequent publication of the papal bull </w:t>
      </w:r>
      <w:r w:rsidDel="00000000" w:rsidR="00000000" w:rsidRPr="00000000">
        <w:rPr>
          <w:rFonts w:ascii="Times New Roman" w:cs="Times New Roman" w:eastAsia="Times New Roman" w:hAnsi="Times New Roman"/>
          <w:i w:val="1"/>
          <w:iCs w:val="1"/>
          <w:color w:val="1b1b1c"/>
          <w:sz w:val="24"/>
          <w:szCs w:val="24"/>
          <w:rtl w:val="0"/>
        </w:rPr>
        <w:t xml:space="preserve">Cum nimis absurdum</w:t>
      </w:r>
      <w:r w:rsidDel="00000000" w:rsidR="00000000" w:rsidRPr="00000000">
        <w:rPr>
          <w:rFonts w:ascii="Times New Roman" w:cs="Times New Roman" w:eastAsia="Times New Roman" w:hAnsi="Times New Roman"/>
          <w:color w:val="1b1b1c"/>
          <w:sz w:val="24"/>
          <w:szCs w:val="24"/>
          <w:rtl w:val="0"/>
        </w:rPr>
        <w:t xml:space="preserve"> signaled an era of restricted rights and forced ghettoization. The turning point for Moscato occurred in 1569, when Pope Pius V issued a decree of expulsion for Jews from the smaller towns of the Papal States, prompting a mass migration of scholars and families toward the northern Italian centers.[3]</w:t>
      </w:r>
    </w:p>
    <w:p w:rsidR="00000000" w:rsidDel="00000000" w:rsidP="00000000" w:rsidRDefault="00000000" w:rsidRPr="00000000" w14:paraId="00000008">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Moscato’s relocation to Mantua was a transformative event that placed him in one of the most vibrant centers of Jewish scholarship and general culture in Europe. Under the relatively stable rule of the Gonzaga dynasty, Mantua flourished as a hub for music, theater, and Hebrew printing.[4, 5] In this stimulating environment, Moscato found himself surrounded by a constellation of Jewish luminaries, including the historian Azariah dei Rossi and the brothers Moses, David, and Judah Provençal.[1, 2]</w:t>
      </w:r>
    </w:p>
    <w:p w:rsidR="00000000" w:rsidDel="00000000" w:rsidP="00000000" w:rsidRDefault="00000000" w:rsidRPr="00000000" w14:paraId="00000009">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The Role of Moses Provençal and Academic Training</w:t>
      </w:r>
    </w:p>
    <w:p w:rsidR="00000000" w:rsidDel="00000000" w:rsidP="00000000" w:rsidRDefault="00000000" w:rsidRPr="00000000" w14:paraId="0000000A">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The most significant influence on Moscato’s early Mantuan career was his relationship with Rabbi Moses Provençal, a formidable rabbinic authority who was also deeply immersed in secular disciplines such as mathematics and physics. Provençal recognized Moscato’s intellectual potential and provided the essential stimulus for him to complement his traditional Torah studies with the "external sciences".[6] Moscato’s education was remarkably expansive, encompassing a mastery of classical and contemporary languages, as well as a deep engagement with the scientific and philosophical canons of the time.</w:t>
      </w:r>
    </w:p>
    <w:tbl>
      <w:tblPr>
        <w:tblStyle w:val="Table1"/>
        <w:bidiVisual w:val="1"/>
        <w:tblW w:w="10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7580"/>
        <w:tblGridChange w:id="0">
          <w:tblGrid>
            <w:gridCol w:w="2690"/>
            <w:gridCol w:w="7580"/>
          </w:tblGrid>
        </w:tblGridChange>
      </w:tblGrid>
      <w:tr>
        <w:trPr>
          <w:cantSplit w:val="0"/>
          <w:trHeight w:val="1160" w:hRule="atLeast"/>
          <w:tblHeader w:val="0"/>
        </w:trPr>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bidi w:val="1"/>
              <w:jc w:val="center"/>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Dimension of Erudition</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bidi w:val="1"/>
              <w:jc w:val="center"/>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Scope and Specificity of Knowledge</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Linguistic Proficiency</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Fluency in Hebrew, Aramaic, Latin, Italian, and Greek.[1, 6]</w:t>
            </w:r>
          </w:p>
        </w:tc>
      </w:tr>
      <w:tr>
        <w:trPr>
          <w:cantSplit w:val="0"/>
          <w:trHeight w:val="81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Rabbinic Authority</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Mastery of Bible, Talmud, Midrash, and Halakhic responsa.[3, 7]</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Philosophical Schools</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Integration of Neoplatonism, Aristotelianism, and Arabic Philosophy.[3, 7]</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Secular Sciences</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Advanced knowledge in Medicine, Astronomy, Music Theory, and Mathematics.[3, 5]</w:t>
            </w:r>
          </w:p>
        </w:tc>
      </w:tr>
      <w:tr>
        <w:trPr>
          <w:cantSplit w:val="0"/>
          <w:trHeight w:val="81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Mystical Tradition</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Systematic study of the Zohar and the Kabbalah of Moses Cordovero.[3]</w:t>
            </w:r>
          </w:p>
        </w:tc>
      </w:tr>
    </w:tbl>
    <w:p w:rsidR="00000000" w:rsidDel="00000000" w:rsidP="00000000" w:rsidRDefault="00000000" w:rsidRPr="00000000" w14:paraId="00000017">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In 1587, Moscato reached the zenith of his communal career when he was appointed Chief Rabbi of Mantua.[1, 3] His leadership was not merely administrative; he served as the community's primary intellectual mediator, defending the Jewish faith against external pressures while simultaneously pushing his congregation toward a more sophisticated and inclusive understanding of their own heritage. His stature was such that his cultural and moral leadership was recognized even by his opponents within the Church, who viewed him as a figure capable of sustaining the entire intellectual edifice of the synagogue.[5]</w:t>
      </w:r>
    </w:p>
    <w:p w:rsidR="00000000" w:rsidDel="00000000" w:rsidP="00000000" w:rsidRDefault="00000000" w:rsidRPr="00000000" w14:paraId="00000018">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The Theoretical Framework of Jewish Humanism and Prisca Theologia</w:t>
      </w:r>
    </w:p>
    <w:p w:rsidR="00000000" w:rsidDel="00000000" w:rsidP="00000000" w:rsidRDefault="00000000" w:rsidRPr="00000000" w14:paraId="00000019">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Moscato’s thought is rooted in the Renaissance concept of </w:t>
      </w:r>
      <w:r w:rsidDel="00000000" w:rsidR="00000000" w:rsidRPr="00000000">
        <w:rPr>
          <w:rFonts w:ascii="Times New Roman" w:cs="Times New Roman" w:eastAsia="Times New Roman" w:hAnsi="Times New Roman"/>
          <w:i w:val="1"/>
          <w:iCs w:val="1"/>
          <w:color w:val="1b1b1c"/>
          <w:sz w:val="24"/>
          <w:szCs w:val="24"/>
          <w:rtl w:val="0"/>
        </w:rPr>
        <w:t xml:space="preserve">prisca theologia</w:t>
      </w:r>
      <w:r w:rsidDel="00000000" w:rsidR="00000000" w:rsidRPr="00000000">
        <w:rPr>
          <w:rFonts w:ascii="Times New Roman" w:cs="Times New Roman" w:eastAsia="Times New Roman" w:hAnsi="Times New Roman"/>
          <w:color w:val="1b1b1c"/>
          <w:sz w:val="24"/>
          <w:szCs w:val="24"/>
          <w:rtl w:val="0"/>
        </w:rPr>
        <w:t xml:space="preserve"> (ancient theology), which posited that a single, original truth had been revealed to the ancients and subsequently fragmented across various world traditions.[7] For Moscato, this concept was reclaimed through a Jewish lens: he argued that the fundamental truths found in Greek and Roman philosophy were actually derivatives of the wisdom originally possessed by the ancient Israelites.[3]</w:t>
      </w:r>
    </w:p>
    <w:p w:rsidR="00000000" w:rsidDel="00000000" w:rsidP="00000000" w:rsidRDefault="00000000" w:rsidRPr="00000000" w14:paraId="0000001A">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The Reclamation of Secular Wisdom</w:t>
      </w:r>
    </w:p>
    <w:p w:rsidR="00000000" w:rsidDel="00000000" w:rsidP="00000000" w:rsidRDefault="00000000" w:rsidRPr="00000000" w14:paraId="0000001B">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A core objective of Moscato’s work was the rehabilitation of secular knowledge for the Jewish community. He maintained that philosophy, music, and the sciences were "Jewish sciences" that had been lost during the long centuries of exile and persecution.[3] To support this claim, Moscato cited precursors such as Abraham Bibago and Ibn Rushd, asserting that the ultimate source of all human knowledge was King Solomon.[1] He believed it was the solemn duty of the Jewish people to re-acquire these branches of knowledge, as they were the original masters of these disciplines.[1, 2]</w:t>
      </w:r>
    </w:p>
    <w:p w:rsidR="00000000" w:rsidDel="00000000" w:rsidP="00000000" w:rsidRDefault="00000000" w:rsidRPr="00000000" w14:paraId="0000001C">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This ideological stance served several critical functions:</w:t>
      </w:r>
    </w:p>
    <w:p w:rsidR="00000000" w:rsidDel="00000000" w:rsidP="00000000" w:rsidRDefault="00000000" w:rsidRPr="00000000" w14:paraId="0000001D">
      <w:pPr>
        <w:numPr>
          <w:ilvl w:val="0"/>
          <w:numId w:val="4"/>
        </w:numPr>
        <w:bidi w:val="1"/>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Apologetics</w:t>
      </w:r>
      <w:r w:rsidDel="00000000" w:rsidR="00000000" w:rsidRPr="00000000">
        <w:rPr>
          <w:rFonts w:ascii="Times New Roman" w:cs="Times New Roman" w:eastAsia="Times New Roman" w:hAnsi="Times New Roman"/>
          <w:color w:val="1b1b1c"/>
          <w:sz w:val="24"/>
          <w:szCs w:val="24"/>
          <w:rtl w:val="0"/>
        </w:rPr>
        <w:t xml:space="preserve">: It provided a defense against Christian claims that Judaism was intellectually stagnant or inferior to the "modern" Renaissance cultures.</w:t>
      </w:r>
    </w:p>
    <w:p w:rsidR="00000000" w:rsidDel="00000000" w:rsidP="00000000" w:rsidRDefault="00000000" w:rsidRPr="00000000" w14:paraId="0000001E">
      <w:pPr>
        <w:numPr>
          <w:ilvl w:val="0"/>
          <w:numId w:val="4"/>
        </w:numPr>
        <w:bidi w:val="1"/>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Pedagogy</w:t>
      </w:r>
      <w:r w:rsidDel="00000000" w:rsidR="00000000" w:rsidRPr="00000000">
        <w:rPr>
          <w:rFonts w:ascii="Times New Roman" w:cs="Times New Roman" w:eastAsia="Times New Roman" w:hAnsi="Times New Roman"/>
          <w:color w:val="1b1b1c"/>
          <w:sz w:val="24"/>
          <w:szCs w:val="24"/>
          <w:rtl w:val="0"/>
        </w:rPr>
        <w:t xml:space="preserve">: It justified the inclusion of secular works in the curriculum of Jewish students, as they were merely reclaiming their own heritage.</w:t>
      </w:r>
    </w:p>
    <w:p w:rsidR="00000000" w:rsidDel="00000000" w:rsidP="00000000" w:rsidRDefault="00000000" w:rsidRPr="00000000" w14:paraId="0000001F">
      <w:pPr>
        <w:numPr>
          <w:ilvl w:val="0"/>
          <w:numId w:val="4"/>
        </w:numPr>
        <w:bidi w:val="1"/>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Synthesis</w:t>
      </w:r>
      <w:r w:rsidDel="00000000" w:rsidR="00000000" w:rsidRPr="00000000">
        <w:rPr>
          <w:rFonts w:ascii="Times New Roman" w:cs="Times New Roman" w:eastAsia="Times New Roman" w:hAnsi="Times New Roman"/>
          <w:color w:val="1b1b1c"/>
          <w:sz w:val="24"/>
          <w:szCs w:val="24"/>
          <w:rtl w:val="0"/>
        </w:rPr>
        <w:t xml:space="preserve">: It allowed for the seamless integration of Jewish texts with the works of Plato, Aristotle, and the Neoplatonists.</w:t>
      </w:r>
    </w:p>
    <w:p w:rsidR="00000000" w:rsidDel="00000000" w:rsidP="00000000" w:rsidRDefault="00000000" w:rsidRPr="00000000" w14:paraId="00000020">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Neoplatonism and Intellectual Perfection</w:t>
      </w:r>
    </w:p>
    <w:p w:rsidR="00000000" w:rsidDel="00000000" w:rsidP="00000000" w:rsidRDefault="00000000" w:rsidRPr="00000000" w14:paraId="00000021">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Moscato’s philosophical orientation was heavily influenced by the Neoplatonism of Marsilio Ficino and the Florentine Academy. He viewed the physical world and the text of the Torah as a series of images or "mythologies" that concealed deeper, elusive Platonic ideas.[7] He saw himself primarily as a philosopher whose goal was "intellectual perfection"—a state achieved by uncovering these hidden intellectual meanings through rigorous study and contemplation.[7]</w:t>
      </w:r>
    </w:p>
    <w:p w:rsidR="00000000" w:rsidDel="00000000" w:rsidP="00000000" w:rsidRDefault="00000000" w:rsidRPr="00000000" w14:paraId="00000022">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His writing style reflected this Neoplatonic method, moving "seamlessly" between classical Greek, Latin, Italian, and Jewish sources.[7, 8] This "meandering" approach was not a sign of lack of focus, but rather a deliberate demonstration of the "unity of knowledge" that Moscato believed existed between the Jewish tradition and the broader intellectual world. By showing how a passage in the Talmud echoed a concept in Plato or a discovery in medicine, Moscato reinforced the idea that all truth originated from a single, Divine source.</w:t>
      </w:r>
    </w:p>
    <w:p w:rsidR="00000000" w:rsidDel="00000000" w:rsidP="00000000" w:rsidRDefault="00000000" w:rsidRPr="00000000" w14:paraId="00000023">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Nefutzot Yehudah: The Homiletic Revolution</w:t>
      </w:r>
    </w:p>
    <w:p w:rsidR="00000000" w:rsidDel="00000000" w:rsidP="00000000" w:rsidRDefault="00000000" w:rsidRPr="00000000" w14:paraId="00000024">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Moscato’s most enduring influence on the Jewish community came through his work as a preacher. His collection of fifty-two sermons, </w:t>
      </w:r>
      <w:r w:rsidDel="00000000" w:rsidR="00000000" w:rsidRPr="00000000">
        <w:rPr>
          <w:rFonts w:ascii="Times New Roman" w:cs="Times New Roman" w:eastAsia="Times New Roman" w:hAnsi="Times New Roman"/>
          <w:i w:val="1"/>
          <w:iCs w:val="1"/>
          <w:color w:val="1b1b1c"/>
          <w:sz w:val="24"/>
          <w:szCs w:val="24"/>
          <w:rtl w:val="0"/>
        </w:rPr>
        <w:t xml:space="preserve">Nefutzot Yehudah</w:t>
      </w:r>
      <w:r w:rsidDel="00000000" w:rsidR="00000000" w:rsidRPr="00000000">
        <w:rPr>
          <w:rFonts w:ascii="Times New Roman" w:cs="Times New Roman" w:eastAsia="Times New Roman" w:hAnsi="Times New Roman"/>
          <w:color w:val="1b1b1c"/>
          <w:sz w:val="24"/>
          <w:szCs w:val="24"/>
          <w:rtl w:val="0"/>
        </w:rPr>
        <w:t xml:space="preserve"> ("The Dispersed of Judah"), published in Venice in 1588, transformed the Jewish pulpit into a theater of aesthetic and intellectual refinement.[1] Before Moscato, the Jewish sermon was often a simple didactic exercise; Moscato turned it into a sophisticated literary genre that adhered to the rules of classical rhetoric.[3, 6]</w:t>
      </w:r>
    </w:p>
    <w:p w:rsidR="00000000" w:rsidDel="00000000" w:rsidP="00000000" w:rsidRDefault="00000000" w:rsidRPr="00000000" w14:paraId="00000025">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The Aesthetic and Dialectic Methodology</w:t>
      </w:r>
    </w:p>
    <w:p w:rsidR="00000000" w:rsidDel="00000000" w:rsidP="00000000" w:rsidRDefault="00000000" w:rsidRPr="00000000" w14:paraId="00000026">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The sermons in </w:t>
      </w:r>
      <w:r w:rsidDel="00000000" w:rsidR="00000000" w:rsidRPr="00000000">
        <w:rPr>
          <w:rFonts w:ascii="Times New Roman" w:cs="Times New Roman" w:eastAsia="Times New Roman" w:hAnsi="Times New Roman"/>
          <w:i w:val="1"/>
          <w:iCs w:val="1"/>
          <w:color w:val="1b1b1c"/>
          <w:sz w:val="24"/>
          <w:szCs w:val="24"/>
          <w:rtl w:val="0"/>
        </w:rPr>
        <w:t xml:space="preserve">Nefutzot Yehudah</w:t>
      </w:r>
      <w:r w:rsidDel="00000000" w:rsidR="00000000" w:rsidRPr="00000000">
        <w:rPr>
          <w:rFonts w:ascii="Times New Roman" w:cs="Times New Roman" w:eastAsia="Times New Roman" w:hAnsi="Times New Roman"/>
          <w:color w:val="1b1b1c"/>
          <w:sz w:val="24"/>
          <w:szCs w:val="24"/>
          <w:rtl w:val="0"/>
        </w:rPr>
        <w:t xml:space="preserve"> were delivered to a sophisticated Mantuan audience that included both Jewish congregants and interested non-Jewish scholars.[3] Moscato’s primary aim was not merely to teach or educate in the traditional sense, but to provide aesthetic pleasure to his listeners—a goal that reflected the Renaissance emphasis on the beauty of expression.[3]</w:t>
      </w:r>
    </w:p>
    <w:p w:rsidR="00000000" w:rsidDel="00000000" w:rsidP="00000000" w:rsidRDefault="00000000" w:rsidRPr="00000000" w14:paraId="00000027">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Despite this focus on aesthetics, Moscato’s sermons were deeply instructive. He applied a dialectic method that utilized his vast knowledge of philosophy and Kabbalah to interpret ethical ideas in ways that were acceptable to the contemporary Renaissance culture.[3] He moved away from "forced exegesis," preferring a natural and thematic treatment of his subjects that allowed for a fluid transition between sacred and secular concepts.[1]</w:t>
      </w:r>
    </w:p>
    <w:p w:rsidR="00000000" w:rsidDel="00000000" w:rsidP="00000000" w:rsidRDefault="00000000" w:rsidRPr="00000000" w14:paraId="00000028">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Structural Innovation and the Art of the Eulogy</w:t>
      </w:r>
    </w:p>
    <w:p w:rsidR="00000000" w:rsidDel="00000000" w:rsidP="00000000" w:rsidRDefault="00000000" w:rsidRPr="00000000" w14:paraId="00000029">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Moscato was a pioneer in the systematic organization of homiletic literature. </w:t>
      </w:r>
      <w:r w:rsidDel="00000000" w:rsidR="00000000" w:rsidRPr="00000000">
        <w:rPr>
          <w:rFonts w:ascii="Times New Roman" w:cs="Times New Roman" w:eastAsia="Times New Roman" w:hAnsi="Times New Roman"/>
          <w:i w:val="1"/>
          <w:iCs w:val="1"/>
          <w:color w:val="1b1b1c"/>
          <w:sz w:val="24"/>
          <w:szCs w:val="24"/>
          <w:rtl w:val="0"/>
        </w:rPr>
        <w:t xml:space="preserve">Nefutzot Yehudah</w:t>
      </w:r>
      <w:r w:rsidDel="00000000" w:rsidR="00000000" w:rsidRPr="00000000">
        <w:rPr>
          <w:rFonts w:ascii="Times New Roman" w:cs="Times New Roman" w:eastAsia="Times New Roman" w:hAnsi="Times New Roman"/>
          <w:color w:val="1b1b1c"/>
          <w:sz w:val="24"/>
          <w:szCs w:val="24"/>
          <w:rtl w:val="0"/>
        </w:rPr>
        <w:t xml:space="preserve"> was published with elaborate and innovative indices, ensuring that the work could serve as a reference tool for subsequent generations of preachers.[8] He also refined the art of the eulogy, turning the memorialization of the dead into a philosophical reflection on the nature of the soul and the human condition.[4, 9] His elegies for figures such as Joseph Caro and Duchess Margherita of Savoy demonstrated his ability to bridge the religious divide through shared humanistic values.[1]</w:t>
      </w:r>
    </w:p>
    <w:tbl>
      <w:tblPr>
        <w:tblStyle w:val="Table2"/>
        <w:bidiVisual w:val="1"/>
        <w:tblW w:w="10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3305"/>
        <w:gridCol w:w="5075"/>
        <w:tblGridChange w:id="0">
          <w:tblGrid>
            <w:gridCol w:w="2090"/>
            <w:gridCol w:w="3305"/>
            <w:gridCol w:w="5075"/>
          </w:tblGrid>
        </w:tblGridChange>
      </w:tblGrid>
      <w:tr>
        <w:trPr>
          <w:cantSplit w:val="0"/>
          <w:trHeight w:val="1160" w:hRule="atLeast"/>
          <w:tblHeader w:val="0"/>
        </w:trPr>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bidi w:val="1"/>
              <w:jc w:val="center"/>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Homiletic Element</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bidi w:val="1"/>
              <w:jc w:val="center"/>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Pre-Moscato Style</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bidi w:val="1"/>
              <w:jc w:val="center"/>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Moscato’s Innovation</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Primary Goal</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Didactic instruction / Halakhic ruling.</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Aesthetic pleasure and intellectual refinement.[3]</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Language</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Often plain and literal.</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High degree of aestheticism; rich in metaphor.[3]</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Scope of Reference</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Primarily Bible and Talmud.</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Seamless blend of Bible, Kabbalah, and Classical Philosophy.[7]</w:t>
            </w:r>
          </w:p>
        </w:tc>
      </w:tr>
      <w:tr>
        <w:trPr>
          <w:cantSplit w:val="0"/>
          <w:trHeight w:val="81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Method</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Linear exegesis of verses.</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Dialectic, thematic, and natural exegesis.[1]</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Structure</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Unstructured or informal.</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Systematically organized with indices and cross-references.[8]</w:t>
            </w:r>
          </w:p>
        </w:tc>
      </w:tr>
    </w:tbl>
    <w:p w:rsidR="00000000" w:rsidDel="00000000" w:rsidP="00000000" w:rsidRDefault="00000000" w:rsidRPr="00000000" w14:paraId="0000003C">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Higgayon be-Khinnor: The Philosophy of Music and Cosmic Harmony</w:t>
      </w:r>
    </w:p>
    <w:p w:rsidR="00000000" w:rsidDel="00000000" w:rsidP="00000000" w:rsidRDefault="00000000" w:rsidRPr="00000000" w14:paraId="0000003D">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Perhaps the most famous individual sermon within </w:t>
      </w:r>
      <w:r w:rsidDel="00000000" w:rsidR="00000000" w:rsidRPr="00000000">
        <w:rPr>
          <w:rFonts w:ascii="Times New Roman" w:cs="Times New Roman" w:eastAsia="Times New Roman" w:hAnsi="Times New Roman"/>
          <w:i w:val="1"/>
          <w:iCs w:val="1"/>
          <w:color w:val="1b1b1c"/>
          <w:sz w:val="24"/>
          <w:szCs w:val="24"/>
          <w:rtl w:val="0"/>
        </w:rPr>
        <w:t xml:space="preserve">Nefutzot Yehudah</w:t>
      </w:r>
      <w:r w:rsidDel="00000000" w:rsidR="00000000" w:rsidRPr="00000000">
        <w:rPr>
          <w:rFonts w:ascii="Times New Roman" w:cs="Times New Roman" w:eastAsia="Times New Roman" w:hAnsi="Times New Roman"/>
          <w:color w:val="1b1b1c"/>
          <w:sz w:val="24"/>
          <w:szCs w:val="24"/>
          <w:rtl w:val="0"/>
        </w:rPr>
        <w:t xml:space="preserve"> is "Higgayon be-Khinnor" ("Sounds for Contemplation on a Lyre"). In this discourse, Moscato presents a comprehensive "eulogy to music," conceiving it not just as an art form but as the fundamental principle of cosmic structure.[10]</w:t>
      </w:r>
    </w:p>
    <w:p w:rsidR="00000000" w:rsidDel="00000000" w:rsidP="00000000" w:rsidRDefault="00000000" w:rsidRPr="00000000" w14:paraId="0000003E">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The Hebrew Origin of Music</w:t>
      </w:r>
    </w:p>
    <w:p w:rsidR="00000000" w:rsidDel="00000000" w:rsidP="00000000" w:rsidRDefault="00000000" w:rsidRPr="00000000" w14:paraId="0000003F">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Consistency with his broader worldview, Moscato argued that the Hebrews were the true inventors of the science of music, centered on its "spiritual value" rather than mere practical application.[10] He identified King David as the supreme musical practitioner, whose lyre played at midnight when moved by the "spiritual wind" of the Divine spirit.[10] Moscato posited that the study of Torah and the achievement of an upright life allowed a person to play on a "spiritual kinnor" (lyre), reaching a superior mental level where the secrets of the universe were revealed as a "song in the night".[10]</w:t>
      </w:r>
    </w:p>
    <w:p w:rsidR="00000000" w:rsidDel="00000000" w:rsidP="00000000" w:rsidRDefault="00000000" w:rsidRPr="00000000" w14:paraId="00000040">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Harmony as a Cosmic and Theological Principle</w:t>
      </w:r>
    </w:p>
    <w:p w:rsidR="00000000" w:rsidDel="00000000" w:rsidP="00000000" w:rsidRDefault="00000000" w:rsidRPr="00000000" w14:paraId="00000041">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Moscato’s sermon on music is deeply rooted in the concept of universal harmony. He believed that God, in His essence, is the embodiment of music and its "root and principle".[10] He went so far as to analyze the Tetragrammaton (YHWH) as a musical structure containing the primary consonances of the universe.[10]</w:t>
      </w:r>
    </w:p>
    <w:tbl>
      <w:tblPr>
        <w:tblStyle w:val="Table3"/>
        <w:bidiVisual w:val="1"/>
        <w:tblW w:w="10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2750"/>
        <w:gridCol w:w="4520"/>
        <w:tblGridChange w:id="0">
          <w:tblGrid>
            <w:gridCol w:w="3200"/>
            <w:gridCol w:w="2750"/>
            <w:gridCol w:w="4520"/>
          </w:tblGrid>
        </w:tblGridChange>
      </w:tblGrid>
      <w:tr>
        <w:trPr>
          <w:cantSplit w:val="0"/>
          <w:trHeight w:val="1160" w:hRule="atLeast"/>
          <w:tblHeader w:val="0"/>
        </w:trPr>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bidi w:val="1"/>
              <w:jc w:val="center"/>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Component of Tetragrammaton</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bidi w:val="1"/>
              <w:jc w:val="center"/>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Musical Consonance / Ratio</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bidi w:val="1"/>
              <w:jc w:val="center"/>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Theological Significance</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Yod</w:t>
            </w:r>
            <w:r w:rsidDel="00000000" w:rsidR="00000000" w:rsidRPr="00000000">
              <w:rPr>
                <w:rFonts w:ascii="Times New Roman" w:cs="Times New Roman" w:eastAsia="Times New Roman" w:hAnsi="Times New Roman"/>
                <w:color w:val="1b1b1c"/>
                <w:sz w:val="24"/>
                <w:szCs w:val="24"/>
                <w:rtl w:val="0"/>
              </w:rPr>
              <w:t xml:space="preserve"> (</w:t>
            </w:r>
            <w:r w:rsidDel="00000000" w:rsidR="00000000" w:rsidRPr="00000000">
              <w:rPr>
                <w:rFonts w:ascii="Times New Roman" w:cs="Times New Roman" w:eastAsia="Times New Roman" w:hAnsi="Times New Roman"/>
                <w:color w:val="1b1b1c"/>
                <w:sz w:val="29"/>
                <w:szCs w:val="29"/>
                <w:rtl w:val="1"/>
              </w:rPr>
              <w:t xml:space="preserve">י</w:t>
            </w:r>
            <w:r w:rsidDel="00000000" w:rsidR="00000000" w:rsidRPr="00000000">
              <w:rPr>
                <w:rFonts w:ascii="Times New Roman" w:cs="Times New Roman" w:eastAsia="Times New Roman" w:hAnsi="Times New Roman"/>
                <w:color w:val="1b1b1c"/>
                <w:sz w:val="24"/>
                <w:szCs w:val="24"/>
                <w:rtl w:val="0"/>
              </w:rPr>
              <w:t xml:space="preserve">)</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Octave and Third</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The fundamental ground of all harmony.[10]</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He</w:t>
            </w:r>
            <w:r w:rsidDel="00000000" w:rsidR="00000000" w:rsidRPr="00000000">
              <w:rPr>
                <w:rFonts w:ascii="Times New Roman" w:cs="Times New Roman" w:eastAsia="Times New Roman" w:hAnsi="Times New Roman"/>
                <w:color w:val="1b1b1c"/>
                <w:sz w:val="24"/>
                <w:szCs w:val="24"/>
                <w:rtl w:val="0"/>
              </w:rPr>
              <w:t xml:space="preserve"> (</w:t>
            </w:r>
            <w:r w:rsidDel="00000000" w:rsidR="00000000" w:rsidRPr="00000000">
              <w:rPr>
                <w:rFonts w:ascii="Times New Roman" w:cs="Times New Roman" w:eastAsia="Times New Roman" w:hAnsi="Times New Roman"/>
                <w:color w:val="1b1b1c"/>
                <w:sz w:val="29"/>
                <w:szCs w:val="29"/>
                <w:rtl w:val="1"/>
              </w:rPr>
              <w:t xml:space="preserve">ה</w:t>
            </w:r>
            <w:r w:rsidDel="00000000" w:rsidR="00000000" w:rsidRPr="00000000">
              <w:rPr>
                <w:rFonts w:ascii="Times New Roman" w:cs="Times New Roman" w:eastAsia="Times New Roman" w:hAnsi="Times New Roman"/>
                <w:color w:val="1b1b1c"/>
                <w:sz w:val="24"/>
                <w:szCs w:val="24"/>
                <w:rtl w:val="0"/>
              </w:rPr>
              <w:t xml:space="preserve">)</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Fifth</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Represents structural stability and support.[10]</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Vav</w:t>
            </w:r>
            <w:r w:rsidDel="00000000" w:rsidR="00000000" w:rsidRPr="00000000">
              <w:rPr>
                <w:rFonts w:ascii="Times New Roman" w:cs="Times New Roman" w:eastAsia="Times New Roman" w:hAnsi="Times New Roman"/>
                <w:color w:val="1b1b1c"/>
                <w:sz w:val="24"/>
                <w:szCs w:val="24"/>
                <w:rtl w:val="0"/>
              </w:rPr>
              <w:t xml:space="preserve"> (</w:t>
            </w:r>
            <w:r w:rsidDel="00000000" w:rsidR="00000000" w:rsidRPr="00000000">
              <w:rPr>
                <w:rFonts w:ascii="Times New Roman" w:cs="Times New Roman" w:eastAsia="Times New Roman" w:hAnsi="Times New Roman"/>
                <w:color w:val="1b1b1c"/>
                <w:sz w:val="29"/>
                <w:szCs w:val="29"/>
                <w:rtl w:val="1"/>
              </w:rPr>
              <w:t xml:space="preserve">ו</w:t>
            </w:r>
            <w:r w:rsidDel="00000000" w:rsidR="00000000" w:rsidRPr="00000000">
              <w:rPr>
                <w:rFonts w:ascii="Times New Roman" w:cs="Times New Roman" w:eastAsia="Times New Roman" w:hAnsi="Times New Roman"/>
                <w:color w:val="1b1b1c"/>
                <w:sz w:val="24"/>
                <w:szCs w:val="24"/>
                <w:rtl w:val="0"/>
              </w:rPr>
              <w:t xml:space="preserve">)</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Sixth</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Provides the complexity and movement of the soul.[10]</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He + Vav</w:t>
            </w:r>
            <w:r w:rsidDel="00000000" w:rsidR="00000000" w:rsidRPr="00000000">
              <w:rPr>
                <w:rFonts w:ascii="Times New Roman" w:cs="Times New Roman" w:eastAsia="Times New Roman" w:hAnsi="Times New Roman"/>
                <w:color w:val="1b1b1c"/>
                <w:sz w:val="24"/>
                <w:szCs w:val="24"/>
                <w:rtl w:val="0"/>
              </w:rPr>
              <w:t xml:space="preserve"> (</w:t>
            </w:r>
            <w:r w:rsidDel="00000000" w:rsidR="00000000" w:rsidRPr="00000000">
              <w:rPr>
                <w:rFonts w:ascii="Times New Roman" w:cs="Times New Roman" w:eastAsia="Times New Roman" w:hAnsi="Times New Roman"/>
                <w:color w:val="1b1b1c"/>
                <w:sz w:val="29"/>
                <w:szCs w:val="29"/>
                <w:rtl w:val="1"/>
              </w:rPr>
              <w:t xml:space="preserve">ה</w:t>
            </w:r>
            <w:r w:rsidDel="00000000" w:rsidR="00000000" w:rsidRPr="00000000">
              <w:rPr>
                <w:rFonts w:ascii="Times New Roman" w:cs="Times New Roman" w:eastAsia="Times New Roman" w:hAnsi="Times New Roman"/>
                <w:color w:val="1b1b1c"/>
                <w:sz w:val="29"/>
                <w:szCs w:val="29"/>
                <w:rtl w:val="1"/>
              </w:rPr>
              <w:t xml:space="preserve"> + </w:t>
            </w:r>
            <w:r w:rsidDel="00000000" w:rsidR="00000000" w:rsidRPr="00000000">
              <w:rPr>
                <w:rFonts w:ascii="Times New Roman" w:cs="Times New Roman" w:eastAsia="Times New Roman" w:hAnsi="Times New Roman"/>
                <w:color w:val="1b1b1c"/>
                <w:sz w:val="29"/>
                <w:szCs w:val="29"/>
                <w:rtl w:val="1"/>
              </w:rPr>
              <w:t xml:space="preserve">ו</w:t>
            </w:r>
            <w:r w:rsidDel="00000000" w:rsidR="00000000" w:rsidRPr="00000000">
              <w:rPr>
                <w:rFonts w:ascii="Times New Roman" w:cs="Times New Roman" w:eastAsia="Times New Roman" w:hAnsi="Times New Roman"/>
                <w:color w:val="1b1b1c"/>
                <w:sz w:val="24"/>
                <w:szCs w:val="24"/>
                <w:rtl w:val="0"/>
              </w:rPr>
              <w:t xml:space="preserve">)</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Eleventh (Octave + Fourth)</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Signifies the inclusive harmony of the higher spheres.[10]</w:t>
            </w:r>
          </w:p>
        </w:tc>
      </w:tr>
    </w:tbl>
    <w:p w:rsidR="00000000" w:rsidDel="00000000" w:rsidP="00000000" w:rsidRDefault="00000000" w:rsidRPr="00000000" w14:paraId="00000051">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Moscato extended this harmonic theory to the macrocosm and microcosm:</w:t>
      </w:r>
    </w:p>
    <w:p w:rsidR="00000000" w:rsidDel="00000000" w:rsidP="00000000" w:rsidRDefault="00000000" w:rsidRPr="00000000" w14:paraId="00000052">
      <w:pPr>
        <w:numPr>
          <w:ilvl w:val="0"/>
          <w:numId w:val="3"/>
        </w:numPr>
        <w:bidi w:val="1"/>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Macrocosm</w:t>
      </w:r>
      <w:r w:rsidDel="00000000" w:rsidR="00000000" w:rsidRPr="00000000">
        <w:rPr>
          <w:rFonts w:ascii="Times New Roman" w:cs="Times New Roman" w:eastAsia="Times New Roman" w:hAnsi="Times New Roman"/>
          <w:color w:val="1b1b1c"/>
          <w:sz w:val="24"/>
          <w:szCs w:val="24"/>
          <w:rtl w:val="0"/>
        </w:rPr>
        <w:t xml:space="preserve">: The nine celestial spheres rotate with their own songs in "perfect harmonic relations," a view Moscato attributed to both Plato and Abraham ibn Ezra.[10] He described the world as a four-stringed instrument consisting of the heavens/earth, the lights, the sea, and the abyss.[10]</w:t>
      </w:r>
    </w:p>
    <w:p w:rsidR="00000000" w:rsidDel="00000000" w:rsidP="00000000" w:rsidRDefault="00000000" w:rsidRPr="00000000" w14:paraId="00000053">
      <w:pPr>
        <w:numPr>
          <w:ilvl w:val="0"/>
          <w:numId w:val="3"/>
        </w:numPr>
        <w:bidi w:val="1"/>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Microcosm</w:t>
      </w:r>
      <w:r w:rsidDel="00000000" w:rsidR="00000000" w:rsidRPr="00000000">
        <w:rPr>
          <w:rFonts w:ascii="Times New Roman" w:cs="Times New Roman" w:eastAsia="Times New Roman" w:hAnsi="Times New Roman"/>
          <w:color w:val="1b1b1c"/>
          <w:sz w:val="24"/>
          <w:szCs w:val="24"/>
          <w:rtl w:val="0"/>
        </w:rPr>
        <w:t xml:space="preserve">: The human soul is "arranged and ordered in ratios of music".[10] A righteous person is one who preserves the "equilibrium" between their matter and form, effectively serving as the foundation of the world by maintaining this divine order.[10]</w:t>
      </w:r>
    </w:p>
    <w:p w:rsidR="00000000" w:rsidDel="00000000" w:rsidP="00000000" w:rsidRDefault="00000000" w:rsidRPr="00000000" w14:paraId="00000054">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The Evolution of Music and Eschatology</w:t>
      </w:r>
    </w:p>
    <w:p w:rsidR="00000000" w:rsidDel="00000000" w:rsidP="00000000" w:rsidRDefault="00000000" w:rsidRPr="00000000" w14:paraId="00000055">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Moscato’s musical philosophy included an eschatological dimension. He described the development of the lyre across different cosmic eras:</w:t>
      </w:r>
    </w:p>
    <w:p w:rsidR="00000000" w:rsidDel="00000000" w:rsidP="00000000" w:rsidRDefault="00000000" w:rsidRPr="00000000" w14:paraId="00000056">
      <w:pPr>
        <w:numPr>
          <w:ilvl w:val="0"/>
          <w:numId w:val="2"/>
        </w:numPr>
        <w:bidi w:val="1"/>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Current World</w:t>
      </w:r>
      <w:r w:rsidDel="00000000" w:rsidR="00000000" w:rsidRPr="00000000">
        <w:rPr>
          <w:rFonts w:ascii="Times New Roman" w:cs="Times New Roman" w:eastAsia="Times New Roman" w:hAnsi="Times New Roman"/>
          <w:color w:val="1b1b1c"/>
          <w:sz w:val="24"/>
          <w:szCs w:val="24"/>
          <w:rtl w:val="0"/>
        </w:rPr>
        <w:t xml:space="preserve">: The </w:t>
      </w:r>
      <w:r w:rsidDel="00000000" w:rsidR="00000000" w:rsidRPr="00000000">
        <w:rPr>
          <w:rFonts w:ascii="Times New Roman" w:cs="Times New Roman" w:eastAsia="Times New Roman" w:hAnsi="Times New Roman"/>
          <w:i w:val="1"/>
          <w:iCs w:val="1"/>
          <w:color w:val="1b1b1c"/>
          <w:sz w:val="24"/>
          <w:szCs w:val="24"/>
          <w:rtl w:val="0"/>
        </w:rPr>
        <w:t xml:space="preserve">kinnor</w:t>
      </w:r>
      <w:r w:rsidDel="00000000" w:rsidR="00000000" w:rsidRPr="00000000">
        <w:rPr>
          <w:rFonts w:ascii="Times New Roman" w:cs="Times New Roman" w:eastAsia="Times New Roman" w:hAnsi="Times New Roman"/>
          <w:color w:val="1b1b1c"/>
          <w:sz w:val="24"/>
          <w:szCs w:val="24"/>
          <w:rtl w:val="0"/>
        </w:rPr>
        <w:t xml:space="preserve"> has seven strings.</w:t>
      </w:r>
    </w:p>
    <w:p w:rsidR="00000000" w:rsidDel="00000000" w:rsidP="00000000" w:rsidRDefault="00000000" w:rsidRPr="00000000" w14:paraId="00000057">
      <w:pPr>
        <w:numPr>
          <w:ilvl w:val="0"/>
          <w:numId w:val="2"/>
        </w:numPr>
        <w:bidi w:val="1"/>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Messianic Era</w:t>
      </w:r>
      <w:r w:rsidDel="00000000" w:rsidR="00000000" w:rsidRPr="00000000">
        <w:rPr>
          <w:rFonts w:ascii="Times New Roman" w:cs="Times New Roman" w:eastAsia="Times New Roman" w:hAnsi="Times New Roman"/>
          <w:color w:val="1b1b1c"/>
          <w:sz w:val="24"/>
          <w:szCs w:val="24"/>
          <w:rtl w:val="0"/>
        </w:rPr>
        <w:t xml:space="preserve">: The instrument will gain an eighth string.</w:t>
      </w:r>
    </w:p>
    <w:p w:rsidR="00000000" w:rsidDel="00000000" w:rsidP="00000000" w:rsidRDefault="00000000" w:rsidRPr="00000000" w14:paraId="00000058">
      <w:pPr>
        <w:numPr>
          <w:ilvl w:val="0"/>
          <w:numId w:val="2"/>
        </w:numPr>
        <w:bidi w:val="1"/>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World to Come</w:t>
      </w:r>
      <w:r w:rsidDel="00000000" w:rsidR="00000000" w:rsidRPr="00000000">
        <w:rPr>
          <w:rFonts w:ascii="Times New Roman" w:cs="Times New Roman" w:eastAsia="Times New Roman" w:hAnsi="Times New Roman"/>
          <w:color w:val="1b1b1c"/>
          <w:sz w:val="24"/>
          <w:szCs w:val="24"/>
          <w:rtl w:val="0"/>
        </w:rPr>
        <w:t xml:space="preserve">: The </w:t>
      </w:r>
      <w:r w:rsidDel="00000000" w:rsidR="00000000" w:rsidRPr="00000000">
        <w:rPr>
          <w:rFonts w:ascii="Times New Roman" w:cs="Times New Roman" w:eastAsia="Times New Roman" w:hAnsi="Times New Roman"/>
          <w:i w:val="1"/>
          <w:iCs w:val="1"/>
          <w:color w:val="1b1b1c"/>
          <w:sz w:val="24"/>
          <w:szCs w:val="24"/>
          <w:rtl w:val="0"/>
        </w:rPr>
        <w:t xml:space="preserve">kinnor</w:t>
      </w:r>
      <w:r w:rsidDel="00000000" w:rsidR="00000000" w:rsidRPr="00000000">
        <w:rPr>
          <w:rFonts w:ascii="Times New Roman" w:cs="Times New Roman" w:eastAsia="Times New Roman" w:hAnsi="Times New Roman"/>
          <w:color w:val="1b1b1c"/>
          <w:sz w:val="24"/>
          <w:szCs w:val="24"/>
          <w:rtl w:val="0"/>
        </w:rPr>
        <w:t xml:space="preserve"> will have ten strings, corresponding to the ten </w:t>
      </w:r>
      <w:r w:rsidDel="00000000" w:rsidR="00000000" w:rsidRPr="00000000">
        <w:rPr>
          <w:rFonts w:ascii="Times New Roman" w:cs="Times New Roman" w:eastAsia="Times New Roman" w:hAnsi="Times New Roman"/>
          <w:i w:val="1"/>
          <w:iCs w:val="1"/>
          <w:color w:val="1b1b1c"/>
          <w:sz w:val="24"/>
          <w:szCs w:val="24"/>
          <w:rtl w:val="0"/>
        </w:rPr>
        <w:t xml:space="preserve">Sefirot</w:t>
      </w:r>
      <w:r w:rsidDel="00000000" w:rsidR="00000000" w:rsidRPr="00000000">
        <w:rPr>
          <w:rFonts w:ascii="Times New Roman" w:cs="Times New Roman" w:eastAsia="Times New Roman" w:hAnsi="Times New Roman"/>
          <w:color w:val="1b1b1c"/>
          <w:sz w:val="24"/>
          <w:szCs w:val="24"/>
          <w:rtl w:val="0"/>
        </w:rPr>
        <w:t xml:space="preserve"> (divine emanations) and representing absolute integrality and perfection.[10]</w:t>
      </w:r>
    </w:p>
    <w:p w:rsidR="00000000" w:rsidDel="00000000" w:rsidP="00000000" w:rsidRDefault="00000000" w:rsidRPr="00000000" w14:paraId="00000059">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Kol Yehuda: The Rehabilitation of the Kuzari</w:t>
      </w:r>
    </w:p>
    <w:p w:rsidR="00000000" w:rsidDel="00000000" w:rsidP="00000000" w:rsidRDefault="00000000" w:rsidRPr="00000000" w14:paraId="0000005A">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Moscato’s second major contribution to Jewish thought was his comprehensive commentary on Judah Halevi’s </w:t>
      </w:r>
      <w:r w:rsidDel="00000000" w:rsidR="00000000" w:rsidRPr="00000000">
        <w:rPr>
          <w:rFonts w:ascii="Times New Roman" w:cs="Times New Roman" w:eastAsia="Times New Roman" w:hAnsi="Times New Roman"/>
          <w:i w:val="1"/>
          <w:iCs w:val="1"/>
          <w:color w:val="1b1b1c"/>
          <w:sz w:val="24"/>
          <w:szCs w:val="24"/>
          <w:rtl w:val="0"/>
        </w:rPr>
        <w:t xml:space="preserve">Sefer ha-Kuzari</w:t>
      </w:r>
      <w:r w:rsidDel="00000000" w:rsidR="00000000" w:rsidRPr="00000000">
        <w:rPr>
          <w:rFonts w:ascii="Times New Roman" w:cs="Times New Roman" w:eastAsia="Times New Roman" w:hAnsi="Times New Roman"/>
          <w:color w:val="1b1b1c"/>
          <w:sz w:val="24"/>
          <w:szCs w:val="24"/>
          <w:rtl w:val="0"/>
        </w:rPr>
        <w:t xml:space="preserve">, titled </w:t>
      </w:r>
      <w:r w:rsidDel="00000000" w:rsidR="00000000" w:rsidRPr="00000000">
        <w:rPr>
          <w:rFonts w:ascii="Times New Roman" w:cs="Times New Roman" w:eastAsia="Times New Roman" w:hAnsi="Times New Roman"/>
          <w:i w:val="1"/>
          <w:iCs w:val="1"/>
          <w:color w:val="1b1b1c"/>
          <w:sz w:val="24"/>
          <w:szCs w:val="24"/>
          <w:rtl w:val="0"/>
        </w:rPr>
        <w:t xml:space="preserve">Kol Yehuda</w:t>
      </w:r>
      <w:r w:rsidDel="00000000" w:rsidR="00000000" w:rsidRPr="00000000">
        <w:rPr>
          <w:rFonts w:ascii="Times New Roman" w:cs="Times New Roman" w:eastAsia="Times New Roman" w:hAnsi="Times New Roman"/>
          <w:color w:val="1b1b1c"/>
          <w:sz w:val="24"/>
          <w:szCs w:val="24"/>
          <w:rtl w:val="0"/>
        </w:rPr>
        <w:t xml:space="preserve"> ("The Voice of Judah"), published in 1594.[1, 5] While the </w:t>
      </w:r>
      <w:r w:rsidDel="00000000" w:rsidR="00000000" w:rsidRPr="00000000">
        <w:rPr>
          <w:rFonts w:ascii="Times New Roman" w:cs="Times New Roman" w:eastAsia="Times New Roman" w:hAnsi="Times New Roman"/>
          <w:i w:val="1"/>
          <w:iCs w:val="1"/>
          <w:color w:val="1b1b1c"/>
          <w:sz w:val="24"/>
          <w:szCs w:val="24"/>
          <w:rtl w:val="0"/>
        </w:rPr>
        <w:t xml:space="preserve">Kuzari</w:t>
      </w:r>
      <w:r w:rsidDel="00000000" w:rsidR="00000000" w:rsidRPr="00000000">
        <w:rPr>
          <w:rFonts w:ascii="Times New Roman" w:cs="Times New Roman" w:eastAsia="Times New Roman" w:hAnsi="Times New Roman"/>
          <w:color w:val="1b1b1c"/>
          <w:sz w:val="24"/>
          <w:szCs w:val="24"/>
          <w:rtl w:val="0"/>
        </w:rPr>
        <w:t xml:space="preserve"> had been a significant text in the Middle Ages, it was Moscato’s exegesis that propelled it to the forefront of Jewish learning for hundreds of years to come.[7]</w:t>
      </w:r>
    </w:p>
    <w:p w:rsidR="00000000" w:rsidDel="00000000" w:rsidP="00000000" w:rsidRDefault="00000000" w:rsidRPr="00000000" w14:paraId="0000005B">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Reorienting Jewish Philosophy</w:t>
      </w:r>
    </w:p>
    <w:p w:rsidR="00000000" w:rsidDel="00000000" w:rsidP="00000000" w:rsidRDefault="00000000" w:rsidRPr="00000000" w14:paraId="0000005C">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Moscato recognized that the </w:t>
      </w:r>
      <w:r w:rsidDel="00000000" w:rsidR="00000000" w:rsidRPr="00000000">
        <w:rPr>
          <w:rFonts w:ascii="Times New Roman" w:cs="Times New Roman" w:eastAsia="Times New Roman" w:hAnsi="Times New Roman"/>
          <w:i w:val="1"/>
          <w:iCs w:val="1"/>
          <w:color w:val="1b1b1c"/>
          <w:sz w:val="24"/>
          <w:szCs w:val="24"/>
          <w:rtl w:val="0"/>
        </w:rPr>
        <w:t xml:space="preserve">Kuzari</w:t>
      </w:r>
      <w:r w:rsidDel="00000000" w:rsidR="00000000" w:rsidRPr="00000000">
        <w:rPr>
          <w:rFonts w:ascii="Times New Roman" w:cs="Times New Roman" w:eastAsia="Times New Roman" w:hAnsi="Times New Roman"/>
          <w:color w:val="1b1b1c"/>
          <w:sz w:val="24"/>
          <w:szCs w:val="24"/>
          <w:rtl w:val="0"/>
        </w:rPr>
        <w:t xml:space="preserve">, with its focus on historical revelation, the uniqueness of the Jewish people, and its implicit Platonic structure, was an ideal text for the Renaissance intellectual environment.[7] In </w:t>
      </w:r>
      <w:r w:rsidDel="00000000" w:rsidR="00000000" w:rsidRPr="00000000">
        <w:rPr>
          <w:rFonts w:ascii="Times New Roman" w:cs="Times New Roman" w:eastAsia="Times New Roman" w:hAnsi="Times New Roman"/>
          <w:i w:val="1"/>
          <w:iCs w:val="1"/>
          <w:color w:val="1b1b1c"/>
          <w:sz w:val="24"/>
          <w:szCs w:val="24"/>
          <w:rtl w:val="0"/>
        </w:rPr>
        <w:t xml:space="preserve">Kol Yehuda</w:t>
      </w:r>
      <w:r w:rsidDel="00000000" w:rsidR="00000000" w:rsidRPr="00000000">
        <w:rPr>
          <w:rFonts w:ascii="Times New Roman" w:cs="Times New Roman" w:eastAsia="Times New Roman" w:hAnsi="Times New Roman"/>
          <w:color w:val="1b1b1c"/>
          <w:sz w:val="24"/>
          <w:szCs w:val="24"/>
          <w:rtl w:val="0"/>
        </w:rPr>
        <w:t xml:space="preserve">, Moscato sought to bridge the gap between Halevi’s medieval defense of Judaism and the contemporary philosophical concerns of his time. He was particularly interested in demonstrating that the </w:t>
      </w:r>
      <w:r w:rsidDel="00000000" w:rsidR="00000000" w:rsidRPr="00000000">
        <w:rPr>
          <w:rFonts w:ascii="Times New Roman" w:cs="Times New Roman" w:eastAsia="Times New Roman" w:hAnsi="Times New Roman"/>
          <w:i w:val="1"/>
          <w:iCs w:val="1"/>
          <w:color w:val="1b1b1c"/>
          <w:sz w:val="24"/>
          <w:szCs w:val="24"/>
          <w:rtl w:val="0"/>
        </w:rPr>
        <w:t xml:space="preserve">Kuzari</w:t>
      </w:r>
      <w:r w:rsidDel="00000000" w:rsidR="00000000" w:rsidRPr="00000000">
        <w:rPr>
          <w:rFonts w:ascii="Times New Roman" w:cs="Times New Roman" w:eastAsia="Times New Roman" w:hAnsi="Times New Roman"/>
          <w:color w:val="1b1b1c"/>
          <w:sz w:val="24"/>
          <w:szCs w:val="24"/>
          <w:rtl w:val="0"/>
        </w:rPr>
        <w:t xml:space="preserve"> was compatible with both the Kabbalah and the Neoplatonic ideas of figures like Marsilio Ficino.[7, 11]</w:t>
      </w:r>
    </w:p>
    <w:p w:rsidR="00000000" w:rsidDel="00000000" w:rsidP="00000000" w:rsidRDefault="00000000" w:rsidRPr="00000000" w14:paraId="0000005D">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Exegetical Methodology and Philology</w:t>
      </w:r>
    </w:p>
    <w:p w:rsidR="00000000" w:rsidDel="00000000" w:rsidP="00000000" w:rsidRDefault="00000000" w:rsidRPr="00000000" w14:paraId="0000005E">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Moscato’s commentary was not merely an interpretive exercise but also a philological one. He engaged deeply with the history of the Hebrew translation of the </w:t>
      </w:r>
      <w:r w:rsidDel="00000000" w:rsidR="00000000" w:rsidRPr="00000000">
        <w:rPr>
          <w:rFonts w:ascii="Times New Roman" w:cs="Times New Roman" w:eastAsia="Times New Roman" w:hAnsi="Times New Roman"/>
          <w:i w:val="1"/>
          <w:iCs w:val="1"/>
          <w:color w:val="1b1b1c"/>
          <w:sz w:val="24"/>
          <w:szCs w:val="24"/>
          <w:rtl w:val="0"/>
        </w:rPr>
        <w:t xml:space="preserve">Kuzari</w:t>
      </w:r>
      <w:r w:rsidDel="00000000" w:rsidR="00000000" w:rsidRPr="00000000">
        <w:rPr>
          <w:rFonts w:ascii="Times New Roman" w:cs="Times New Roman" w:eastAsia="Times New Roman" w:hAnsi="Times New Roman"/>
          <w:color w:val="1b1b1c"/>
          <w:sz w:val="24"/>
          <w:szCs w:val="24"/>
          <w:rtl w:val="0"/>
        </w:rPr>
        <w:t xml:space="preserve">, which had been produced by Judah ibn Tibbon in the twelfth century.[12] Moscato utilized systematic and extensive corrections to the Tibbon translation, often incorporating original suggestions from his friend and contemporary Azariah dei Rossi.[12]</w:t>
      </w:r>
    </w:p>
    <w:p w:rsidR="00000000" w:rsidDel="00000000" w:rsidP="00000000" w:rsidRDefault="00000000" w:rsidRPr="00000000" w14:paraId="0000005F">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A significant feature of </w:t>
      </w:r>
      <w:r w:rsidDel="00000000" w:rsidR="00000000" w:rsidRPr="00000000">
        <w:rPr>
          <w:rFonts w:ascii="Times New Roman" w:cs="Times New Roman" w:eastAsia="Times New Roman" w:hAnsi="Times New Roman"/>
          <w:i w:val="1"/>
          <w:iCs w:val="1"/>
          <w:color w:val="1b1b1c"/>
          <w:sz w:val="24"/>
          <w:szCs w:val="24"/>
          <w:rtl w:val="0"/>
        </w:rPr>
        <w:t xml:space="preserve">Kol Yehuda</w:t>
      </w:r>
      <w:r w:rsidDel="00000000" w:rsidR="00000000" w:rsidRPr="00000000">
        <w:rPr>
          <w:rFonts w:ascii="Times New Roman" w:cs="Times New Roman" w:eastAsia="Times New Roman" w:hAnsi="Times New Roman"/>
          <w:color w:val="1b1b1c"/>
          <w:sz w:val="24"/>
          <w:szCs w:val="24"/>
          <w:rtl w:val="0"/>
        </w:rPr>
        <w:t xml:space="preserve"> was Moscato’s use of sources that were little read or studied at the time. For instance, he was one of the first Renaissance rabbis to make extensive use of Philo of Alexandria, whose work provided a crucial bridge between Jewish scripture and Hellenistic philosophy.[3] This "meandering" style of commentary, which moved between Jewish and classical sources, reinforced his belief in the openness of the Jewish tradition to receiving truth from diverse origins.[7]</w:t>
      </w:r>
    </w:p>
    <w:p w:rsidR="00000000" w:rsidDel="00000000" w:rsidP="00000000" w:rsidRDefault="00000000" w:rsidRPr="00000000" w14:paraId="00000060">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Kabbalah and the Kuzari</w:t>
      </w:r>
    </w:p>
    <w:p w:rsidR="00000000" w:rsidDel="00000000" w:rsidP="00000000" w:rsidRDefault="00000000" w:rsidRPr="00000000" w14:paraId="00000061">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One of the most innovative aspects of </w:t>
      </w:r>
      <w:r w:rsidDel="00000000" w:rsidR="00000000" w:rsidRPr="00000000">
        <w:rPr>
          <w:rFonts w:ascii="Times New Roman" w:cs="Times New Roman" w:eastAsia="Times New Roman" w:hAnsi="Times New Roman"/>
          <w:i w:val="1"/>
          <w:iCs w:val="1"/>
          <w:color w:val="1b1b1c"/>
          <w:sz w:val="24"/>
          <w:szCs w:val="24"/>
          <w:rtl w:val="0"/>
        </w:rPr>
        <w:t xml:space="preserve">Kol Yehuda</w:t>
      </w:r>
      <w:r w:rsidDel="00000000" w:rsidR="00000000" w:rsidRPr="00000000">
        <w:rPr>
          <w:rFonts w:ascii="Times New Roman" w:cs="Times New Roman" w:eastAsia="Times New Roman" w:hAnsi="Times New Roman"/>
          <w:color w:val="1b1b1c"/>
          <w:sz w:val="24"/>
          <w:szCs w:val="24"/>
          <w:rtl w:val="0"/>
        </w:rPr>
        <w:t xml:space="preserve"> was Moscato’s documentation of the parallels between Halevi’s thought and the medieval Kabbalistic literature.[11] While scholars such as Gershom Scholem have debated the extent of Halevi’s influence on the Kabbalah, Moscato was convinced that the </w:t>
      </w:r>
      <w:r w:rsidDel="00000000" w:rsidR="00000000" w:rsidRPr="00000000">
        <w:rPr>
          <w:rFonts w:ascii="Times New Roman" w:cs="Times New Roman" w:eastAsia="Times New Roman" w:hAnsi="Times New Roman"/>
          <w:i w:val="1"/>
          <w:iCs w:val="1"/>
          <w:color w:val="1b1b1c"/>
          <w:sz w:val="24"/>
          <w:szCs w:val="24"/>
          <w:rtl w:val="0"/>
        </w:rPr>
        <w:t xml:space="preserve">Kuzari</w:t>
      </w:r>
      <w:r w:rsidDel="00000000" w:rsidR="00000000" w:rsidRPr="00000000">
        <w:rPr>
          <w:rFonts w:ascii="Times New Roman" w:cs="Times New Roman" w:eastAsia="Times New Roman" w:hAnsi="Times New Roman"/>
          <w:color w:val="1b1b1c"/>
          <w:sz w:val="24"/>
          <w:szCs w:val="24"/>
          <w:rtl w:val="0"/>
        </w:rPr>
        <w:t xml:space="preserve"> was a foundational text for the theosophical tradition.[11] He used paradigms such as astral magic and Neoplatonic psychology to interpret Halevi’s arguments, particularly regarding the sacrificial rite and the nature of the Godhead.[11] By doing so, he integrated the </w:t>
      </w:r>
      <w:r w:rsidDel="00000000" w:rsidR="00000000" w:rsidRPr="00000000">
        <w:rPr>
          <w:rFonts w:ascii="Times New Roman" w:cs="Times New Roman" w:eastAsia="Times New Roman" w:hAnsi="Times New Roman"/>
          <w:i w:val="1"/>
          <w:iCs w:val="1"/>
          <w:color w:val="1b1b1c"/>
          <w:sz w:val="24"/>
          <w:szCs w:val="24"/>
          <w:rtl w:val="0"/>
        </w:rPr>
        <w:t xml:space="preserve">Kuzari</w:t>
      </w:r>
      <w:r w:rsidDel="00000000" w:rsidR="00000000" w:rsidRPr="00000000">
        <w:rPr>
          <w:rFonts w:ascii="Times New Roman" w:cs="Times New Roman" w:eastAsia="Times New Roman" w:hAnsi="Times New Roman"/>
          <w:color w:val="1b1b1c"/>
          <w:sz w:val="24"/>
          <w:szCs w:val="24"/>
          <w:rtl w:val="0"/>
        </w:rPr>
        <w:t xml:space="preserve"> into the mystical-philosophical synthesis that defined his own worldview.</w:t>
      </w:r>
    </w:p>
    <w:p w:rsidR="00000000" w:rsidDel="00000000" w:rsidP="00000000" w:rsidRDefault="00000000" w:rsidRPr="00000000" w14:paraId="00000062">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The Mystical-Rationalist Synthesis: The Role of Kabbalah</w:t>
      </w:r>
    </w:p>
    <w:p w:rsidR="00000000" w:rsidDel="00000000" w:rsidP="00000000" w:rsidRDefault="00000000" w:rsidRPr="00000000" w14:paraId="00000063">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Although Moscato was a student of classical rhetoric and philosophy, he was also an enthusiastic and knowledgeable practitioner of the Kabbalah.[1, 2] His approach to the mystical tradition, however, was distinctly "philosophical" and "integrated" rather than isolated.</w:t>
      </w:r>
    </w:p>
    <w:p w:rsidR="00000000" w:rsidDel="00000000" w:rsidP="00000000" w:rsidRDefault="00000000" w:rsidRPr="00000000" w14:paraId="00000064">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Subtle Integration of the Zohar</w:t>
      </w:r>
    </w:p>
    <w:p w:rsidR="00000000" w:rsidDel="00000000" w:rsidP="00000000" w:rsidRDefault="00000000" w:rsidRPr="00000000" w14:paraId="00000065">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Moscato’s familiarity with the </w:t>
      </w:r>
      <w:r w:rsidDel="00000000" w:rsidR="00000000" w:rsidRPr="00000000">
        <w:rPr>
          <w:rFonts w:ascii="Times New Roman" w:cs="Times New Roman" w:eastAsia="Times New Roman" w:hAnsi="Times New Roman"/>
          <w:i w:val="1"/>
          <w:iCs w:val="1"/>
          <w:color w:val="1b1b1c"/>
          <w:sz w:val="24"/>
          <w:szCs w:val="24"/>
          <w:rtl w:val="0"/>
        </w:rPr>
        <w:t xml:space="preserve">Zohar</w:t>
      </w:r>
      <w:r w:rsidDel="00000000" w:rsidR="00000000" w:rsidRPr="00000000">
        <w:rPr>
          <w:rFonts w:ascii="Times New Roman" w:cs="Times New Roman" w:eastAsia="Times New Roman" w:hAnsi="Times New Roman"/>
          <w:color w:val="1b1b1c"/>
          <w:sz w:val="24"/>
          <w:szCs w:val="24"/>
          <w:rtl w:val="0"/>
        </w:rPr>
        <w:t xml:space="preserve"> and the works of Moses Cordovero (especially </w:t>
      </w:r>
      <w:r w:rsidDel="00000000" w:rsidR="00000000" w:rsidRPr="00000000">
        <w:rPr>
          <w:rFonts w:ascii="Times New Roman" w:cs="Times New Roman" w:eastAsia="Times New Roman" w:hAnsi="Times New Roman"/>
          <w:i w:val="1"/>
          <w:iCs w:val="1"/>
          <w:color w:val="1b1b1c"/>
          <w:sz w:val="24"/>
          <w:szCs w:val="24"/>
          <w:rtl w:val="0"/>
        </w:rPr>
        <w:t xml:space="preserve">Pardes Rimmonim</w:t>
      </w:r>
      <w:r w:rsidDel="00000000" w:rsidR="00000000" w:rsidRPr="00000000">
        <w:rPr>
          <w:rFonts w:ascii="Times New Roman" w:cs="Times New Roman" w:eastAsia="Times New Roman" w:hAnsi="Times New Roman"/>
          <w:color w:val="1b1b1c"/>
          <w:sz w:val="24"/>
          <w:szCs w:val="24"/>
          <w:rtl w:val="0"/>
        </w:rPr>
        <w:t xml:space="preserve">) is evident throughout his writings.[3] Interestingly, Moscato often used Kabbalistic ideas without explicitly naming his sources, weaving mystical concepts into his ethical and liturgical discussions.[3] This subtle integration allowed him to present the Kabbalah not as a radical or separate doctrine, but as the "inner meaning" of the traditional rabbinic culture.</w:t>
      </w:r>
    </w:p>
    <w:p w:rsidR="00000000" w:rsidDel="00000000" w:rsidP="00000000" w:rsidRDefault="00000000" w:rsidRPr="00000000" w14:paraId="00000066">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Ethical and Liturgical Mysticism</w:t>
      </w:r>
    </w:p>
    <w:p w:rsidR="00000000" w:rsidDel="00000000" w:rsidP="00000000" w:rsidRDefault="00000000" w:rsidRPr="00000000" w14:paraId="00000067">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Moscato’s interest in Kabbalah was particularly focused on prayer and ethics.[3] He viewed prayer as a mystical act that required the proper "tuning" of the soul, much like a musical instrument. His sermons frequently utilized Kabbalistic imagery to describe the interaction between the human spirit and the Divine emanations, further reinforcing his goal of "intellectual perfection" through a multifaceted approach to wisdom.[3, 7]</w:t>
      </w:r>
    </w:p>
    <w:p w:rsidR="00000000" w:rsidDel="00000000" w:rsidP="00000000" w:rsidRDefault="00000000" w:rsidRPr="00000000" w14:paraId="00000068">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Socio-Political Leadership and Interreligious Dynamics</w:t>
      </w:r>
    </w:p>
    <w:p w:rsidR="00000000" w:rsidDel="00000000" w:rsidP="00000000" w:rsidRDefault="00000000" w:rsidRPr="00000000" w14:paraId="00000069">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The role of a Chief Rabbi in Renaissance Mantua was as much political as it was intellectual. Moscato lived and worked during a period of intense pressure from the Catholic Church, which was actively seeking the conversion of high-profile Jewish leaders.[5]</w:t>
      </w:r>
    </w:p>
    <w:p w:rsidR="00000000" w:rsidDel="00000000" w:rsidP="00000000" w:rsidRDefault="00000000" w:rsidRPr="00000000" w14:paraId="0000006A">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The Threat of Forced Conversion</w:t>
      </w:r>
    </w:p>
    <w:p w:rsidR="00000000" w:rsidDel="00000000" w:rsidP="00000000" w:rsidRDefault="00000000" w:rsidRPr="00000000" w14:paraId="0000006B">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Moscato’s prominence made him a target for the ecclesiastical authorities. Historical records indicate that because of the forced conversion of some Mantuan Jews, Moscato himself was imprisoned and subjected to "intense psychological pressure" in an attempt to obtain his conversion.[5] The Church recognized that Moscato was a singular figure; it was believed that he alone could "sustain the whole Synagogue" and that his conversion would significantly disturb the Jewish community’s resolve.[5] Moscato’s steadfastness in the face of this pressure became a vital component of his legacy as a moral and cultural leader.</w:t>
      </w:r>
    </w:p>
    <w:p w:rsidR="00000000" w:rsidDel="00000000" w:rsidP="00000000" w:rsidRDefault="00000000" w:rsidRPr="00000000" w14:paraId="0000006C">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Intercultural Mediation</w:t>
      </w:r>
    </w:p>
    <w:p w:rsidR="00000000" w:rsidDel="00000000" w:rsidP="00000000" w:rsidRDefault="00000000" w:rsidRPr="00000000" w14:paraId="0000006D">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Despite the pressures from the Church, Moscato acted as a mediator between religious cultures. His sermons were attended by Christian scholars, and his writing style—which incorporated Latin and Italian literary norms—made Jewish thought accessible and even attractive to the broader intellectual world of the Renaissance.[3] This role as a guide to "humanist scholarship" was recognized by Jewish and Christian intellectuals alike, establishing Moscato as a unique figure in the pantheon of Renaissance polymaths.[13]</w:t>
      </w:r>
    </w:p>
    <w:p w:rsidR="00000000" w:rsidDel="00000000" w:rsidP="00000000" w:rsidRDefault="00000000" w:rsidRPr="00000000" w14:paraId="0000006E">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Literary and Poetic Contributions</w:t>
      </w:r>
    </w:p>
    <w:p w:rsidR="00000000" w:rsidDel="00000000" w:rsidP="00000000" w:rsidRDefault="00000000" w:rsidRPr="00000000" w14:paraId="0000006F">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Beyond his major theological and homiletical works, Moscato was a prolific poet and a correspondent of his time’s great scholars. His literary output included liturgical poems, sonnets, and responsa, many of which remain in manuscript form.[5]</w:t>
      </w:r>
    </w:p>
    <w:p w:rsidR="00000000" w:rsidDel="00000000" w:rsidP="00000000" w:rsidRDefault="00000000" w:rsidRPr="00000000" w14:paraId="00000070">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Elegies and Personal Tributes</w:t>
      </w:r>
    </w:p>
    <w:p w:rsidR="00000000" w:rsidDel="00000000" w:rsidP="00000000" w:rsidRDefault="00000000" w:rsidRPr="00000000" w14:paraId="00000071">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Moscato’s poetry often took the form of elegies for friends and distinguished scholars. Notable examples include:</w:t>
      </w:r>
    </w:p>
    <w:p w:rsidR="00000000" w:rsidDel="00000000" w:rsidP="00000000" w:rsidRDefault="00000000" w:rsidRPr="00000000" w14:paraId="00000072">
      <w:pPr>
        <w:numPr>
          <w:ilvl w:val="0"/>
          <w:numId w:val="1"/>
        </w:numPr>
        <w:bidi w:val="1"/>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Elegy for Joseph Caro</w:t>
      </w:r>
      <w:r w:rsidDel="00000000" w:rsidR="00000000" w:rsidRPr="00000000">
        <w:rPr>
          <w:rFonts w:ascii="Times New Roman" w:cs="Times New Roman" w:eastAsia="Times New Roman" w:hAnsi="Times New Roman"/>
          <w:color w:val="1b1b1c"/>
          <w:sz w:val="24"/>
          <w:szCs w:val="24"/>
          <w:rtl w:val="0"/>
        </w:rPr>
        <w:t xml:space="preserve">: A tribute to the great author of the </w:t>
      </w:r>
      <w:r w:rsidDel="00000000" w:rsidR="00000000" w:rsidRPr="00000000">
        <w:rPr>
          <w:rFonts w:ascii="Times New Roman" w:cs="Times New Roman" w:eastAsia="Times New Roman" w:hAnsi="Times New Roman"/>
          <w:i w:val="1"/>
          <w:iCs w:val="1"/>
          <w:color w:val="1b1b1c"/>
          <w:sz w:val="24"/>
          <w:szCs w:val="24"/>
          <w:rtl w:val="0"/>
        </w:rPr>
        <w:t xml:space="preserve">Shulchan Aruch</w:t>
      </w:r>
      <w:r w:rsidDel="00000000" w:rsidR="00000000" w:rsidRPr="00000000">
        <w:rPr>
          <w:rFonts w:ascii="Times New Roman" w:cs="Times New Roman" w:eastAsia="Times New Roman" w:hAnsi="Times New Roman"/>
          <w:color w:val="1b1b1c"/>
          <w:sz w:val="24"/>
          <w:szCs w:val="24"/>
          <w:rtl w:val="0"/>
        </w:rPr>
        <w:t xml:space="preserve">.[1, 3]</w:t>
      </w:r>
    </w:p>
    <w:p w:rsidR="00000000" w:rsidDel="00000000" w:rsidP="00000000" w:rsidRDefault="00000000" w:rsidRPr="00000000" w14:paraId="00000073">
      <w:pPr>
        <w:numPr>
          <w:ilvl w:val="0"/>
          <w:numId w:val="1"/>
        </w:numPr>
        <w:bidi w:val="1"/>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Elegies for Duchess Margherita of Savoy</w:t>
      </w:r>
      <w:r w:rsidDel="00000000" w:rsidR="00000000" w:rsidRPr="00000000">
        <w:rPr>
          <w:rFonts w:ascii="Times New Roman" w:cs="Times New Roman" w:eastAsia="Times New Roman" w:hAnsi="Times New Roman"/>
          <w:color w:val="1b1b1c"/>
          <w:sz w:val="24"/>
          <w:szCs w:val="24"/>
          <w:rtl w:val="0"/>
        </w:rPr>
        <w:t xml:space="preserve">: Three known elegies composed upon her death in 1574, demonstrating his connections to the ruling classes of Italy.[1]</w:t>
      </w:r>
    </w:p>
    <w:p w:rsidR="00000000" w:rsidDel="00000000" w:rsidP="00000000" w:rsidRDefault="00000000" w:rsidRPr="00000000" w14:paraId="00000074">
      <w:pPr>
        <w:numPr>
          <w:ilvl w:val="0"/>
          <w:numId w:val="1"/>
        </w:numPr>
        <w:bidi w:val="1"/>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Prayer for Rain</w:t>
      </w:r>
      <w:r w:rsidDel="00000000" w:rsidR="00000000" w:rsidRPr="00000000">
        <w:rPr>
          <w:rFonts w:ascii="Times New Roman" w:cs="Times New Roman" w:eastAsia="Times New Roman" w:hAnsi="Times New Roman"/>
          <w:color w:val="1b1b1c"/>
          <w:sz w:val="24"/>
          <w:szCs w:val="24"/>
          <w:rtl w:val="0"/>
        </w:rPr>
        <w:t xml:space="preserve">: A liturgical poem that reflected his concern for the practical and spiritual needs of his community.[3]</w:t>
      </w:r>
    </w:p>
    <w:p w:rsidR="00000000" w:rsidDel="00000000" w:rsidP="00000000" w:rsidRDefault="00000000" w:rsidRPr="00000000" w14:paraId="00000075">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Moscato’s poetry was not merely a side pursuit; it was a further application of his belief that the literary arts were an essential component of a perfected Jewish intellect. His work in this field placed him in the lineage of David ben Judah Messer Leon, who had published a humanistic work defending the literary arts a century earlier.[14]</w:t>
      </w:r>
    </w:p>
    <w:p w:rsidR="00000000" w:rsidDel="00000000" w:rsidP="00000000" w:rsidRDefault="00000000" w:rsidRPr="00000000" w14:paraId="00000076">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The Mantuan Intellectual Environment: Printing and Music</w:t>
      </w:r>
    </w:p>
    <w:p w:rsidR="00000000" w:rsidDel="00000000" w:rsidP="00000000" w:rsidRDefault="00000000" w:rsidRPr="00000000" w14:paraId="00000077">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The success of Moscato’s work was intrinsically linked to the technological and cultural context of Mantua. The city was a preeminent center for Hebrew printing, second only to Venice.[5]</w:t>
      </w:r>
    </w:p>
    <w:p w:rsidR="00000000" w:rsidDel="00000000" w:rsidP="00000000" w:rsidRDefault="00000000" w:rsidRPr="00000000" w14:paraId="00000078">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The Influence of Printing Houses</w:t>
      </w:r>
    </w:p>
    <w:p w:rsidR="00000000" w:rsidDel="00000000" w:rsidP="00000000" w:rsidRDefault="00000000" w:rsidRPr="00000000" w14:paraId="00000079">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The Mantuan printing house of Abraham Conat produced the first edition of the </w:t>
      </w:r>
      <w:r w:rsidDel="00000000" w:rsidR="00000000" w:rsidRPr="00000000">
        <w:rPr>
          <w:rFonts w:ascii="Times New Roman" w:cs="Times New Roman" w:eastAsia="Times New Roman" w:hAnsi="Times New Roman"/>
          <w:i w:val="1"/>
          <w:iCs w:val="1"/>
          <w:color w:val="1b1b1c"/>
          <w:sz w:val="24"/>
          <w:szCs w:val="24"/>
          <w:rtl w:val="0"/>
        </w:rPr>
        <w:t xml:space="preserve">Zohar</w:t>
      </w:r>
      <w:r w:rsidDel="00000000" w:rsidR="00000000" w:rsidRPr="00000000">
        <w:rPr>
          <w:rFonts w:ascii="Times New Roman" w:cs="Times New Roman" w:eastAsia="Times New Roman" w:hAnsi="Times New Roman"/>
          <w:color w:val="1b1b1c"/>
          <w:sz w:val="24"/>
          <w:szCs w:val="24"/>
          <w:rtl w:val="0"/>
        </w:rPr>
        <w:t xml:space="preserve"> (1558–1560) and other seminal works like the </w:t>
      </w:r>
      <w:r w:rsidDel="00000000" w:rsidR="00000000" w:rsidRPr="00000000">
        <w:rPr>
          <w:rFonts w:ascii="Times New Roman" w:cs="Times New Roman" w:eastAsia="Times New Roman" w:hAnsi="Times New Roman"/>
          <w:i w:val="1"/>
          <w:iCs w:val="1"/>
          <w:color w:val="1b1b1c"/>
          <w:sz w:val="24"/>
          <w:szCs w:val="24"/>
          <w:rtl w:val="0"/>
        </w:rPr>
        <w:t xml:space="preserve">Nofet Zufim</w:t>
      </w:r>
      <w:r w:rsidDel="00000000" w:rsidR="00000000" w:rsidRPr="00000000">
        <w:rPr>
          <w:rFonts w:ascii="Times New Roman" w:cs="Times New Roman" w:eastAsia="Times New Roman" w:hAnsi="Times New Roman"/>
          <w:color w:val="1b1b1c"/>
          <w:sz w:val="24"/>
          <w:szCs w:val="24"/>
          <w:rtl w:val="0"/>
        </w:rPr>
        <w:t xml:space="preserve"> by Judah Messer Leon.[5] This proximity to the primary texts of both philosophy and Kabbalah allowed Moscato to engage with the most accurate and up-to-date versions of the Jewish canon. The meticulous nature of his own publications—with their elaborate corrigenda and indices—reflects the high standards of the Mantuan printing tradition.[8]</w:t>
      </w:r>
    </w:p>
    <w:p w:rsidR="00000000" w:rsidDel="00000000" w:rsidP="00000000" w:rsidRDefault="00000000" w:rsidRPr="00000000" w14:paraId="0000007A">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The Musical Community</w:t>
      </w:r>
    </w:p>
    <w:p w:rsidR="00000000" w:rsidDel="00000000" w:rsidP="00000000" w:rsidRDefault="00000000" w:rsidRPr="00000000" w14:paraId="0000007B">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Mantua's status as a musical hub also deeply informed Moscato’s thought. The presence of the Levi dynasty—three generations of Jewish musicians active in the sixteenth century—provided a living laboratory for Moscato’s theories on harmony and the "spiritual kinnor".[4] The community’s engagement with the arts was not seen as a secular distraction, but as a cultural performance that intersected with religious text, as seen in Judah Sommo’s Italian translation of the Psalms.[4]</w:t>
      </w:r>
    </w:p>
    <w:p w:rsidR="00000000" w:rsidDel="00000000" w:rsidP="00000000" w:rsidRDefault="00000000" w:rsidRPr="00000000" w14:paraId="0000007C">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Influence and Legacy: The School of Mantua</w:t>
      </w:r>
    </w:p>
    <w:p w:rsidR="00000000" w:rsidDel="00000000" w:rsidP="00000000" w:rsidRDefault="00000000" w:rsidRPr="00000000" w14:paraId="0000007D">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The "Moscato School" of homiletics and thought left a permanent mark on Italian Jewry. His methods and ideas were taken up by subsequent generations of preachers, creating a new standard for the Jewish pulpit.</w:t>
      </w:r>
    </w:p>
    <w:p w:rsidR="00000000" w:rsidDel="00000000" w:rsidP="00000000" w:rsidRDefault="00000000" w:rsidRPr="00000000" w14:paraId="0000007E">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Successors in the 17th Century</w:t>
      </w:r>
    </w:p>
    <w:p w:rsidR="00000000" w:rsidDel="00000000" w:rsidP="00000000" w:rsidRDefault="00000000" w:rsidRPr="00000000" w14:paraId="0000007F">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The most significant heirs to Moscato’s legacy were:</w:t>
      </w:r>
    </w:p>
    <w:p w:rsidR="00000000" w:rsidDel="00000000" w:rsidP="00000000" w:rsidRDefault="00000000" w:rsidRPr="00000000" w14:paraId="00000080">
      <w:pPr>
        <w:numPr>
          <w:ilvl w:val="0"/>
          <w:numId w:val="5"/>
        </w:numPr>
        <w:bidi w:val="1"/>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Azariah Figo (Picho)</w:t>
      </w:r>
      <w:r w:rsidDel="00000000" w:rsidR="00000000" w:rsidRPr="00000000">
        <w:rPr>
          <w:rFonts w:ascii="Times New Roman" w:cs="Times New Roman" w:eastAsia="Times New Roman" w:hAnsi="Times New Roman"/>
          <w:color w:val="1b1b1c"/>
          <w:sz w:val="24"/>
          <w:szCs w:val="24"/>
          <w:rtl w:val="0"/>
        </w:rPr>
        <w:t xml:space="preserve">: Whose sermon collection </w:t>
      </w:r>
      <w:r w:rsidDel="00000000" w:rsidR="00000000" w:rsidRPr="00000000">
        <w:rPr>
          <w:rFonts w:ascii="Times New Roman" w:cs="Times New Roman" w:eastAsia="Times New Roman" w:hAnsi="Times New Roman"/>
          <w:i w:val="1"/>
          <w:iCs w:val="1"/>
          <w:color w:val="1b1b1c"/>
          <w:sz w:val="24"/>
          <w:szCs w:val="24"/>
          <w:rtl w:val="0"/>
        </w:rPr>
        <w:t xml:space="preserve">Binah La-Ittim</w:t>
      </w:r>
      <w:r w:rsidDel="00000000" w:rsidR="00000000" w:rsidRPr="00000000">
        <w:rPr>
          <w:rFonts w:ascii="Times New Roman" w:cs="Times New Roman" w:eastAsia="Times New Roman" w:hAnsi="Times New Roman"/>
          <w:color w:val="1b1b1c"/>
          <w:sz w:val="24"/>
          <w:szCs w:val="24"/>
          <w:rtl w:val="0"/>
        </w:rPr>
        <w:t xml:space="preserve"> utilized Moscato’s methods, particularly the integration of the language of science into the sermon.[6, 9]</w:t>
      </w:r>
    </w:p>
    <w:p w:rsidR="00000000" w:rsidDel="00000000" w:rsidP="00000000" w:rsidRDefault="00000000" w:rsidRPr="00000000" w14:paraId="00000081">
      <w:pPr>
        <w:numPr>
          <w:ilvl w:val="0"/>
          <w:numId w:val="5"/>
        </w:numPr>
        <w:bidi w:val="1"/>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Leone Modena</w:t>
      </w:r>
      <w:r w:rsidDel="00000000" w:rsidR="00000000" w:rsidRPr="00000000">
        <w:rPr>
          <w:rFonts w:ascii="Times New Roman" w:cs="Times New Roman" w:eastAsia="Times New Roman" w:hAnsi="Times New Roman"/>
          <w:color w:val="1b1b1c"/>
          <w:sz w:val="24"/>
          <w:szCs w:val="24"/>
          <w:rtl w:val="0"/>
        </w:rPr>
        <w:t xml:space="preserve">: A prolific and controversial figure in the Venetian Ghetto who applied Moscato’s rhetorical rules to his own famous sermons.[6, 9]</w:t>
      </w:r>
    </w:p>
    <w:p w:rsidR="00000000" w:rsidDel="00000000" w:rsidP="00000000" w:rsidRDefault="00000000" w:rsidRPr="00000000" w14:paraId="00000082">
      <w:pPr>
        <w:numPr>
          <w:ilvl w:val="0"/>
          <w:numId w:val="5"/>
        </w:numPr>
        <w:bidi w:val="1"/>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Simha Luzzatto</w:t>
      </w:r>
      <w:r w:rsidDel="00000000" w:rsidR="00000000" w:rsidRPr="00000000">
        <w:rPr>
          <w:rFonts w:ascii="Times New Roman" w:cs="Times New Roman" w:eastAsia="Times New Roman" w:hAnsi="Times New Roman"/>
          <w:color w:val="1b1b1c"/>
          <w:sz w:val="24"/>
          <w:szCs w:val="24"/>
          <w:rtl w:val="0"/>
        </w:rPr>
        <w:t xml:space="preserve">: Who, like Moscato, explored the boundaries of Jewish skeptical thought and handled the relationship between Judaism and the secular state.[4, 6]</w:t>
      </w:r>
    </w:p>
    <w:p w:rsidR="00000000" w:rsidDel="00000000" w:rsidP="00000000" w:rsidRDefault="00000000" w:rsidRPr="00000000" w14:paraId="00000083">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Moscato transformed the sermon from a tool of simple instruction into a "methodical system of ideas" that remains a guide for the modern Jewish preacher.[6] By elevating the aesthetic and intellectual quality of the homily, he ensured that the Jewish community could participate fully in the cultural life of the modern era without sacrificing their religious identity.</w:t>
      </w:r>
    </w:p>
    <w:p w:rsidR="00000000" w:rsidDel="00000000" w:rsidP="00000000" w:rsidRDefault="00000000" w:rsidRPr="00000000" w14:paraId="00000084">
      <w:pPr>
        <w:shd w:fill="ffffff" w:val="clear"/>
        <w:bidi w:val="1"/>
        <w:rPr>
          <w:rFonts w:ascii="Times New Roman" w:cs="Times New Roman" w:eastAsia="Times New Roman" w:hAnsi="Times New Roman"/>
          <w:b w:val="1"/>
          <w:bCs w:val="1"/>
          <w:color w:val="1b1b1c"/>
          <w:sz w:val="24"/>
          <w:szCs w:val="24"/>
        </w:rPr>
      </w:pPr>
      <w:r w:rsidDel="00000000" w:rsidR="00000000" w:rsidRPr="00000000">
        <w:rPr>
          <w:rFonts w:ascii="Times New Roman" w:cs="Times New Roman" w:eastAsia="Times New Roman" w:hAnsi="Times New Roman"/>
          <w:b w:val="1"/>
          <w:bCs w:val="1"/>
          <w:color w:val="1b1b1c"/>
          <w:sz w:val="24"/>
          <w:szCs w:val="24"/>
          <w:rtl w:val="0"/>
        </w:rPr>
        <w:t xml:space="preserve">Conclusion: The Integrated Vision of Rabbi Judah Moscato</w:t>
      </w:r>
    </w:p>
    <w:p w:rsidR="00000000" w:rsidDel="00000000" w:rsidP="00000000" w:rsidRDefault="00000000" w:rsidRPr="00000000" w14:paraId="00000085">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Rabbi Judah Moscato remains the definitive figure of the Italian-Jewish Renaissance because he did not merely exist between two worlds; he fundamentally denied that they were separate. His life’s work was a testament to the belief that the "universal circle" of beauty, truth, and knowledge had its origins in the Torah and reached its completion in a Jewish context.[8, 15]</w:t>
      </w:r>
    </w:p>
    <w:p w:rsidR="00000000" w:rsidDel="00000000" w:rsidP="00000000" w:rsidRDefault="00000000" w:rsidRPr="00000000" w14:paraId="00000086">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Through his revolution in homiletics, he provided the Jewish community with an aesthetic and rhetorical voice that could stand proudly alongside the masters of the Renaissance. Through his commentary on the </w:t>
      </w:r>
      <w:r w:rsidDel="00000000" w:rsidR="00000000" w:rsidRPr="00000000">
        <w:rPr>
          <w:rFonts w:ascii="Times New Roman" w:cs="Times New Roman" w:eastAsia="Times New Roman" w:hAnsi="Times New Roman"/>
          <w:i w:val="1"/>
          <w:iCs w:val="1"/>
          <w:color w:val="1b1b1c"/>
          <w:sz w:val="24"/>
          <w:szCs w:val="24"/>
          <w:rtl w:val="0"/>
        </w:rPr>
        <w:t xml:space="preserve">Kuzari</w:t>
      </w:r>
      <w:r w:rsidDel="00000000" w:rsidR="00000000" w:rsidRPr="00000000">
        <w:rPr>
          <w:rFonts w:ascii="Times New Roman" w:cs="Times New Roman" w:eastAsia="Times New Roman" w:hAnsi="Times New Roman"/>
          <w:color w:val="1b1b1c"/>
          <w:sz w:val="24"/>
          <w:szCs w:val="24"/>
          <w:rtl w:val="0"/>
        </w:rPr>
        <w:t xml:space="preserve">, he rescued medieval philosophy from obscurity and made it relevant to a new age of inquiry. And through his spiritualization of music and science, he offered a path to "intellectual perfection" that saw every discovery of the human mind as an echo of the Divine song.[7, 10] Moscato’s legacy is the vision of a Judaism that is an evolving civilization—one that is "guided by reason, inspired by compassion, and informed by experience," yet rooted eternally in the sacred tradition of Sinai.[16, 17] He was, in the truest sense, a </w:t>
      </w:r>
      <w:r w:rsidDel="00000000" w:rsidR="00000000" w:rsidRPr="00000000">
        <w:rPr>
          <w:rFonts w:ascii="Times New Roman" w:cs="Times New Roman" w:eastAsia="Times New Roman" w:hAnsi="Times New Roman"/>
          <w:i w:val="1"/>
          <w:iCs w:val="1"/>
          <w:color w:val="1b1b1c"/>
          <w:sz w:val="24"/>
          <w:szCs w:val="24"/>
          <w:rtl w:val="0"/>
        </w:rPr>
        <w:t xml:space="preserve">homo universalis</w:t>
      </w:r>
      <w:r w:rsidDel="00000000" w:rsidR="00000000" w:rsidRPr="00000000">
        <w:rPr>
          <w:rFonts w:ascii="Times New Roman" w:cs="Times New Roman" w:eastAsia="Times New Roman" w:hAnsi="Times New Roman"/>
          <w:color w:val="1b1b1c"/>
          <w:sz w:val="24"/>
          <w:szCs w:val="24"/>
          <w:rtl w:val="0"/>
        </w:rPr>
        <w:t xml:space="preserve">, who proved that the voice of Judah could resonate in harmony with the melodies of the spheres and the wisdom of the ages.</w:t>
      </w:r>
    </w:p>
    <w:p w:rsidR="00000000" w:rsidDel="00000000" w:rsidP="00000000" w:rsidRDefault="00000000" w:rsidRPr="00000000" w14:paraId="00000087">
      <w:pPr>
        <w:shd w:fill="ffffff" w:val="clear"/>
        <w:bidi w:val="1"/>
        <w:rPr>
          <w:rFonts w:ascii="Times New Roman" w:cs="Times New Roman" w:eastAsia="Times New Roman" w:hAnsi="Times New Roman"/>
          <w:color w:val="1b1b1c"/>
          <w:sz w:val="24"/>
          <w:szCs w:val="24"/>
        </w:rPr>
      </w:pPr>
      <w:r w:rsidDel="00000000" w:rsidR="00000000" w:rsidRPr="00000000">
        <w:rPr>
          <w:rFonts w:ascii="Times New Roman" w:cs="Times New Roman" w:eastAsia="Times New Roman" w:hAnsi="Times New Roman"/>
          <w:color w:val="1b1b1c"/>
          <w:sz w:val="24"/>
          <w:szCs w:val="24"/>
          <w:rtl w:val="0"/>
        </w:rPr>
        <w:t xml:space="preserve">--------------------------------------------------------------------------------</w:t>
      </w:r>
    </w:p>
    <w:p w:rsidR="00000000" w:rsidDel="00000000" w:rsidP="00000000" w:rsidRDefault="00000000" w:rsidRPr="00000000" w14:paraId="00000088">
      <w:pPr>
        <w:numPr>
          <w:ilvl w:val="0"/>
          <w:numId w:val="6"/>
        </w:numPr>
        <w:bidi w:val="1"/>
        <w:spacing w:after="0" w:afterAutospacing="0" w:lineRule="auto"/>
        <w:ind w:left="720" w:hanging="360"/>
      </w:pPr>
      <w:r w:rsidDel="00000000" w:rsidR="00000000" w:rsidRPr="00000000">
        <w:rPr>
          <w:rFonts w:ascii="Times New Roman" w:cs="Times New Roman" w:eastAsia="Times New Roman" w:hAnsi="Times New Roman"/>
          <w:color w:val="1b1b1c"/>
          <w:sz w:val="24"/>
          <w:szCs w:val="24"/>
          <w:rtl w:val="0"/>
        </w:rPr>
        <w:t xml:space="preserve">Judah Moscato - Wikipedia, </w:t>
      </w:r>
      <w:hyperlink r:id="rId6">
        <w:r w:rsidDel="00000000" w:rsidR="00000000" w:rsidRPr="00000000">
          <w:rPr>
            <w:rFonts w:ascii="Times New Roman" w:cs="Times New Roman" w:eastAsia="Times New Roman" w:hAnsi="Times New Roman"/>
            <w:color w:val="4259ff"/>
            <w:sz w:val="24"/>
            <w:szCs w:val="24"/>
            <w:u w:val="single"/>
            <w:rtl w:val="0"/>
          </w:rPr>
          <w:t xml:space="preserve">https://en.wikipedia.org/wiki/Judah_Moscato</w:t>
        </w:r>
      </w:hyperlink>
      <w:r w:rsidDel="00000000" w:rsidR="00000000" w:rsidRPr="00000000">
        <w:rPr>
          <w:rtl w:val="0"/>
        </w:rPr>
      </w:r>
    </w:p>
    <w:p w:rsidR="00000000" w:rsidDel="00000000" w:rsidP="00000000" w:rsidRDefault="00000000" w:rsidRPr="00000000" w14:paraId="00000089">
      <w:pPr>
        <w:numPr>
          <w:ilvl w:val="0"/>
          <w:numId w:val="6"/>
        </w:numPr>
        <w:bidi w:val="1"/>
        <w:spacing w:after="0" w:afterAutospacing="0" w:lineRule="auto"/>
        <w:ind w:left="720" w:hanging="360"/>
      </w:pPr>
      <w:r w:rsidDel="00000000" w:rsidR="00000000" w:rsidRPr="00000000">
        <w:rPr>
          <w:rFonts w:ascii="Times New Roman" w:cs="Times New Roman" w:eastAsia="Times New Roman" w:hAnsi="Times New Roman"/>
          <w:color w:val="1b1b1c"/>
          <w:sz w:val="24"/>
          <w:szCs w:val="24"/>
          <w:rtl w:val="0"/>
        </w:rPr>
        <w:t xml:space="preserve">Moscato, Judah ben Joseph, approximately 1530-approximately 1593 | The Online Books Page, </w:t>
      </w:r>
      <w:hyperlink r:id="rId7">
        <w:r w:rsidDel="00000000" w:rsidR="00000000" w:rsidRPr="00000000">
          <w:rPr>
            <w:rFonts w:ascii="Times New Roman" w:cs="Times New Roman" w:eastAsia="Times New Roman" w:hAnsi="Times New Roman"/>
            <w:color w:val="4259ff"/>
            <w:sz w:val="24"/>
            <w:szCs w:val="24"/>
            <w:u w:val="single"/>
            <w:rtl w:val="0"/>
          </w:rPr>
          <w:t xml:space="preserve">https://onlinebooks.library.upenn.edu/webbin/who/Moscato%2C%20Judah%20ben%20Joseph%2C%20approximately%201530-approximately%201593</w:t>
        </w:r>
      </w:hyperlink>
      <w:r w:rsidDel="00000000" w:rsidR="00000000" w:rsidRPr="00000000">
        <w:rPr>
          <w:rtl w:val="0"/>
        </w:rPr>
      </w:r>
    </w:p>
    <w:p w:rsidR="00000000" w:rsidDel="00000000" w:rsidP="00000000" w:rsidRDefault="00000000" w:rsidRPr="00000000" w14:paraId="0000008A">
      <w:pPr>
        <w:numPr>
          <w:ilvl w:val="0"/>
          <w:numId w:val="6"/>
        </w:numPr>
        <w:bidi w:val="1"/>
        <w:spacing w:after="0" w:afterAutospacing="0" w:lineRule="auto"/>
        <w:ind w:left="720" w:hanging="360"/>
      </w:pPr>
      <w:r w:rsidDel="00000000" w:rsidR="00000000" w:rsidRPr="00000000">
        <w:rPr>
          <w:rFonts w:ascii="Times New Roman" w:cs="Times New Roman" w:eastAsia="Times New Roman" w:hAnsi="Times New Roman"/>
          <w:color w:val="1b1b1c"/>
          <w:sz w:val="24"/>
          <w:szCs w:val="24"/>
          <w:rtl w:val="0"/>
        </w:rPr>
        <w:t xml:space="preserve">Moscato, Judah ben Joseph | Encyclopedia.com, </w:t>
      </w:r>
      <w:hyperlink r:id="rId8">
        <w:r w:rsidDel="00000000" w:rsidR="00000000" w:rsidRPr="00000000">
          <w:rPr>
            <w:rFonts w:ascii="Times New Roman" w:cs="Times New Roman" w:eastAsia="Times New Roman" w:hAnsi="Times New Roman"/>
            <w:color w:val="4259ff"/>
            <w:sz w:val="24"/>
            <w:szCs w:val="24"/>
            <w:u w:val="single"/>
            <w:rtl w:val="0"/>
          </w:rPr>
          <w:t xml:space="preserve">https://www.encyclopedia.com/religion/encyclopedias-almanacs-transcripts-and-maps/moscato-judah-ben-joseph</w:t>
        </w:r>
      </w:hyperlink>
      <w:r w:rsidDel="00000000" w:rsidR="00000000" w:rsidRPr="00000000">
        <w:rPr>
          <w:rtl w:val="0"/>
        </w:rPr>
      </w:r>
    </w:p>
    <w:p w:rsidR="00000000" w:rsidDel="00000000" w:rsidP="00000000" w:rsidRDefault="00000000" w:rsidRPr="00000000" w14:paraId="0000008B">
      <w:pPr>
        <w:numPr>
          <w:ilvl w:val="0"/>
          <w:numId w:val="6"/>
        </w:numPr>
        <w:bidi w:val="1"/>
        <w:spacing w:after="0" w:afterAutospacing="0" w:lineRule="auto"/>
        <w:ind w:left="720" w:hanging="360"/>
      </w:pPr>
      <w:r w:rsidDel="00000000" w:rsidR="00000000" w:rsidRPr="00000000">
        <w:rPr>
          <w:rFonts w:ascii="Times New Roman" w:cs="Times New Roman" w:eastAsia="Times New Roman" w:hAnsi="Times New Roman"/>
          <w:color w:val="1b1b1c"/>
          <w:sz w:val="24"/>
          <w:szCs w:val="24"/>
          <w:rtl w:val="0"/>
        </w:rPr>
        <w:t xml:space="preserve">Rabbi Judah Moscato and the Jewish Intellectual World of Mantua in ..., </w:t>
      </w:r>
      <w:hyperlink r:id="rId9">
        <w:r w:rsidDel="00000000" w:rsidR="00000000" w:rsidRPr="00000000">
          <w:rPr>
            <w:rFonts w:ascii="Times New Roman" w:cs="Times New Roman" w:eastAsia="Times New Roman" w:hAnsi="Times New Roman"/>
            <w:color w:val="4259ff"/>
            <w:sz w:val="24"/>
            <w:szCs w:val="24"/>
            <w:u w:val="single"/>
            <w:rtl w:val="0"/>
          </w:rPr>
          <w:t xml:space="preserve">https://brill.com/abstract/title/21180</w:t>
        </w:r>
      </w:hyperlink>
      <w:r w:rsidDel="00000000" w:rsidR="00000000" w:rsidRPr="00000000">
        <w:rPr>
          <w:rtl w:val="0"/>
        </w:rPr>
      </w:r>
    </w:p>
    <w:p w:rsidR="00000000" w:rsidDel="00000000" w:rsidP="00000000" w:rsidRDefault="00000000" w:rsidRPr="00000000" w14:paraId="0000008C">
      <w:pPr>
        <w:numPr>
          <w:ilvl w:val="0"/>
          <w:numId w:val="6"/>
        </w:numPr>
        <w:bidi w:val="1"/>
        <w:spacing w:after="0" w:afterAutospacing="0" w:lineRule="auto"/>
        <w:ind w:left="720" w:hanging="360"/>
      </w:pPr>
      <w:r w:rsidDel="00000000" w:rsidR="00000000" w:rsidRPr="00000000">
        <w:rPr>
          <w:rFonts w:ascii="Times New Roman" w:cs="Times New Roman" w:eastAsia="Times New Roman" w:hAnsi="Times New Roman"/>
          <w:color w:val="1b1b1c"/>
          <w:sz w:val="24"/>
          <w:szCs w:val="24"/>
          <w:rtl w:val="0"/>
        </w:rPr>
        <w:t xml:space="preserve">Rabbi Judah Moscato and the Jewish Intellectual World of Mantua in the 16th–17th Centuries - Brill, </w:t>
      </w:r>
      <w:hyperlink r:id="rId10">
        <w:r w:rsidDel="00000000" w:rsidR="00000000" w:rsidRPr="00000000">
          <w:rPr>
            <w:rFonts w:ascii="Times New Roman" w:cs="Times New Roman" w:eastAsia="Times New Roman" w:hAnsi="Times New Roman"/>
            <w:color w:val="4259ff"/>
            <w:sz w:val="24"/>
            <w:szCs w:val="24"/>
            <w:u w:val="single"/>
            <w:rtl w:val="0"/>
          </w:rPr>
          <w:t xml:space="preserve">https://brill.com/display/book/edcoll/9789004222465/B9789004222465-s001.pdf</w:t>
        </w:r>
      </w:hyperlink>
      <w:r w:rsidDel="00000000" w:rsidR="00000000" w:rsidRPr="00000000">
        <w:rPr>
          <w:rtl w:val="0"/>
        </w:rPr>
      </w:r>
    </w:p>
    <w:p w:rsidR="00000000" w:rsidDel="00000000" w:rsidP="00000000" w:rsidRDefault="00000000" w:rsidRPr="00000000" w14:paraId="0000008D">
      <w:pPr>
        <w:numPr>
          <w:ilvl w:val="0"/>
          <w:numId w:val="6"/>
        </w:numPr>
        <w:bidi w:val="1"/>
        <w:spacing w:after="0" w:afterAutospacing="0" w:lineRule="auto"/>
        <w:ind w:left="720" w:hanging="360"/>
      </w:pPr>
      <w:r w:rsidDel="00000000" w:rsidR="00000000" w:rsidRPr="00000000">
        <w:rPr>
          <w:rFonts w:ascii="Times New Roman" w:cs="Times New Roman" w:eastAsia="Times New Roman" w:hAnsi="Times New Roman"/>
          <w:color w:val="1b1b1c"/>
          <w:sz w:val="24"/>
          <w:szCs w:val="24"/>
          <w:rtl w:val="1"/>
        </w:rPr>
        <w:t xml:space="preserve">יהודה</w:t>
      </w:r>
      <w:r w:rsidDel="00000000" w:rsidR="00000000" w:rsidRPr="00000000">
        <w:rPr>
          <w:rFonts w:ascii="Times New Roman" w:cs="Times New Roman" w:eastAsia="Times New Roman" w:hAnsi="Times New Roman"/>
          <w:color w:val="1b1b1c"/>
          <w:sz w:val="24"/>
          <w:szCs w:val="24"/>
          <w:rtl w:val="1"/>
        </w:rPr>
        <w:t xml:space="preserve"> </w:t>
      </w:r>
      <w:r w:rsidDel="00000000" w:rsidR="00000000" w:rsidRPr="00000000">
        <w:rPr>
          <w:rFonts w:ascii="Times New Roman" w:cs="Times New Roman" w:eastAsia="Times New Roman" w:hAnsi="Times New Roman"/>
          <w:color w:val="1b1b1c"/>
          <w:sz w:val="24"/>
          <w:szCs w:val="24"/>
          <w:rtl w:val="1"/>
        </w:rPr>
        <w:t xml:space="preserve">מוסקאטו</w:t>
      </w:r>
      <w:r w:rsidDel="00000000" w:rsidR="00000000" w:rsidRPr="00000000">
        <w:rPr>
          <w:rFonts w:ascii="Times New Roman" w:cs="Times New Roman" w:eastAsia="Times New Roman" w:hAnsi="Times New Roman"/>
          <w:color w:val="1b1b1c"/>
          <w:sz w:val="24"/>
          <w:szCs w:val="24"/>
          <w:rtl w:val="1"/>
        </w:rPr>
        <w:t xml:space="preserve"> - </w:t>
      </w:r>
      <w:r w:rsidDel="00000000" w:rsidR="00000000" w:rsidRPr="00000000">
        <w:rPr>
          <w:rFonts w:ascii="Times New Roman" w:cs="Times New Roman" w:eastAsia="Times New Roman" w:hAnsi="Times New Roman"/>
          <w:color w:val="1b1b1c"/>
          <w:sz w:val="24"/>
          <w:szCs w:val="24"/>
          <w:rtl w:val="1"/>
        </w:rPr>
        <w:t xml:space="preserve">ויקיפדיה</w:t>
      </w:r>
      <w:r w:rsidDel="00000000" w:rsidR="00000000" w:rsidRPr="00000000">
        <w:rPr>
          <w:rFonts w:ascii="Times New Roman" w:cs="Times New Roman" w:eastAsia="Times New Roman" w:hAnsi="Times New Roman"/>
          <w:color w:val="1b1b1c"/>
          <w:sz w:val="24"/>
          <w:szCs w:val="24"/>
          <w:rtl w:val="1"/>
        </w:rPr>
        <w:t xml:space="preserve">, </w:t>
      </w:r>
      <w:hyperlink r:id="rId11">
        <w:r w:rsidDel="00000000" w:rsidR="00000000" w:rsidRPr="00000000">
          <w:rPr>
            <w:rFonts w:ascii="Times New Roman" w:cs="Times New Roman" w:eastAsia="Times New Roman" w:hAnsi="Times New Roman"/>
            <w:color w:val="4259ff"/>
            <w:sz w:val="24"/>
            <w:szCs w:val="24"/>
            <w:u w:val="single"/>
            <w:rtl w:val="0"/>
          </w:rPr>
          <w:t xml:space="preserve">https://he.wikipedia.org/wiki/%D7%99%D7%94%D7%95%D7%93%D7%94_%D7%9E%D7%95%D7%A1%D7%A7%D7%90%D7%98%D7%95</w:t>
        </w:r>
      </w:hyperlink>
      <w:r w:rsidDel="00000000" w:rsidR="00000000" w:rsidRPr="00000000">
        <w:rPr>
          <w:rtl w:val="0"/>
        </w:rPr>
      </w:r>
    </w:p>
    <w:p w:rsidR="00000000" w:rsidDel="00000000" w:rsidP="00000000" w:rsidRDefault="00000000" w:rsidRPr="00000000" w14:paraId="0000008E">
      <w:pPr>
        <w:numPr>
          <w:ilvl w:val="0"/>
          <w:numId w:val="6"/>
        </w:numPr>
        <w:bidi w:val="1"/>
        <w:spacing w:after="0" w:afterAutospacing="0" w:lineRule="auto"/>
        <w:ind w:left="720" w:hanging="360"/>
      </w:pPr>
      <w:r w:rsidDel="00000000" w:rsidR="00000000" w:rsidRPr="00000000">
        <w:rPr>
          <w:rFonts w:ascii="Times New Roman" w:cs="Times New Roman" w:eastAsia="Times New Roman" w:hAnsi="Times New Roman"/>
          <w:color w:val="1b1b1c"/>
          <w:sz w:val="24"/>
          <w:szCs w:val="24"/>
          <w:rtl w:val="0"/>
        </w:rPr>
        <w:t xml:space="preserve">Judah Moscato - Bar-Ilan University, </w:t>
      </w:r>
      <w:hyperlink r:id="rId12">
        <w:r w:rsidDel="00000000" w:rsidR="00000000" w:rsidRPr="00000000">
          <w:rPr>
            <w:rFonts w:ascii="Times New Roman" w:cs="Times New Roman" w:eastAsia="Times New Roman" w:hAnsi="Times New Roman"/>
            <w:color w:val="4259ff"/>
            <w:sz w:val="24"/>
            <w:szCs w:val="24"/>
            <w:u w:val="single"/>
            <w:rtl w:val="0"/>
          </w:rPr>
          <w:t xml:space="preserve">https://cris.biu.ac.il/en/publications/judah-moscato</w:t>
        </w:r>
      </w:hyperlink>
      <w:r w:rsidDel="00000000" w:rsidR="00000000" w:rsidRPr="00000000">
        <w:rPr>
          <w:rtl w:val="0"/>
        </w:rPr>
      </w:r>
    </w:p>
    <w:p w:rsidR="00000000" w:rsidDel="00000000" w:rsidP="00000000" w:rsidRDefault="00000000" w:rsidRPr="00000000" w14:paraId="0000008F">
      <w:pPr>
        <w:numPr>
          <w:ilvl w:val="0"/>
          <w:numId w:val="6"/>
        </w:numPr>
        <w:bidi w:val="1"/>
        <w:spacing w:after="0" w:afterAutospacing="0" w:lineRule="auto"/>
        <w:ind w:left="720" w:hanging="360"/>
      </w:pPr>
      <w:r w:rsidDel="00000000" w:rsidR="00000000" w:rsidRPr="00000000">
        <w:rPr>
          <w:rFonts w:ascii="Times New Roman" w:cs="Times New Roman" w:eastAsia="Times New Roman" w:hAnsi="Times New Roman"/>
          <w:color w:val="1b1b1c"/>
          <w:sz w:val="24"/>
          <w:szCs w:val="24"/>
          <w:rtl w:val="0"/>
        </w:rPr>
        <w:t xml:space="preserve">(PDF) Moscato, Judah - Academia.edu, </w:t>
      </w:r>
      <w:hyperlink r:id="rId13">
        <w:r w:rsidDel="00000000" w:rsidR="00000000" w:rsidRPr="00000000">
          <w:rPr>
            <w:rFonts w:ascii="Times New Roman" w:cs="Times New Roman" w:eastAsia="Times New Roman" w:hAnsi="Times New Roman"/>
            <w:color w:val="4259ff"/>
            <w:sz w:val="24"/>
            <w:szCs w:val="24"/>
            <w:u w:val="single"/>
            <w:rtl w:val="0"/>
          </w:rPr>
          <w:t xml:space="preserve">https://www.academia.edu/38565728/Moscato_Judah</w:t>
        </w:r>
      </w:hyperlink>
      <w:r w:rsidDel="00000000" w:rsidR="00000000" w:rsidRPr="00000000">
        <w:rPr>
          <w:rtl w:val="0"/>
        </w:rPr>
      </w:r>
    </w:p>
    <w:p w:rsidR="00000000" w:rsidDel="00000000" w:rsidP="00000000" w:rsidRDefault="00000000" w:rsidRPr="00000000" w14:paraId="00000090">
      <w:pPr>
        <w:numPr>
          <w:ilvl w:val="0"/>
          <w:numId w:val="6"/>
        </w:numPr>
        <w:bidi w:val="1"/>
        <w:spacing w:after="0" w:afterAutospacing="0" w:lineRule="auto"/>
        <w:ind w:left="720" w:hanging="360"/>
      </w:pPr>
      <w:r w:rsidDel="00000000" w:rsidR="00000000" w:rsidRPr="00000000">
        <w:rPr>
          <w:rFonts w:ascii="Times New Roman" w:cs="Times New Roman" w:eastAsia="Times New Roman" w:hAnsi="Times New Roman"/>
          <w:color w:val="1b1b1c"/>
          <w:sz w:val="24"/>
          <w:szCs w:val="24"/>
          <w:rtl w:val="0"/>
        </w:rPr>
        <w:t xml:space="preserve">Preachers of the Italian Ghetto - UC Press E-Books Collection, </w:t>
      </w:r>
      <w:hyperlink r:id="rId14">
        <w:r w:rsidDel="00000000" w:rsidR="00000000" w:rsidRPr="00000000">
          <w:rPr>
            <w:rFonts w:ascii="Times New Roman" w:cs="Times New Roman" w:eastAsia="Times New Roman" w:hAnsi="Times New Roman"/>
            <w:color w:val="4259ff"/>
            <w:sz w:val="24"/>
            <w:szCs w:val="24"/>
            <w:u w:val="single"/>
            <w:rtl w:val="0"/>
          </w:rPr>
          <w:t xml:space="preserve">https://publishing.cdlib.org/ucpressebooks/view?docId=ft829008np&amp;chunk.id=ch5&amp;toc.id=ch5&amp;brand=eschol</w:t>
        </w:r>
      </w:hyperlink>
      <w:r w:rsidDel="00000000" w:rsidR="00000000" w:rsidRPr="00000000">
        <w:rPr>
          <w:rtl w:val="0"/>
        </w:rPr>
      </w:r>
    </w:p>
    <w:p w:rsidR="00000000" w:rsidDel="00000000" w:rsidP="00000000" w:rsidRDefault="00000000" w:rsidRPr="00000000" w14:paraId="00000091">
      <w:pPr>
        <w:numPr>
          <w:ilvl w:val="0"/>
          <w:numId w:val="6"/>
        </w:numPr>
        <w:bidi w:val="1"/>
        <w:spacing w:after="0" w:afterAutospacing="0" w:lineRule="auto"/>
        <w:ind w:left="720" w:hanging="360"/>
      </w:pPr>
      <w:r w:rsidDel="00000000" w:rsidR="00000000" w:rsidRPr="00000000">
        <w:rPr>
          <w:rFonts w:ascii="Times New Roman" w:cs="Times New Roman" w:eastAsia="Times New Roman" w:hAnsi="Times New Roman"/>
          <w:color w:val="1b1b1c"/>
          <w:sz w:val="24"/>
          <w:szCs w:val="24"/>
          <w:rtl w:val="0"/>
        </w:rPr>
        <w:t xml:space="preserve">Judah Moscato on the Spirituality of Music - Brill, </w:t>
      </w:r>
      <w:hyperlink r:id="rId15">
        <w:r w:rsidDel="00000000" w:rsidR="00000000" w:rsidRPr="00000000">
          <w:rPr>
            <w:rFonts w:ascii="Times New Roman" w:cs="Times New Roman" w:eastAsia="Times New Roman" w:hAnsi="Times New Roman"/>
            <w:color w:val="4259ff"/>
            <w:sz w:val="24"/>
            <w:szCs w:val="24"/>
            <w:u w:val="single"/>
            <w:rtl w:val="0"/>
          </w:rPr>
          <w:t xml:space="preserve">https://brill.com/display/book/9789004283640/B9789004283640_003.pdf</w:t>
        </w:r>
      </w:hyperlink>
      <w:r w:rsidDel="00000000" w:rsidR="00000000" w:rsidRPr="00000000">
        <w:rPr>
          <w:rtl w:val="0"/>
        </w:rPr>
      </w:r>
    </w:p>
    <w:p w:rsidR="00000000" w:rsidDel="00000000" w:rsidP="00000000" w:rsidRDefault="00000000" w:rsidRPr="00000000" w14:paraId="00000092">
      <w:pPr>
        <w:numPr>
          <w:ilvl w:val="0"/>
          <w:numId w:val="6"/>
        </w:numPr>
        <w:bidi w:val="1"/>
        <w:spacing w:after="0" w:afterAutospacing="0" w:lineRule="auto"/>
        <w:ind w:left="720" w:hanging="360"/>
      </w:pPr>
      <w:r w:rsidDel="00000000" w:rsidR="00000000" w:rsidRPr="00000000">
        <w:rPr>
          <w:rFonts w:ascii="Times New Roman" w:cs="Times New Roman" w:eastAsia="Times New Roman" w:hAnsi="Times New Roman"/>
          <w:color w:val="1b1b1c"/>
          <w:sz w:val="24"/>
          <w:szCs w:val="24"/>
          <w:rtl w:val="0"/>
        </w:rPr>
        <w:t xml:space="preserve">(PDF) The Kuzari and Early Kabbalah: Between Integration and Interpretation regarding the Secrets of the Sacrificial Rite - ResearchGate, </w:t>
      </w:r>
      <w:hyperlink r:id="rId16">
        <w:r w:rsidDel="00000000" w:rsidR="00000000" w:rsidRPr="00000000">
          <w:rPr>
            <w:rFonts w:ascii="Times New Roman" w:cs="Times New Roman" w:eastAsia="Times New Roman" w:hAnsi="Times New Roman"/>
            <w:color w:val="4259ff"/>
            <w:sz w:val="24"/>
            <w:szCs w:val="24"/>
            <w:u w:val="single"/>
            <w:rtl w:val="0"/>
          </w:rPr>
          <w:t xml:space="preserve">https://www.researchgate.net/publication/370380924_The_Kuzari_and_Early_Kabbalah_Between_Integration_and_Interpretation_regarding_the_Secrets_of_the_Sacrificial_Rite</w:t>
        </w:r>
      </w:hyperlink>
      <w:r w:rsidDel="00000000" w:rsidR="00000000" w:rsidRPr="00000000">
        <w:rPr>
          <w:rtl w:val="0"/>
        </w:rPr>
      </w:r>
    </w:p>
    <w:p w:rsidR="00000000" w:rsidDel="00000000" w:rsidP="00000000" w:rsidRDefault="00000000" w:rsidRPr="00000000" w14:paraId="00000093">
      <w:pPr>
        <w:numPr>
          <w:ilvl w:val="0"/>
          <w:numId w:val="6"/>
        </w:numPr>
        <w:bidi w:val="1"/>
        <w:spacing w:after="0" w:afterAutospacing="0" w:lineRule="auto"/>
        <w:ind w:left="720" w:hanging="360"/>
      </w:pPr>
      <w:r w:rsidDel="00000000" w:rsidR="00000000" w:rsidRPr="00000000">
        <w:rPr>
          <w:rFonts w:ascii="Times New Roman" w:cs="Times New Roman" w:eastAsia="Times New Roman" w:hAnsi="Times New Roman"/>
          <w:color w:val="1b1b1c"/>
          <w:sz w:val="24"/>
          <w:szCs w:val="24"/>
          <w:rtl w:val="0"/>
        </w:rPr>
        <w:t xml:space="preserve">Azariah de' Rossi's Annotations on Sefer ha-Kuzari: Identification and Preliminary Analysis, </w:t>
      </w:r>
      <w:hyperlink r:id="rId17">
        <w:r w:rsidDel="00000000" w:rsidR="00000000" w:rsidRPr="00000000">
          <w:rPr>
            <w:rFonts w:ascii="Times New Roman" w:cs="Times New Roman" w:eastAsia="Times New Roman" w:hAnsi="Times New Roman"/>
            <w:color w:val="4259ff"/>
            <w:sz w:val="24"/>
            <w:szCs w:val="24"/>
            <w:u w:val="single"/>
            <w:rtl w:val="0"/>
          </w:rPr>
          <w:t xml:space="preserve">https://seforimblog.com/2025/03/azariah-de-rossis-annotations-on-sefer-ha-kuzari-identification-and-preliminary-analysis/</w:t>
        </w:r>
      </w:hyperlink>
      <w:r w:rsidDel="00000000" w:rsidR="00000000" w:rsidRPr="00000000">
        <w:rPr>
          <w:rtl w:val="0"/>
        </w:rPr>
      </w:r>
    </w:p>
    <w:p w:rsidR="00000000" w:rsidDel="00000000" w:rsidP="00000000" w:rsidRDefault="00000000" w:rsidRPr="00000000" w14:paraId="00000094">
      <w:pPr>
        <w:numPr>
          <w:ilvl w:val="0"/>
          <w:numId w:val="6"/>
        </w:numPr>
        <w:bidi w:val="1"/>
        <w:spacing w:after="0" w:afterAutospacing="0" w:lineRule="auto"/>
        <w:ind w:left="720" w:hanging="360"/>
      </w:pPr>
      <w:r w:rsidDel="00000000" w:rsidR="00000000" w:rsidRPr="00000000">
        <w:rPr>
          <w:rFonts w:ascii="Times New Roman" w:cs="Times New Roman" w:eastAsia="Times New Roman" w:hAnsi="Times New Roman"/>
          <w:color w:val="1b1b1c"/>
          <w:sz w:val="24"/>
          <w:szCs w:val="24"/>
          <w:rtl w:val="0"/>
        </w:rPr>
        <w:t xml:space="preserve">Renaissance Philosophy in Jewish Garb - Brill, </w:t>
      </w:r>
      <w:hyperlink r:id="rId18">
        <w:r w:rsidDel="00000000" w:rsidR="00000000" w:rsidRPr="00000000">
          <w:rPr>
            <w:rFonts w:ascii="Times New Roman" w:cs="Times New Roman" w:eastAsia="Times New Roman" w:hAnsi="Times New Roman"/>
            <w:color w:val="4259ff"/>
            <w:sz w:val="24"/>
            <w:szCs w:val="24"/>
            <w:u w:val="single"/>
            <w:rtl w:val="0"/>
          </w:rPr>
          <w:t xml:space="preserve">https://brill.com/display/book/9789047425281/9789047425281_webready_content_text.pdf</w:t>
        </w:r>
      </w:hyperlink>
      <w:r w:rsidDel="00000000" w:rsidR="00000000" w:rsidRPr="00000000">
        <w:rPr>
          <w:rtl w:val="0"/>
        </w:rPr>
      </w:r>
    </w:p>
    <w:p w:rsidR="00000000" w:rsidDel="00000000" w:rsidP="00000000" w:rsidRDefault="00000000" w:rsidRPr="00000000" w14:paraId="00000095">
      <w:pPr>
        <w:numPr>
          <w:ilvl w:val="0"/>
          <w:numId w:val="6"/>
        </w:numPr>
        <w:bidi w:val="1"/>
        <w:spacing w:after="0" w:afterAutospacing="0" w:lineRule="auto"/>
        <w:ind w:left="720" w:hanging="360"/>
      </w:pPr>
      <w:r w:rsidDel="00000000" w:rsidR="00000000" w:rsidRPr="00000000">
        <w:rPr>
          <w:rFonts w:ascii="Times New Roman" w:cs="Times New Roman" w:eastAsia="Times New Roman" w:hAnsi="Times New Roman"/>
          <w:color w:val="1b1b1c"/>
          <w:sz w:val="24"/>
          <w:szCs w:val="24"/>
          <w:rtl w:val="0"/>
        </w:rPr>
        <w:t xml:space="preserve">Modern Jewish historiography - Wikipedia, </w:t>
      </w:r>
      <w:hyperlink r:id="rId19">
        <w:r w:rsidDel="00000000" w:rsidR="00000000" w:rsidRPr="00000000">
          <w:rPr>
            <w:rFonts w:ascii="Times New Roman" w:cs="Times New Roman" w:eastAsia="Times New Roman" w:hAnsi="Times New Roman"/>
            <w:color w:val="4259ff"/>
            <w:sz w:val="24"/>
            <w:szCs w:val="24"/>
            <w:u w:val="single"/>
            <w:rtl w:val="0"/>
          </w:rPr>
          <w:t xml:space="preserve">https://en.wikipedia.org/wiki/Modern_Jewish_historiography</w:t>
        </w:r>
      </w:hyperlink>
      <w:r w:rsidDel="00000000" w:rsidR="00000000" w:rsidRPr="00000000">
        <w:rPr>
          <w:rtl w:val="0"/>
        </w:rPr>
      </w:r>
    </w:p>
    <w:p w:rsidR="00000000" w:rsidDel="00000000" w:rsidP="00000000" w:rsidRDefault="00000000" w:rsidRPr="00000000" w14:paraId="00000096">
      <w:pPr>
        <w:numPr>
          <w:ilvl w:val="0"/>
          <w:numId w:val="6"/>
        </w:numPr>
        <w:bidi w:val="1"/>
        <w:spacing w:after="0" w:afterAutospacing="0" w:lineRule="auto"/>
        <w:ind w:left="720" w:hanging="360"/>
      </w:pPr>
      <w:r w:rsidDel="00000000" w:rsidR="00000000" w:rsidRPr="00000000">
        <w:rPr>
          <w:rFonts w:ascii="Times New Roman" w:cs="Times New Roman" w:eastAsia="Times New Roman" w:hAnsi="Times New Roman"/>
          <w:color w:val="1b1b1c"/>
          <w:sz w:val="24"/>
          <w:szCs w:val="24"/>
          <w:rtl w:val="0"/>
        </w:rPr>
        <w:t xml:space="preserve">Transforming the Maimonidean Imagination: Aesthetics in the Renaissance Thought of Judah Abravanel | Harvard Theological Review - Cambridge University Press, </w:t>
      </w:r>
      <w:hyperlink r:id="rId20">
        <w:r w:rsidDel="00000000" w:rsidR="00000000" w:rsidRPr="00000000">
          <w:rPr>
            <w:rFonts w:ascii="Times New Roman" w:cs="Times New Roman" w:eastAsia="Times New Roman" w:hAnsi="Times New Roman"/>
            <w:color w:val="4259ff"/>
            <w:sz w:val="24"/>
            <w:szCs w:val="24"/>
            <w:u w:val="single"/>
            <w:rtl w:val="0"/>
          </w:rPr>
          <w:t xml:space="preserve">https://www.cambridge.org/core/journals/harvard-theological-review/article/transforming-the-maimonidean-imagination-aesthetics-in-the-renaissance-thought-of-judah-abravanel/B6D41D4B8E1ACD3D64F1B44B9AD48411</w:t>
        </w:r>
      </w:hyperlink>
      <w:r w:rsidDel="00000000" w:rsidR="00000000" w:rsidRPr="00000000">
        <w:rPr>
          <w:rtl w:val="0"/>
        </w:rPr>
      </w:r>
    </w:p>
    <w:p w:rsidR="00000000" w:rsidDel="00000000" w:rsidP="00000000" w:rsidRDefault="00000000" w:rsidRPr="00000000" w14:paraId="00000097">
      <w:pPr>
        <w:numPr>
          <w:ilvl w:val="0"/>
          <w:numId w:val="6"/>
        </w:numPr>
        <w:bidi w:val="1"/>
        <w:spacing w:after="0" w:afterAutospacing="0" w:lineRule="auto"/>
        <w:ind w:left="720" w:hanging="360"/>
      </w:pPr>
      <w:r w:rsidDel="00000000" w:rsidR="00000000" w:rsidRPr="00000000">
        <w:rPr>
          <w:rFonts w:ascii="Times New Roman" w:cs="Times New Roman" w:eastAsia="Times New Roman" w:hAnsi="Times New Roman"/>
          <w:color w:val="1b1b1c"/>
          <w:sz w:val="24"/>
          <w:szCs w:val="24"/>
          <w:rtl w:val="0"/>
        </w:rPr>
        <w:t xml:space="preserve">THE LIBRARY OF SECULAR HUMANISTIC JUDAISM, </w:t>
      </w:r>
      <w:hyperlink r:id="rId21">
        <w:r w:rsidDel="00000000" w:rsidR="00000000" w:rsidRPr="00000000">
          <w:rPr>
            <w:rFonts w:ascii="Times New Roman" w:cs="Times New Roman" w:eastAsia="Times New Roman" w:hAnsi="Times New Roman"/>
            <w:color w:val="4259ff"/>
            <w:sz w:val="24"/>
            <w:szCs w:val="24"/>
            <w:u w:val="single"/>
            <w:rtl w:val="0"/>
          </w:rPr>
          <w:t xml:space="preserve">https://iishj.org/wp-content/uploads/2025/02/IISHJ-Pub-Cat-2024-all-pages-single.pdf</w:t>
        </w:r>
      </w:hyperlink>
      <w:r w:rsidDel="00000000" w:rsidR="00000000" w:rsidRPr="00000000">
        <w:rPr>
          <w:rtl w:val="0"/>
        </w:rPr>
      </w:r>
    </w:p>
    <w:p w:rsidR="00000000" w:rsidDel="00000000" w:rsidP="00000000" w:rsidRDefault="00000000" w:rsidRPr="00000000" w14:paraId="00000098">
      <w:pPr>
        <w:numPr>
          <w:ilvl w:val="0"/>
          <w:numId w:val="6"/>
        </w:numPr>
        <w:bidi w:val="1"/>
        <w:spacing w:after="180" w:lineRule="auto"/>
        <w:ind w:left="720" w:hanging="360"/>
      </w:pPr>
      <w:r w:rsidDel="00000000" w:rsidR="00000000" w:rsidRPr="00000000">
        <w:rPr>
          <w:rFonts w:ascii="Times New Roman" w:cs="Times New Roman" w:eastAsia="Times New Roman" w:hAnsi="Times New Roman"/>
          <w:color w:val="1b1b1c"/>
          <w:sz w:val="24"/>
          <w:szCs w:val="24"/>
          <w:rtl w:val="0"/>
        </w:rPr>
        <w:t xml:space="preserve">Humanist Common Ground: Judaism, </w:t>
      </w:r>
      <w:hyperlink r:id="rId22">
        <w:r w:rsidDel="00000000" w:rsidR="00000000" w:rsidRPr="00000000">
          <w:rPr>
            <w:rFonts w:ascii="Times New Roman" w:cs="Times New Roman" w:eastAsia="Times New Roman" w:hAnsi="Times New Roman"/>
            <w:color w:val="4259ff"/>
            <w:sz w:val="24"/>
            <w:szCs w:val="24"/>
            <w:u w:val="single"/>
            <w:rtl w:val="0"/>
          </w:rPr>
          <w:t xml:space="preserve">https://americanhumanist.org/paths/judaism/</w:t>
        </w:r>
      </w:hyperlink>
      <w:r w:rsidDel="00000000" w:rsidR="00000000" w:rsidRPr="00000000">
        <w:rPr>
          <w:rtl w:val="0"/>
        </w:rPr>
      </w:r>
    </w:p>
    <w:p w:rsidR="00000000" w:rsidDel="00000000" w:rsidP="00000000" w:rsidRDefault="00000000" w:rsidRPr="00000000" w14:paraId="00000099">
      <w:pPr>
        <w:bidi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ambridge.org/core/journals/harvard-theological-review/article/transforming-the-maimonidean-imagination-aesthetics-in-the-renaissance-thought-of-judah-abravanel/B6D41D4B8E1ACD3D64F1B44B9AD48411" TargetMode="External"/><Relationship Id="rId11" Type="http://schemas.openxmlformats.org/officeDocument/2006/relationships/hyperlink" Target="https://he.wikipedia.org/wiki/%D7%99%D7%94%D7%95%D7%93%D7%94_%D7%9E%D7%95%D7%A1%D7%A7%D7%90%D7%98%D7%95" TargetMode="External"/><Relationship Id="rId22" Type="http://schemas.openxmlformats.org/officeDocument/2006/relationships/hyperlink" Target="https://americanhumanist.org/paths/judaism/" TargetMode="External"/><Relationship Id="rId10" Type="http://schemas.openxmlformats.org/officeDocument/2006/relationships/hyperlink" Target="https://brill.com/display/book/edcoll/9789004222465/B9789004222465-s001.pdf" TargetMode="External"/><Relationship Id="rId21" Type="http://schemas.openxmlformats.org/officeDocument/2006/relationships/hyperlink" Target="https://iishj.org/wp-content/uploads/2025/02/IISHJ-Pub-Cat-2024-all-pages-single.pdf" TargetMode="External"/><Relationship Id="rId13" Type="http://schemas.openxmlformats.org/officeDocument/2006/relationships/hyperlink" Target="https://www.academia.edu/38565728/Moscato_Judah" TargetMode="External"/><Relationship Id="rId12" Type="http://schemas.openxmlformats.org/officeDocument/2006/relationships/hyperlink" Target="https://cris.biu.ac.il/en/publications/judah-moscat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rill.com/abstract/title/21180" TargetMode="External"/><Relationship Id="rId15" Type="http://schemas.openxmlformats.org/officeDocument/2006/relationships/hyperlink" Target="https://brill.com/display/book/9789004283640/B9789004283640_003.pdf" TargetMode="External"/><Relationship Id="rId14" Type="http://schemas.openxmlformats.org/officeDocument/2006/relationships/hyperlink" Target="https://publishing.cdlib.org/ucpressebooks/view?docId=ft829008np&amp;chunk.id=ch5&amp;toc.id=ch5&amp;brand=eschol" TargetMode="External"/><Relationship Id="rId17" Type="http://schemas.openxmlformats.org/officeDocument/2006/relationships/hyperlink" Target="https://seforimblog.com/2025/03/azariah-de-rossis-annotations-on-sefer-ha-kuzari-identification-and-preliminary-analysis/" TargetMode="External"/><Relationship Id="rId16" Type="http://schemas.openxmlformats.org/officeDocument/2006/relationships/hyperlink" Target="https://www.researchgate.net/publication/370380924_The_Kuzari_and_Early_Kabbalah_Between_Integration_and_Interpretation_regarding_the_Secrets_of_the_Sacrificial_Rite" TargetMode="External"/><Relationship Id="rId5" Type="http://schemas.openxmlformats.org/officeDocument/2006/relationships/styles" Target="styles.xml"/><Relationship Id="rId19" Type="http://schemas.openxmlformats.org/officeDocument/2006/relationships/hyperlink" Target="https://en.wikipedia.org/wiki/Modern_Jewish_historiography" TargetMode="External"/><Relationship Id="rId6" Type="http://schemas.openxmlformats.org/officeDocument/2006/relationships/hyperlink" Target="https://en.wikipedia.org/wiki/Judah_Moscato" TargetMode="External"/><Relationship Id="rId18" Type="http://schemas.openxmlformats.org/officeDocument/2006/relationships/hyperlink" Target="https://brill.com/display/book/9789047425281/9789047425281_webready_content_text.pdf" TargetMode="External"/><Relationship Id="rId7" Type="http://schemas.openxmlformats.org/officeDocument/2006/relationships/hyperlink" Target="https://onlinebooks.library.upenn.edu/webbin/who/Moscato%2C%20Judah%20ben%20Joseph%2C%20approximately%201530-approximately%201593" TargetMode="External"/><Relationship Id="rId8" Type="http://schemas.openxmlformats.org/officeDocument/2006/relationships/hyperlink" Target="https://www.encyclopedia.com/religion/encyclopedias-almanacs-transcripts-and-maps/moscato-judah-ben-jose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