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1"/>
        </w:rPr>
        <w:t xml:space="preserve">מהר</w:t>
      </w:r>
      <w:r w:rsidDel="00000000" w:rsidR="00000000" w:rsidRPr="00000000">
        <w:rPr>
          <w:rFonts w:ascii="Times New Roman" w:cs="Times New Roman" w:eastAsia="Times New Roman" w:hAnsi="Times New Roman"/>
          <w:color w:val="1b1b1c"/>
          <w:sz w:val="33"/>
          <w:szCs w:val="33"/>
          <w:highlight w:val="white"/>
          <w:rtl w:val="1"/>
        </w:rPr>
        <w:t xml:space="preserve">"</w:t>
      </w:r>
      <w:r w:rsidDel="00000000" w:rsidR="00000000" w:rsidRPr="00000000">
        <w:rPr>
          <w:rFonts w:ascii="Times New Roman" w:cs="Times New Roman" w:eastAsia="Times New Roman" w:hAnsi="Times New Roman"/>
          <w:color w:val="1b1b1c"/>
          <w:sz w:val="33"/>
          <w:szCs w:val="33"/>
          <w:highlight w:val="white"/>
          <w:rtl w:val="1"/>
        </w:rPr>
        <w:t xml:space="preserve">ם</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אלשקר</w:t>
      </w:r>
    </w:p>
    <w:p w:rsidR="00000000" w:rsidDel="00000000" w:rsidP="00000000" w:rsidRDefault="00000000" w:rsidRPr="00000000" w14:paraId="00000002">
      <w:pPr>
        <w:shd w:fill="edeffa" w:val="clear"/>
        <w:bidi w:val="1"/>
        <w:rPr>
          <w:rFonts w:ascii="Times New Roman" w:cs="Times New Roman" w:eastAsia="Times New Roman" w:hAnsi="Times New Roman"/>
          <w:color w:val="1b1b1c"/>
          <w:sz w:val="21"/>
          <w:szCs w:val="21"/>
          <w:highlight w:val="white"/>
        </w:rPr>
      </w:pPr>
      <w:r w:rsidDel="00000000" w:rsidR="00000000" w:rsidRPr="00000000">
        <w:rPr>
          <w:rtl w:val="0"/>
        </w:rPr>
      </w:r>
    </w:p>
    <w:p w:rsidR="00000000" w:rsidDel="00000000" w:rsidP="00000000" w:rsidRDefault="00000000" w:rsidRPr="00000000" w14:paraId="00000003">
      <w:pPr>
        <w:shd w:fill="edeffa" w:val="clear"/>
        <w:bidi w:val="1"/>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פועלו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ותרומתו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אלשקר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מהר</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אלשקר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במעבר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מחורבן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בגירוש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להקמה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מחדש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מרכזי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באזור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התיכון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דגש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שמרנות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הלכתית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המקדשת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פסיקות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הראשונים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הרציונליזם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המיימוני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מתקפות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אנטי</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פילוסופיות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ניתוח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תשובותיו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ההלכתיות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סוגיית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זמן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השמשות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והקפדה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דיוק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גיאוגרפי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בגיטין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מובהר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אלשקר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המסורת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הספרדית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המפוארת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והעניק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יציבות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ונדודים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לבסוף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בוחן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מעורבותו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בפולמוס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הסמיכה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מורשתו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הספרותית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הרחבה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המשלבת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ושירה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שהשפיעה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עמוקות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פוסקי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הבאים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ובראשם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השולחן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ערוך</w:t>
      </w:r>
      <w:r w:rsidDel="00000000" w:rsidR="00000000" w:rsidRPr="00000000">
        <w:rPr>
          <w:rFonts w:ascii="Times New Roman" w:cs="Times New Roman" w:eastAsia="Times New Roman" w:hAnsi="Times New Roman"/>
          <w:color w:val="303030"/>
          <w:sz w:val="21"/>
          <w:szCs w:val="21"/>
          <w:highlight w:val="white"/>
          <w:rtl w:val="1"/>
        </w:rPr>
        <w:t xml:space="preserve">.</w:t>
      </w:r>
    </w:p>
    <w:p w:rsidR="00000000" w:rsidDel="00000000" w:rsidP="00000000" w:rsidRDefault="00000000" w:rsidRPr="00000000" w14:paraId="0000000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Jurisprudential and Philosophical Legacy of Rabbi Moshe Alashkar: A Comprehensive Study of 16th-Century Sephardic Thought</w:t>
      </w:r>
    </w:p>
    <w:p w:rsidR="00000000" w:rsidDel="00000000" w:rsidP="00000000" w:rsidRDefault="00000000" w:rsidRPr="00000000" w14:paraId="0000000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Historical Crucible: Spain and the Genesis of a Scholar</w:t>
      </w:r>
    </w:p>
    <w:p w:rsidR="00000000" w:rsidDel="00000000" w:rsidP="00000000" w:rsidRDefault="00000000" w:rsidRPr="00000000" w14:paraId="0000000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intellectual and spiritual biography of Rabbi Moshe ben Isaac Alashkar, widely known by the acronym Maharam Alashkar (1466–1542), serves as a profound microcosm of the transition from the Iberian Golden Age to the reconstruction of the Sephardic diaspora in the Ottoman and North African realms.[1, 2, 3] Born in Zamora, Spain, during the final decades of the Reconquista, Alashkar was immersed in a world where rabbinic scholarship was inextricably linked to linguistic precision, philosophical inquiry, and a deep sense of historical continuity.[1, 4, 5] His father, Rabbi Isaac, was a man of standing, but it was his primary teacher, Rabbi Samuel Valensi, who most significantly shaped his methodological foundations.[1, 5] Valensi was a titan of the Castilian tradition, also numbering among his students Rabbi Jacob ibn Habib, the future author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Ein Yaakov</w:t>
      </w:r>
      <w:r w:rsidDel="00000000" w:rsidR="00000000" w:rsidRPr="00000000">
        <w:rPr>
          <w:rFonts w:ascii="Times New Roman" w:cs="Times New Roman" w:eastAsia="Times New Roman" w:hAnsi="Times New Roman"/>
          <w:color w:val="1b1b1c"/>
          <w:sz w:val="24"/>
          <w:szCs w:val="24"/>
          <w:highlight w:val="white"/>
          <w:rtl w:val="0"/>
        </w:rPr>
        <w:t xml:space="preserve">.[4] This shared lineage placed Alashkar at the heart of a scholarly circle that prioritized the clear, authoritative texts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Rishonim</w:t>
      </w:r>
      <w:r w:rsidDel="00000000" w:rsidR="00000000" w:rsidRPr="00000000">
        <w:rPr>
          <w:rFonts w:ascii="Times New Roman" w:cs="Times New Roman" w:eastAsia="Times New Roman" w:hAnsi="Times New Roman"/>
          <w:color w:val="1b1b1c"/>
          <w:sz w:val="24"/>
          <w:szCs w:val="24"/>
          <w:highlight w:val="white"/>
          <w:rtl w:val="0"/>
        </w:rPr>
        <w:t xml:space="preserve"> (early medieval authorities) over the nascent dialectical complexities that would later dominate Eastern European scholarship.[1, 2, 4]</w:t>
      </w:r>
    </w:p>
    <w:p w:rsidR="00000000" w:rsidDel="00000000" w:rsidP="00000000" w:rsidRDefault="00000000" w:rsidRPr="00000000" w14:paraId="0000000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Alashkar’s early years were characterized by a rigorous engagement with the primary sources of Jewish law, specifically the codes of Isaac Alfasi (the Rif) and Moses Maimonides (the Rambam).[5] He frequently expressed a sentiment that would become a hallmark of his conservative legal philosophy: the scholars of the past were "giants of the world" compared to whom his own generation was like "an ape compared to a man".[1, 4, 6] This perspective was not merely an expression of humility but an epistemological stance that dictated a cautious, tradition-bound approach to halakhic decision-making, emphasizing the authority of the Spanish and North African masters.[1, 4]</w:t>
      </w:r>
    </w:p>
    <w:tbl>
      <w:tblPr>
        <w:tblStyle w:val="Table1"/>
        <w:bidiVisual w:val="1"/>
        <w:tblW w:w="11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805"/>
        <w:gridCol w:w="2090"/>
        <w:gridCol w:w="4985"/>
        <w:tblGridChange w:id="0">
          <w:tblGrid>
            <w:gridCol w:w="2480"/>
            <w:gridCol w:w="1805"/>
            <w:gridCol w:w="2090"/>
            <w:gridCol w:w="498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Milestone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Estimated Year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Location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Significance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Birth and Early Education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1466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Zamora, Spain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Training under R. Samuel Valensi in the Castilian tradition.[1,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Great Displacement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1492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Spain to North Africa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Forced exile; survival of shipwreck and pirate capture.[1, 4,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Tunisian Residency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1492–1510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Tunis, North Africa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Communal leadership alongside R. Abraham Zacuto.[4,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Migration to Greece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1510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Patras, Greece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Established a prominent Yeshiva for refugees.[4,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Cairo Rabbinate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1522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Cairo, Egypt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Appointment as Dayyan; period of peak halakhic influence.[4, 5,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Final Aliyah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1540s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Jerusalem, Israel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Participation in the Semikhah controversy; burial in Jerusalem.[2, 4, 5]</w:t>
            </w:r>
          </w:p>
        </w:tc>
      </w:tr>
    </w:tbl>
    <w:p w:rsidR="00000000" w:rsidDel="00000000" w:rsidP="00000000" w:rsidRDefault="00000000" w:rsidRPr="00000000" w14:paraId="0000002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Exile, Peril, and the Reconstruction of Authority</w:t>
      </w:r>
    </w:p>
    <w:p w:rsidR="00000000" w:rsidDel="00000000" w:rsidP="00000000" w:rsidRDefault="00000000" w:rsidRPr="00000000" w14:paraId="0000002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catastrophe of 1492 acted as the defining rupture in Alashkar’s life, transforming a regional scholar into a global representative of the displaced Spanish elite.[1, 2] At twenty-six, Alashkar joined the exodus, experiencing the trauma of displacement firsthand.[1, 4] His journey toward North Africa was marked by near-fatal incidents; his vessel nearly foundered, an event that left an indelible mark on his spiritual consciousness and inspired his liturgical composition,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Be-Mah Akaddem</w:t>
      </w:r>
      <w:r w:rsidDel="00000000" w:rsidR="00000000" w:rsidRPr="00000000">
        <w:rPr>
          <w:rFonts w:ascii="Times New Roman" w:cs="Times New Roman" w:eastAsia="Times New Roman" w:hAnsi="Times New Roman"/>
          <w:color w:val="1b1b1c"/>
          <w:sz w:val="24"/>
          <w:szCs w:val="24"/>
          <w:highlight w:val="white"/>
          <w:rtl w:val="0"/>
        </w:rPr>
        <w:t xml:space="preserve">".[4, 5] Furthermore, he faced the threat of piracy, eventually escaping captivity to find sanctuary in Tunis.[4]</w:t>
      </w:r>
    </w:p>
    <w:p w:rsidR="00000000" w:rsidDel="00000000" w:rsidP="00000000" w:rsidRDefault="00000000" w:rsidRPr="00000000" w14:paraId="0000002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Tunis, Alashkar emerged as a vital link in the chain of tradition for the thousands of refugees seeking to maintain their religious identity in a new environment.[4] He resided there for approximately eighteen years, a period during which he established himself as a preeminent legal authority, corresponding with other giants of the period such as the astronomer and historian Abraham Zacuto.[4, 5] However, the relative stability of Tunisia was shattered in 1510 when Spanish forces intensified their North African campaigns, leading to the capture of many Jews.[4, 5] Forced to flee again, Alashkar eventually reached Patras, Greece, where he founded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yeshivah</w:t>
      </w:r>
      <w:r w:rsidDel="00000000" w:rsidR="00000000" w:rsidRPr="00000000">
        <w:rPr>
          <w:rFonts w:ascii="Times New Roman" w:cs="Times New Roman" w:eastAsia="Times New Roman" w:hAnsi="Times New Roman"/>
          <w:color w:val="1b1b1c"/>
          <w:sz w:val="24"/>
          <w:szCs w:val="24"/>
          <w:highlight w:val="white"/>
          <w:rtl w:val="0"/>
        </w:rPr>
        <w:t xml:space="preserve"> that served as a beacon for the Romaniote and newly arrived Sephardic communities.[4, 5]</w:t>
      </w:r>
    </w:p>
    <w:p w:rsidR="00000000" w:rsidDel="00000000" w:rsidP="00000000" w:rsidRDefault="00000000" w:rsidRPr="00000000" w14:paraId="0000002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move to Egypt in 1522 marked the beginning of his most productive phase.[5, 7] Appointed as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Dayyan</w:t>
      </w:r>
      <w:r w:rsidDel="00000000" w:rsidR="00000000" w:rsidRPr="00000000">
        <w:rPr>
          <w:rFonts w:ascii="Times New Roman" w:cs="Times New Roman" w:eastAsia="Times New Roman" w:hAnsi="Times New Roman"/>
          <w:color w:val="1b1b1c"/>
          <w:sz w:val="24"/>
          <w:szCs w:val="24"/>
          <w:highlight w:val="white"/>
          <w:rtl w:val="0"/>
        </w:rPr>
        <w:t xml:space="preserve"> (rabbinical judge) in Cairo, he was positioned at the crossroads of the Mediterranean and the Land of Israel.[5, 7] Cairo’s Jewish community, enriched by the influx of Iberian wealth and talent, became a theater for Alashkar’s judicial expertise. His tenure was characterized by a synthesis of Castilian legal rigor and an awareness of the diverse customs found in the East.[5] Yet, his time in Egypt was not without friction. Internal communal dissent and professional hostilities, some of which are documented in his correspondence with Rabbi Levi ben Habib, eventually prompted his final migration to Jerusalem toward the end of his life.[5]</w:t>
      </w:r>
    </w:p>
    <w:p w:rsidR="00000000" w:rsidDel="00000000" w:rsidP="00000000" w:rsidRDefault="00000000" w:rsidRPr="00000000" w14:paraId="0000002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Responsa of Maharam Alashkar: A Jurisprudential Monument</w:t>
      </w:r>
    </w:p>
    <w:p w:rsidR="00000000" w:rsidDel="00000000" w:rsidP="00000000" w:rsidRDefault="00000000" w:rsidRPr="00000000" w14:paraId="0000002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primary vessel for Alashkar’s enduring halakhic legacy is his collection of 121 responsa, first published in Sabioneta in 1553 and shortly thereafter in Venice.[3, 8] These responsa are more than mere legal rulings; they are socio-historical documents that reflect the anxieties and complexities of a people in flux.[4, 8] Alashkar’s writing is distinguished by a refined, poetic style, often opening with rhymed and metered introductions that demonstrate his mastery of the Spanish secular-literary tradition.[8]</w:t>
      </w:r>
    </w:p>
    <w:p w:rsidR="00000000" w:rsidDel="00000000" w:rsidP="00000000" w:rsidRDefault="00000000" w:rsidRPr="00000000" w14:paraId="0000002A">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Geographical and Textual Precision</w:t>
      </w:r>
    </w:p>
    <w:p w:rsidR="00000000" w:rsidDel="00000000" w:rsidP="00000000" w:rsidRDefault="00000000" w:rsidRPr="00000000" w14:paraId="0000002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One of Alashkar’s most vital contributions to the stability of the diaspora was his meticulous attention to the spelling of town names and the description of geographical features.[3] In Jewish law, the validity of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Get</w:t>
      </w:r>
      <w:r w:rsidDel="00000000" w:rsidR="00000000" w:rsidRPr="00000000">
        <w:rPr>
          <w:rFonts w:ascii="Times New Roman" w:cs="Times New Roman" w:eastAsia="Times New Roman" w:hAnsi="Times New Roman"/>
          <w:color w:val="1b1b1c"/>
          <w:sz w:val="24"/>
          <w:szCs w:val="24"/>
          <w:highlight w:val="white"/>
          <w:rtl w:val="0"/>
        </w:rPr>
        <w:t xml:space="preserve"> (divorce document) is contingent upon the accurate identification of the location where it was written.[3] In a world where refugees were constantly establishing new communities in unfamiliar territories, Alashkar’s work provided the necessary standardization to prevent the devastating legal consequences of invalid divorces.[3] His correspondence reached as far as Corfu, Salonika, Constantinople, and Safed, ensuring that his legal standards became a unifying force across the Levant.[1, 4]</w:t>
      </w:r>
    </w:p>
    <w:p w:rsidR="00000000" w:rsidDel="00000000" w:rsidP="00000000" w:rsidRDefault="00000000" w:rsidRPr="00000000" w14:paraId="0000002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Twilight Controversy and Astronomical Time (Responsum 96)</w:t>
      </w:r>
    </w:p>
    <w:p w:rsidR="00000000" w:rsidDel="00000000" w:rsidP="00000000" w:rsidRDefault="00000000" w:rsidRPr="00000000" w14:paraId="0000002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Perhaps the most famous of Alashkar’s rulings is Responsum 96, which addresses the fundamental definition of the end of the day (</w:t>
      </w:r>
      <w:r w:rsidDel="00000000" w:rsidR="00000000" w:rsidRPr="00000000">
        <w:rPr>
          <w:rFonts w:ascii="Times New Roman" w:cs="Times New Roman" w:eastAsia="Times New Roman" w:hAnsi="Times New Roman"/>
          <w:i w:val="1"/>
          <w:iCs w:val="1"/>
          <w:color w:val="1b1b1c"/>
          <w:sz w:val="24"/>
          <w:szCs w:val="24"/>
          <w:highlight w:val="white"/>
          <w:rtl w:val="0"/>
        </w:rPr>
        <w:t xml:space="preserve">Tzet HaKokhavim</w:t>
      </w:r>
      <w:r w:rsidDel="00000000" w:rsidR="00000000" w:rsidRPr="00000000">
        <w:rPr>
          <w:rFonts w:ascii="Times New Roman" w:cs="Times New Roman" w:eastAsia="Times New Roman" w:hAnsi="Times New Roman"/>
          <w:color w:val="1b1b1c"/>
          <w:sz w:val="24"/>
          <w:szCs w:val="24"/>
          <w:highlight w:val="white"/>
          <w:rtl w:val="0"/>
        </w:rPr>
        <w:t xml:space="preserve">) and the duration of twilight.[9, 10, 11] This issue was of critical importance for the observance of the Sabbath, holidays, and fast days. Alashkar staunchly defended the position of the Geonim—Rav Sherira, Rav Hai, and Rav Nissim Gaon—against the later innovations of the French and German schools.[9, 11]</w:t>
      </w:r>
    </w:p>
    <w:p w:rsidR="00000000" w:rsidDel="00000000" w:rsidP="00000000" w:rsidRDefault="00000000" w:rsidRPr="00000000" w14:paraId="0000002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argued that the halakhic "between the suns"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Bein HaShemashot</w:t>
      </w:r>
      <w:r w:rsidDel="00000000" w:rsidR="00000000" w:rsidRPr="00000000">
        <w:rPr>
          <w:rFonts w:ascii="Times New Roman" w:cs="Times New Roman" w:eastAsia="Times New Roman" w:hAnsi="Times New Roman"/>
          <w:color w:val="1b1b1c"/>
          <w:sz w:val="24"/>
          <w:szCs w:val="24"/>
          <w:highlight w:val="white"/>
          <w:rtl w:val="0"/>
        </w:rPr>
        <w:t xml:space="preserve">) begins immediately after the sun disappears below the horizon, rather than the significantly delayed time suggested by Rabbeinu Tam (which allowed for a period equivalent to a four-mile walk, approximately 72 minutes).[9, 11] Alashkar’s lucid summary of the Geonic sources and his insistence on the visual reality of the sunset provided the foundation for the "Geonic" (or "Gra") time followed by most communities in the Land of Israel and Egypt.[9, 10, 11] This ruling demonstrated his willingness to challenge even the most venerated of the late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Rishonim</w:t>
      </w:r>
      <w:r w:rsidDel="00000000" w:rsidR="00000000" w:rsidRPr="00000000">
        <w:rPr>
          <w:rFonts w:ascii="Times New Roman" w:cs="Times New Roman" w:eastAsia="Times New Roman" w:hAnsi="Times New Roman"/>
          <w:color w:val="1b1b1c"/>
          <w:sz w:val="24"/>
          <w:szCs w:val="24"/>
          <w:highlight w:val="white"/>
          <w:rtl w:val="0"/>
        </w:rPr>
        <w:t xml:space="preserve"> if he felt their views diverged from the clear intent of the Talmud and the earliest masters.[5, 9, 11]</w:t>
      </w:r>
    </w:p>
    <w:tbl>
      <w:tblPr>
        <w:tblStyle w:val="Table2"/>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4430"/>
        <w:gridCol w:w="4370"/>
        <w:tblGridChange w:id="0">
          <w:tblGrid>
            <w:gridCol w:w="2360"/>
            <w:gridCol w:w="4430"/>
            <w:gridCol w:w="437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Jurisprudential Theme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Position of Maharam Alashkar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Implications</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Duration of Twilight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Twilight begins at sunset; night follows shortly (approx. 13.5–20 minutes).[9, 11]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Established the "Geonic" standard, rejecting the 72-minute delay of Rabbeinu Tam.[9, 11]</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Authority of Precedent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Strict adherence to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Rishonim</w:t>
            </w:r>
            <w:r w:rsidDel="00000000" w:rsidR="00000000" w:rsidRPr="00000000">
              <w:rPr>
                <w:rFonts w:ascii="Times New Roman" w:cs="Times New Roman" w:eastAsia="Times New Roman" w:hAnsi="Times New Roman"/>
                <w:color w:val="1b1b1c"/>
                <w:sz w:val="24"/>
                <w:szCs w:val="24"/>
                <w:highlight w:val="white"/>
                <w:rtl w:val="0"/>
              </w:rPr>
              <w:t xml:space="preserve">; rejection of excessive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pilpul</w:t>
            </w:r>
            <w:r w:rsidDel="00000000" w:rsidR="00000000" w:rsidRPr="00000000">
              <w:rPr>
                <w:rFonts w:ascii="Times New Roman" w:cs="Times New Roman" w:eastAsia="Times New Roman" w:hAnsi="Times New Roman"/>
                <w:color w:val="1b1b1c"/>
                <w:sz w:val="24"/>
                <w:szCs w:val="24"/>
                <w:highlight w:val="white"/>
                <w:rtl w:val="0"/>
              </w:rPr>
              <w:t xml:space="preserve">.[2]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Preserved the clarity of the Spanish legal tradition in the face of local innovations.[2]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Marital Status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Cautious but empathetic approach to </w:t>
            </w:r>
            <w:r w:rsidDel="00000000" w:rsidR="00000000" w:rsidRPr="00000000">
              <w:rPr>
                <w:rFonts w:ascii="Times New Roman" w:cs="Times New Roman" w:eastAsia="Times New Roman" w:hAnsi="Times New Roman"/>
                <w:i w:val="1"/>
                <w:iCs w:val="1"/>
                <w:color w:val="1b1b1c"/>
                <w:sz w:val="24"/>
                <w:szCs w:val="24"/>
                <w:highlight w:val="white"/>
                <w:rtl w:val="0"/>
              </w:rPr>
              <w:t xml:space="preserve">Agunot</w:t>
            </w:r>
            <w:r w:rsidDel="00000000" w:rsidR="00000000" w:rsidRPr="00000000">
              <w:rPr>
                <w:rFonts w:ascii="Times New Roman" w:cs="Times New Roman" w:eastAsia="Times New Roman" w:hAnsi="Times New Roman"/>
                <w:color w:val="1b1b1c"/>
                <w:sz w:val="24"/>
                <w:szCs w:val="24"/>
                <w:highlight w:val="white"/>
                <w:rtl w:val="0"/>
              </w:rPr>
              <w:t xml:space="preserve"> (missing husbands).[4]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Provided legal relief for families broken by the expulsion and sea voyages.[4]</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Standardization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Rigorous spelling of locations in bills of divorce.[3]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Prevented mass illegitimacy by ensuring global recognition of divorce documents.[3]</w:t>
            </w:r>
          </w:p>
        </w:tc>
      </w:tr>
    </w:tbl>
    <w:p w:rsidR="00000000" w:rsidDel="00000000" w:rsidP="00000000" w:rsidRDefault="00000000" w:rsidRPr="00000000" w14:paraId="0000003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Philosophical Warfare: Defending the Maimonidean Legacy</w:t>
      </w:r>
    </w:p>
    <w:p w:rsidR="00000000" w:rsidDel="00000000" w:rsidP="00000000" w:rsidRDefault="00000000" w:rsidRPr="00000000" w14:paraId="0000003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expulsion from Spain triggered a profound theological crisis within the Jewish world.[7] Some contemporary thinkers, such as Rabbi Shem Tov ibn Shem Tov, argued that the tragedy was a divine retribution for the intellectual "corruption" of Spanish Jewry—specifically their pursuit of philosophy and secular sciences.[7, 12] In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HaEmunot</w:t>
      </w:r>
      <w:r w:rsidDel="00000000" w:rsidR="00000000" w:rsidRPr="00000000">
        <w:rPr>
          <w:rFonts w:ascii="Times New Roman" w:cs="Times New Roman" w:eastAsia="Times New Roman" w:hAnsi="Times New Roman"/>
          <w:color w:val="1b1b1c"/>
          <w:sz w:val="24"/>
          <w:szCs w:val="24"/>
          <w:highlight w:val="white"/>
          <w:rtl w:val="0"/>
        </w:rPr>
        <w:t xml:space="preserve">, Shem Tov launched a vitriolic attack on Maimonides'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Guide for the Perplexed</w:t>
      </w:r>
      <w:r w:rsidDel="00000000" w:rsidR="00000000" w:rsidRPr="00000000">
        <w:rPr>
          <w:rFonts w:ascii="Times New Roman" w:cs="Times New Roman" w:eastAsia="Times New Roman" w:hAnsi="Times New Roman"/>
          <w:color w:val="1b1b1c"/>
          <w:sz w:val="24"/>
          <w:szCs w:val="24"/>
          <w:highlight w:val="white"/>
          <w:rtl w:val="0"/>
        </w:rPr>
        <w:t xml:space="preserve">, claiming that rationalism had eroded the faith of the masses and weakened their resolve during the trials of 1492.[7]</w:t>
      </w:r>
    </w:p>
    <w:p w:rsidR="00000000" w:rsidDel="00000000" w:rsidP="00000000" w:rsidRDefault="00000000" w:rsidRPr="00000000" w14:paraId="0000004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Alashkar, a committed rationalist who was well-versed in both the Arabic and Hebrew philosophical corpora, responded with a work titled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Hassagot</w:t>
      </w:r>
      <w:r w:rsidDel="00000000" w:rsidR="00000000" w:rsidRPr="00000000">
        <w:rPr>
          <w:rFonts w:ascii="Times New Roman" w:cs="Times New Roman" w:eastAsia="Times New Roman" w:hAnsi="Times New Roman"/>
          <w:color w:val="1b1b1c"/>
          <w:sz w:val="24"/>
          <w:szCs w:val="24"/>
          <w:highlight w:val="white"/>
          <w:rtl w:val="0"/>
        </w:rPr>
        <w:t xml:space="preserve"> (Critical Notes), often printed alongside his responsa.[1, 3, 4, 7] He viewed the attack on Maimonides as an attack on the very essence of Jewish intellectual integrity.[7] In his defense, Alashkar systematically dismantled Shem Tov's arguments, asserting that philosophy was not a threat to faith but a necessary tool for its perfection.[2, 7]</w:t>
      </w:r>
    </w:p>
    <w:p w:rsidR="00000000" w:rsidDel="00000000" w:rsidP="00000000" w:rsidRDefault="00000000" w:rsidRPr="00000000" w14:paraId="00000041">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Second-Order Insight: Rationalism as a Cultural Shield</w:t>
      </w:r>
    </w:p>
    <w:p w:rsidR="00000000" w:rsidDel="00000000" w:rsidP="00000000" w:rsidRDefault="00000000" w:rsidRPr="00000000" w14:paraId="0000004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Alashkar’s defense of Maimonides reveals a deeper strategic insight into the survival of the Sephardic identity. By championing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Guide for the Perplexed</w:t>
      </w:r>
      <w:r w:rsidDel="00000000" w:rsidR="00000000" w:rsidRPr="00000000">
        <w:rPr>
          <w:rFonts w:ascii="Times New Roman" w:cs="Times New Roman" w:eastAsia="Times New Roman" w:hAnsi="Times New Roman"/>
          <w:color w:val="1b1b1c"/>
          <w:sz w:val="24"/>
          <w:szCs w:val="24"/>
          <w:highlight w:val="white"/>
          <w:rtl w:val="0"/>
        </w:rPr>
        <w:t xml:space="preserve">, Alashkar was effectively arguing that the unique Spanish synthesis of Torah and reason was not the cause of the national disaster but the very quality that would allow the community to survive and thrive in modernity.[2, 7] His work ensured that the Maimonidean tradition remained a legitimate, and indeed central, pillar of Jewish thought during the transition into the early modern era, preventing a complete retreat into mystical anti-rationalism.[2, 7]</w:t>
      </w:r>
    </w:p>
    <w:p w:rsidR="00000000" w:rsidDel="00000000" w:rsidP="00000000" w:rsidRDefault="00000000" w:rsidRPr="00000000" w14:paraId="00000043">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Semikhah Controversy: A Crisis of Centrality and Redemption</w:t>
      </w:r>
    </w:p>
    <w:p w:rsidR="00000000" w:rsidDel="00000000" w:rsidP="00000000" w:rsidRDefault="00000000" w:rsidRPr="00000000" w14:paraId="0000004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1538, the Jewish world was electrified by an attempt to restore the ancient institution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Semikhah</w:t>
      </w:r>
      <w:r w:rsidDel="00000000" w:rsidR="00000000" w:rsidRPr="00000000">
        <w:rPr>
          <w:rFonts w:ascii="Times New Roman" w:cs="Times New Roman" w:eastAsia="Times New Roman" w:hAnsi="Times New Roman"/>
          <w:color w:val="1b1b1c"/>
          <w:sz w:val="24"/>
          <w:szCs w:val="24"/>
          <w:highlight w:val="white"/>
          <w:rtl w:val="0"/>
        </w:rPr>
        <w:t xml:space="preserve"> (original rabbinic ordination) in Safed.[13, 14] Led by Rabbi Jacob Berab, this initiative sought to create a central authority—a new Sanhedrin—that could provide definitive answers to the legal and spiritual crises facing the post-expulsion generation.[13] One of the primary motivations was to allow </w:t>
      </w:r>
      <w:r w:rsidDel="00000000" w:rsidR="00000000" w:rsidRPr="00000000">
        <w:rPr>
          <w:rFonts w:ascii="Times New Roman" w:cs="Times New Roman" w:eastAsia="Times New Roman" w:hAnsi="Times New Roman"/>
          <w:i w:val="1"/>
          <w:iCs w:val="1"/>
          <w:color w:val="1b1b1c"/>
          <w:sz w:val="24"/>
          <w:szCs w:val="24"/>
          <w:highlight w:val="white"/>
          <w:rtl w:val="0"/>
        </w:rPr>
        <w:t xml:space="preserve">Anusim</w:t>
      </w:r>
      <w:r w:rsidDel="00000000" w:rsidR="00000000" w:rsidRPr="00000000">
        <w:rPr>
          <w:rFonts w:ascii="Times New Roman" w:cs="Times New Roman" w:eastAsia="Times New Roman" w:hAnsi="Times New Roman"/>
          <w:color w:val="1b1b1c"/>
          <w:sz w:val="24"/>
          <w:szCs w:val="24"/>
          <w:highlight w:val="white"/>
          <w:rtl w:val="0"/>
        </w:rPr>
        <w:t xml:space="preserve"> (forced converts) who had escaped from Spain to receive judicial lashes, a penalty that would traditionally absolve them of the divinely-mandated punishment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Karet</w:t>
      </w:r>
      <w:r w:rsidDel="00000000" w:rsidR="00000000" w:rsidRPr="00000000">
        <w:rPr>
          <w:rFonts w:ascii="Times New Roman" w:cs="Times New Roman" w:eastAsia="Times New Roman" w:hAnsi="Times New Roman"/>
          <w:color w:val="1b1b1c"/>
          <w:sz w:val="24"/>
          <w:szCs w:val="24"/>
          <w:highlight w:val="white"/>
          <w:rtl w:val="0"/>
        </w:rPr>
        <w:t xml:space="preserve"> (spiritual excision).[13, 14]</w:t>
      </w:r>
    </w:p>
    <w:p w:rsidR="00000000" w:rsidDel="00000000" w:rsidP="00000000" w:rsidRDefault="00000000" w:rsidRPr="00000000" w14:paraId="0000004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Alashkar’s Evolving Perspective</w:t>
      </w:r>
    </w:p>
    <w:p w:rsidR="00000000" w:rsidDel="00000000" w:rsidP="00000000" w:rsidRDefault="00000000" w:rsidRPr="00000000" w14:paraId="0000004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Alashkar’s involvement in the controversy was pivotal.[4] Initially, he appears to have been supportive of Berab’s vision, recognizing the potential for a restored central authority to unify the diaspora.[4] However, as the debate unfolded, Alashkar’s inherent legal conservatism and his respect for consensus led him to reconsider.[4] The opposition, spearheaded by Rabbi Levi ben Habib (the Maharalbach) in Jerusalem, argued that such a restoration required the unanimous agreement of all the sages of the Land of Israel and that Berab’s move was premature and legally suspect.[4, 13]</w:t>
      </w:r>
    </w:p>
    <w:p w:rsidR="00000000" w:rsidDel="00000000" w:rsidP="00000000" w:rsidRDefault="00000000" w:rsidRPr="00000000" w14:paraId="0000004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Alashkar eventually withdrew his support, siding with the Jerusalem scholars.[4] This shift was not merely a change of mind but a reflection of a fundamental tension in Alashkar’s worldview: the desire for national redemption versus the necessity of absolute adherence to halakhic process.[13] His withdrawal dealt a significant blow to the movement, contributing to its eventual decline after Berab’s death.[4, 13] This episode illustrates Alashkar’s role as a moderating force, balancing the messianic fervor of Safed with the grounded, conservative traditions of Cairo and Jerusalem.[4]</w:t>
      </w:r>
    </w:p>
    <w:p w:rsidR="00000000" w:rsidDel="00000000" w:rsidP="00000000" w:rsidRDefault="00000000" w:rsidRPr="00000000" w14:paraId="0000004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Liturgy, Poetics, and the Hidden Kabbalah</w:t>
      </w:r>
    </w:p>
    <w:p w:rsidR="00000000" w:rsidDel="00000000" w:rsidP="00000000" w:rsidRDefault="00000000" w:rsidRPr="00000000" w14:paraId="0000004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Alashkar is primarily remembered as a legist and philosopher, he was also an accomplished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Paytan</w:t>
      </w:r>
      <w:r w:rsidDel="00000000" w:rsidR="00000000" w:rsidRPr="00000000">
        <w:rPr>
          <w:rFonts w:ascii="Times New Roman" w:cs="Times New Roman" w:eastAsia="Times New Roman" w:hAnsi="Times New Roman"/>
          <w:color w:val="1b1b1c"/>
          <w:sz w:val="24"/>
          <w:szCs w:val="24"/>
          <w:highlight w:val="white"/>
          <w:rtl w:val="0"/>
        </w:rPr>
        <w:t xml:space="preserve"> (liturgical poet).[4, 5] His poems are characterized by a refined Hebrew that harkens back to the era of Solomon ibn Gabirol and Judah Halevi.[5] Several of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piyutim</w:t>
      </w:r>
      <w:r w:rsidDel="00000000" w:rsidR="00000000" w:rsidRPr="00000000">
        <w:rPr>
          <w:rFonts w:ascii="Times New Roman" w:cs="Times New Roman" w:eastAsia="Times New Roman" w:hAnsi="Times New Roman"/>
          <w:color w:val="1b1b1c"/>
          <w:sz w:val="24"/>
          <w:szCs w:val="24"/>
          <w:highlight w:val="white"/>
          <w:rtl w:val="0"/>
        </w:rPr>
        <w:t xml:space="preserve"> were incorporated into regional prayer books, serving as communal conduits for grief and hope.[1, 4]</w:t>
      </w:r>
    </w:p>
    <w:p w:rsidR="00000000" w:rsidDel="00000000" w:rsidP="00000000" w:rsidRDefault="00000000" w:rsidRPr="00000000" w14:paraId="0000004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Interestingly, Alashkar possessed significant knowledge of Kabbalah, though he was generally opposed to its public diffusion.[4, 5] He believed that mystical secrets should remain the province of the elite, as evidenced by kabbalistic explanations cited in his name by Rabbi Samuel Uceda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Midrash Shemu'el</w:t>
      </w:r>
      <w:r w:rsidDel="00000000" w:rsidR="00000000" w:rsidRPr="00000000">
        <w:rPr>
          <w:rFonts w:ascii="Times New Roman" w:cs="Times New Roman" w:eastAsia="Times New Roman" w:hAnsi="Times New Roman"/>
          <w:color w:val="1b1b1c"/>
          <w:sz w:val="24"/>
          <w:szCs w:val="24"/>
          <w:highlight w:val="white"/>
          <w:rtl w:val="0"/>
        </w:rPr>
        <w:t xml:space="preserve">.[5] This guarded approach to mysticism stands in stark contrast to the emerging "Safed school," which sought to popularize Kabbalah as a means of collective spiritual repair. Alashkar’s stance reflects an earlier Sephardic model where rationalism was the public face of the scholar, while mysticism was a private, esoteric pursuit.[2, 5]</w:t>
      </w:r>
    </w:p>
    <w:p w:rsidR="00000000" w:rsidDel="00000000" w:rsidP="00000000" w:rsidRDefault="00000000" w:rsidRPr="00000000" w14:paraId="0000004B">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Literary Legacy and Lost Works</w:t>
      </w:r>
    </w:p>
    <w:p w:rsidR="00000000" w:rsidDel="00000000" w:rsidP="00000000" w:rsidRDefault="00000000" w:rsidRPr="00000000" w14:paraId="0000004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breadth of Alashkar’s scholarship is further evidenced by his numerous works that did not survive to the modern era or remained in manuscript.[1, 4] These works suggest a thinker whose interests spanned the entirety of the Jewish literary canon.</w:t>
      </w:r>
    </w:p>
    <w:p w:rsidR="00000000" w:rsidDel="00000000" w:rsidP="00000000" w:rsidRDefault="00000000" w:rsidRPr="00000000" w14:paraId="0000004D">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Geon Yaakov</w:t>
      </w:r>
      <w:r w:rsidDel="00000000" w:rsidR="00000000" w:rsidRPr="00000000">
        <w:rPr>
          <w:rFonts w:ascii="Times New Roman" w:cs="Times New Roman" w:eastAsia="Times New Roman" w:hAnsi="Times New Roman"/>
          <w:color w:val="1b1b1c"/>
          <w:sz w:val="24"/>
          <w:szCs w:val="24"/>
          <w:highlight w:val="white"/>
          <w:rtl w:val="0"/>
        </w:rPr>
        <w:t xml:space="preserve">: A commentary 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Tur Orach Chayyim</w:t>
      </w:r>
      <w:r w:rsidDel="00000000" w:rsidR="00000000" w:rsidRPr="00000000">
        <w:rPr>
          <w:rFonts w:ascii="Times New Roman" w:cs="Times New Roman" w:eastAsia="Times New Roman" w:hAnsi="Times New Roman"/>
          <w:color w:val="1b1b1c"/>
          <w:sz w:val="24"/>
          <w:szCs w:val="24"/>
          <w:highlight w:val="white"/>
          <w:rtl w:val="0"/>
        </w:rPr>
        <w:t xml:space="preserve">, which provided a deeper look at the evolution of daily ritual law.[1, 4]</w:t>
      </w:r>
    </w:p>
    <w:p w:rsidR="00000000" w:rsidDel="00000000" w:rsidP="00000000" w:rsidRDefault="00000000" w:rsidRPr="00000000" w14:paraId="0000004E">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Commentary on Pirkei Avot</w:t>
      </w:r>
      <w:r w:rsidDel="00000000" w:rsidR="00000000" w:rsidRPr="00000000">
        <w:rPr>
          <w:rFonts w:ascii="Times New Roman" w:cs="Times New Roman" w:eastAsia="Times New Roman" w:hAnsi="Times New Roman"/>
          <w:color w:val="1b1b1c"/>
          <w:sz w:val="24"/>
          <w:szCs w:val="24"/>
          <w:highlight w:val="white"/>
          <w:rtl w:val="0"/>
        </w:rPr>
        <w:t xml:space="preserve">: A work on the Ethics of the Fathers, likely synthesizing his philosophical and ethical views.[1, 4, 5]</w:t>
      </w:r>
    </w:p>
    <w:p w:rsidR="00000000" w:rsidDel="00000000" w:rsidP="00000000" w:rsidRDefault="00000000" w:rsidRPr="00000000" w14:paraId="0000004F">
      <w:pPr>
        <w:numPr>
          <w:ilvl w:val="0"/>
          <w:numId w:val="2"/>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Super-commentary on Rashi</w:t>
      </w:r>
      <w:r w:rsidDel="00000000" w:rsidR="00000000" w:rsidRPr="00000000">
        <w:rPr>
          <w:rFonts w:ascii="Times New Roman" w:cs="Times New Roman" w:eastAsia="Times New Roman" w:hAnsi="Times New Roman"/>
          <w:color w:val="1b1b1c"/>
          <w:sz w:val="24"/>
          <w:szCs w:val="24"/>
          <w:highlight w:val="white"/>
          <w:rtl w:val="0"/>
        </w:rPr>
        <w:t xml:space="preserve">: A lost work on the Pentateuch, demonstrating his commitment to the plain meaning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Peshat</w:t>
      </w:r>
      <w:r w:rsidDel="00000000" w:rsidR="00000000" w:rsidRPr="00000000">
        <w:rPr>
          <w:rFonts w:ascii="Times New Roman" w:cs="Times New Roman" w:eastAsia="Times New Roman" w:hAnsi="Times New Roman"/>
          <w:color w:val="1b1b1c"/>
          <w:sz w:val="24"/>
          <w:szCs w:val="24"/>
          <w:highlight w:val="white"/>
          <w:rtl w:val="0"/>
        </w:rPr>
        <w:t xml:space="preserve">) of the biblical text.[1]</w:t>
      </w:r>
    </w:p>
    <w:tbl>
      <w:tblPr>
        <w:tblStyle w:val="Table3"/>
        <w:bidiVisual w:val="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915"/>
        <w:gridCol w:w="2135"/>
        <w:tblGridChange w:id="0">
          <w:tblGrid>
            <w:gridCol w:w="3305"/>
            <w:gridCol w:w="2915"/>
            <w:gridCol w:w="213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Work Title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Subject Matter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Status</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Responsa Maharam Alashkar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Halakhic Decisions (121)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Published.[3, 8]</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Hassagot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Philosophical Critique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Published.[3, 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Geon Yaakov</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Commentary 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Tur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Manuscript.[1, 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Commentary on Avot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Ethics/Mishnah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Cited/Lost.[1, 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Be-Mah Akaddem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Liturgical Poetry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Published.[4, 5]</w:t>
            </w:r>
          </w:p>
        </w:tc>
      </w:tr>
    </w:tbl>
    <w:p w:rsidR="00000000" w:rsidDel="00000000" w:rsidP="00000000" w:rsidRDefault="00000000" w:rsidRPr="00000000" w14:paraId="00000062">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Influence on the Shulchan Arukh and Future Generations</w:t>
      </w:r>
    </w:p>
    <w:p w:rsidR="00000000" w:rsidDel="00000000" w:rsidP="00000000" w:rsidRDefault="00000000" w:rsidRPr="00000000" w14:paraId="0000006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Though Alashkar passed away in Jerusalem in 1542, his influence resonated through the monumental codifications of the late 16th century.[2, 4] Rabbi Joseph Karo, the author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Shulchan Arukh</w:t>
      </w:r>
      <w:r w:rsidDel="00000000" w:rsidR="00000000" w:rsidRPr="00000000">
        <w:rPr>
          <w:rFonts w:ascii="Times New Roman" w:cs="Times New Roman" w:eastAsia="Times New Roman" w:hAnsi="Times New Roman"/>
          <w:color w:val="1b1b1c"/>
          <w:sz w:val="24"/>
          <w:szCs w:val="24"/>
          <w:highlight w:val="white"/>
          <w:rtl w:val="0"/>
        </w:rPr>
        <w:t xml:space="preserve">, drew heavily upon the responsa of Alashkar, particularly on matters where Alashkar had preserved the authentic Spanish or Geonic tradition.[6] Alashkar’s defense of the early twilight standard ensured that the Eastern Sephardic world maintained a distinct astronomical tradition from that of Central and Northern Europe.[9, 11]</w:t>
      </w:r>
    </w:p>
    <w:p w:rsidR="00000000" w:rsidDel="00000000" w:rsidP="00000000" w:rsidRDefault="00000000" w:rsidRPr="00000000" w14:paraId="0000006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Furthermore, his insistence on the relative "smallness" of his generation—the "ape to man" analogy—helped establish the boundaries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Acharonim</w:t>
      </w:r>
      <w:r w:rsidDel="00000000" w:rsidR="00000000" w:rsidRPr="00000000">
        <w:rPr>
          <w:rFonts w:ascii="Times New Roman" w:cs="Times New Roman" w:eastAsia="Times New Roman" w:hAnsi="Times New Roman"/>
          <w:color w:val="1b1b1c"/>
          <w:sz w:val="24"/>
          <w:szCs w:val="24"/>
          <w:highlight w:val="white"/>
          <w:rtl w:val="0"/>
        </w:rPr>
        <w:t xml:space="preserve"> (later authorities), setting a precedent for a style of scholarship that prioritized the synthesis and application of earlier codes rather than radical innovation.[6] His work on geographical names for divorce documents remained the gold standard for centuries, ensuring that the legal integrity of the Jewish family remained intact throughout the long Ottoman period.[3]</w:t>
      </w:r>
    </w:p>
    <w:p w:rsidR="00000000" w:rsidDel="00000000" w:rsidP="00000000" w:rsidRDefault="00000000" w:rsidRPr="00000000" w14:paraId="0000006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 The Bridge Between Worlds</w:t>
      </w:r>
    </w:p>
    <w:p w:rsidR="00000000" w:rsidDel="00000000" w:rsidP="00000000" w:rsidRDefault="00000000" w:rsidRPr="00000000" w14:paraId="0000006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Moshe Alashkar was a figure of transition, a scholar who navigated the collapse of one Jewish world and the difficult birth of another. His life—defined by flight, peril, and reconstruction—mirrored the collective experience of the Sephardic diaspora. By refusing to abandon the rationalist heritage of Maimonides, while simultaneously upholding the absolute authority of the early legal codes, he provided a stable intellectual framework for a people in crisis.</w:t>
      </w:r>
    </w:p>
    <w:p w:rsidR="00000000" w:rsidDel="00000000" w:rsidP="00000000" w:rsidRDefault="00000000" w:rsidRPr="00000000" w14:paraId="0000006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legacy is one of balance: the balance between philosophy and law, between messianic hope and legal caution, and between the poetic and the judicial. In the history of Jewish law, the Maharam Alashkar is remembered not just for the 121 responsa that bear his name, but as the guardian of the Spanish tradition who ensured that the light of Zamora would continue to illuminate the halls of study in Cairo, Safed, and Jerusalem for generations to come.[1, 4, 5]</w:t>
      </w:r>
    </w:p>
    <w:p w:rsidR="00000000" w:rsidDel="00000000" w:rsidP="00000000" w:rsidRDefault="00000000" w:rsidRPr="00000000" w14:paraId="0000006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69">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אלשקר</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https://www.yeshiva.org.il/wiki/index.php/%D7%A8%D7%91%D7%99_%D7%9E%D7%A9%D7%94_%D7%90%D7%9C%D7%A9%D7%A7%D7%A8</w:t>
        </w:r>
      </w:hyperlink>
      <w:r w:rsidDel="00000000" w:rsidR="00000000" w:rsidRPr="00000000">
        <w:rPr>
          <w:rtl w:val="0"/>
        </w:rPr>
      </w:r>
    </w:p>
    <w:p w:rsidR="00000000" w:rsidDel="00000000" w:rsidP="00000000" w:rsidRDefault="00000000" w:rsidRPr="00000000" w14:paraId="0000006A">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אלשקר</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https://he.wikipedia.org/wiki/%D7%9E%D7%A9%D7%94_%D7%90%D7%9C%D7%A9%D7%A7%D7%A8</w:t>
        </w:r>
      </w:hyperlink>
      <w:r w:rsidDel="00000000" w:rsidR="00000000" w:rsidRPr="00000000">
        <w:rPr>
          <w:rtl w:val="0"/>
        </w:rPr>
      </w:r>
    </w:p>
    <w:p w:rsidR="00000000" w:rsidDel="00000000" w:rsidP="00000000" w:rsidRDefault="00000000" w:rsidRPr="00000000" w14:paraId="0000006B">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Moses Alashkar - Wikipedia,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https://en.wikipedia.org/wiki/Moses_Alashkar</w:t>
        </w:r>
      </w:hyperlink>
      <w:r w:rsidDel="00000000" w:rsidR="00000000" w:rsidRPr="00000000">
        <w:rPr>
          <w:rtl w:val="0"/>
        </w:rPr>
      </w:r>
    </w:p>
    <w:p w:rsidR="00000000" w:rsidDel="00000000" w:rsidP="00000000" w:rsidRDefault="00000000" w:rsidRPr="00000000" w14:paraId="0000006C">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 Moshe Alashkar - (5226-5302; 1466-1542) - template4new.centers.chabad.org,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https://www.chabad.org/library/article_cdo/aid/112330/jewish/Rabbi-Moshe-Alashkar.htm</w:t>
        </w:r>
      </w:hyperlink>
      <w:r w:rsidDel="00000000" w:rsidR="00000000" w:rsidRPr="00000000">
        <w:rPr>
          <w:rtl w:val="0"/>
        </w:rPr>
      </w:r>
    </w:p>
    <w:p w:rsidR="00000000" w:rsidDel="00000000" w:rsidP="00000000" w:rsidRDefault="00000000" w:rsidRPr="00000000" w14:paraId="0000006D">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Alashkar, Moses ben Isaac | Encyclopedia.com,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https://www.encyclopedia.com/religion/encyclopedias-almanacs-transcripts-and-maps/alashkar-moses-ben-isaac</w:t>
        </w:r>
      </w:hyperlink>
      <w:r w:rsidDel="00000000" w:rsidR="00000000" w:rsidRPr="00000000">
        <w:rPr>
          <w:rtl w:val="0"/>
        </w:rPr>
      </w:r>
    </w:p>
    <w:p w:rsidR="00000000" w:rsidDel="00000000" w:rsidP="00000000" w:rsidRDefault="00000000" w:rsidRPr="00000000" w14:paraId="0000006E">
      <w:pPr>
        <w:numPr>
          <w:ilvl w:val="0"/>
          <w:numId w:val="1"/>
        </w:numPr>
        <w:bidi w:val="1"/>
        <w:spacing w:after="0" w:afterAutospacing="0" w:lineRule="auto"/>
        <w:ind w:left="720" w:hanging="360"/>
        <w:rPr>
          <w:sz w:val="24"/>
          <w:szCs w:val="24"/>
        </w:rPr>
      </w:pP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בהלכה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Gov</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il</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https://www.gov.il/BlobFolder/legalinfo/levshomea2/he/LevShomea2.pdf</w:t>
        </w:r>
      </w:hyperlink>
      <w:r w:rsidDel="00000000" w:rsidR="00000000" w:rsidRPr="00000000">
        <w:rPr>
          <w:rtl w:val="0"/>
        </w:rPr>
      </w:r>
    </w:p>
    <w:p w:rsidR="00000000" w:rsidDel="00000000" w:rsidP="00000000" w:rsidRDefault="00000000" w:rsidRPr="00000000" w14:paraId="0000006F">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השגות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אלשקר</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https://www.daat.ac.il/daat/mahshevt/pilosof/sefer1-2.htm</w:t>
        </w:r>
      </w:hyperlink>
      <w:r w:rsidDel="00000000" w:rsidR="00000000" w:rsidRPr="00000000">
        <w:rPr>
          <w:rtl w:val="0"/>
        </w:rPr>
      </w:r>
    </w:p>
    <w:p w:rsidR="00000000" w:rsidDel="00000000" w:rsidP="00000000" w:rsidRDefault="00000000" w:rsidRPr="00000000" w14:paraId="00000070">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קולן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סופרים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אלשקר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שו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מהר</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אלשקר</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כיכר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השבת</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https://www.kikar.co.il/actualy/t2e88w</w:t>
        </w:r>
      </w:hyperlink>
      <w:r w:rsidDel="00000000" w:rsidR="00000000" w:rsidRPr="00000000">
        <w:rPr>
          <w:rtl w:val="0"/>
        </w:rPr>
      </w:r>
    </w:p>
    <w:p w:rsidR="00000000" w:rsidDel="00000000" w:rsidP="00000000" w:rsidRDefault="00000000" w:rsidRPr="00000000" w14:paraId="00000071">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זמני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השבת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הרחבות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לפניני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הלכה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https://ph.yhb.org.il/plus/01-03-01/</w:t>
        </w:r>
      </w:hyperlink>
      <w:r w:rsidDel="00000000" w:rsidR="00000000" w:rsidRPr="00000000">
        <w:rPr>
          <w:rtl w:val="0"/>
        </w:rPr>
      </w:r>
    </w:p>
    <w:p w:rsidR="00000000" w:rsidDel="00000000" w:rsidP="00000000" w:rsidRDefault="00000000" w:rsidRPr="00000000" w14:paraId="00000072">
      <w:pPr>
        <w:numPr>
          <w:ilvl w:val="0"/>
          <w:numId w:val="1"/>
        </w:numPr>
        <w:bidi w:val="1"/>
        <w:spacing w:after="0" w:afterAutospacing="0" w:lineRule="auto"/>
        <w:ind w:left="720" w:hanging="360"/>
        <w:rPr>
          <w:sz w:val="24"/>
          <w:szCs w:val="24"/>
        </w:rPr>
      </w:pP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תשפ</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לפרשת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אספקלריא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חינוך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פולמוס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אספקלריא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https://beinenu.com/sites/default/files/alonim/211_41_81.pdf</w:t>
        </w:r>
      </w:hyperlink>
      <w:r w:rsidDel="00000000" w:rsidR="00000000" w:rsidRPr="00000000">
        <w:rPr>
          <w:rtl w:val="0"/>
        </w:rPr>
      </w:r>
    </w:p>
    <w:p w:rsidR="00000000" w:rsidDel="00000000" w:rsidP="00000000" w:rsidRDefault="00000000" w:rsidRPr="00000000" w14:paraId="00000073">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הבזק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חלק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https://www.sefaria.org.il/B'Mareh_HaBazak_Volume_VI.1</w:t>
        </w:r>
      </w:hyperlink>
      <w:r w:rsidDel="00000000" w:rsidR="00000000" w:rsidRPr="00000000">
        <w:rPr>
          <w:rtl w:val="0"/>
        </w:rPr>
      </w:r>
    </w:p>
    <w:p w:rsidR="00000000" w:rsidDel="00000000" w:rsidP="00000000" w:rsidRDefault="00000000" w:rsidRPr="00000000" w14:paraId="00000074">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טוב</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https://www.yeshiva.org.il/wiki/index.php/%D7%A8%D7%91%D7%99_%D7%A9%D7%9D_%D7%98%D7%95%D7%91_%D7%90%D7%91%D7%9F_%D7%A9%D7%9D_%D7%98%D7%95%D7%91</w:t>
        </w:r>
      </w:hyperlink>
      <w:r w:rsidDel="00000000" w:rsidR="00000000" w:rsidRPr="00000000">
        <w:rPr>
          <w:rtl w:val="0"/>
        </w:rPr>
      </w:r>
    </w:p>
    <w:p w:rsidR="00000000" w:rsidDel="00000000" w:rsidP="00000000" w:rsidRDefault="00000000" w:rsidRPr="00000000" w14:paraId="00000075">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הפולמוס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סביב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חידוש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סמיכה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תורה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שבכתב</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https://app.torahb.co.il/topics/%D7%94%D7%A4%D7%95%D7%9C%D7%9E%D7%95%D7%A1-%D7%A1%D7%91%D7%99%D7%91-%D7%97%D7%99%D7%93%D7%95%D7%A9-%D7%94%D7%A1%D7%9E%D7%99%D7%9B%D7%94/</w:t>
        </w:r>
      </w:hyperlink>
      <w:r w:rsidDel="00000000" w:rsidR="00000000" w:rsidRPr="00000000">
        <w:rPr>
          <w:rtl w:val="0"/>
        </w:rPr>
      </w:r>
    </w:p>
    <w:p w:rsidR="00000000" w:rsidDel="00000000" w:rsidP="00000000" w:rsidRDefault="00000000" w:rsidRPr="00000000" w14:paraId="00000076">
      <w:pPr>
        <w:numPr>
          <w:ilvl w:val="0"/>
          <w:numId w:val="1"/>
        </w:numPr>
        <w:bidi w:val="1"/>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חידוש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הסמיכה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9">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https://he.wikipedia.org/wiki/%D7%97%D7%99%D7%93%D7%95%D7%A9_%D7%94%D7%A1%D7%9E%D7%99%D7%9B%D7%94</w:t>
        </w:r>
      </w:hyperlink>
      <w:r w:rsidDel="00000000" w:rsidR="00000000" w:rsidRPr="00000000">
        <w:rPr>
          <w:rtl w:val="0"/>
        </w:rPr>
      </w:r>
    </w:p>
    <w:p w:rsidR="00000000" w:rsidDel="00000000" w:rsidP="00000000" w:rsidRDefault="00000000" w:rsidRPr="00000000" w14:paraId="00000077">
      <w:pPr>
        <w:bidi w:val="1"/>
        <w:rPr/>
      </w:pPr>
      <w:r w:rsidDel="00000000" w:rsidR="00000000" w:rsidRPr="00000000">
        <w:rPr>
          <w:rtl w:val="0"/>
        </w:rPr>
      </w:r>
    </w:p>
    <w:p w:rsidR="00000000" w:rsidDel="00000000" w:rsidP="00000000" w:rsidRDefault="00000000" w:rsidRPr="00000000" w14:paraId="00000078">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v.il/BlobFolder/legalinfo/levshomea2/he/LevShomea2.pdf" TargetMode="External"/><Relationship Id="rId10" Type="http://schemas.openxmlformats.org/officeDocument/2006/relationships/hyperlink" Target="https://www.encyclopedia.com/religion/encyclopedias-almanacs-transcripts-and-maps/alashkar-moses-ben-isaac" TargetMode="External"/><Relationship Id="rId13" Type="http://schemas.openxmlformats.org/officeDocument/2006/relationships/hyperlink" Target="https://www.kikar.co.il/actualy/t2e88w" TargetMode="External"/><Relationship Id="rId12" Type="http://schemas.openxmlformats.org/officeDocument/2006/relationships/hyperlink" Target="https://www.daat.ac.il/daat/mahshevt/pilosof/sefer1-2.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abad.org/library/article_cdo/aid/112330/jewish/Rabbi-Moshe-Alashkar.htm" TargetMode="External"/><Relationship Id="rId15" Type="http://schemas.openxmlformats.org/officeDocument/2006/relationships/hyperlink" Target="https://beinenu.com/sites/default/files/alonim/211_41_81.pdf" TargetMode="External"/><Relationship Id="rId14" Type="http://schemas.openxmlformats.org/officeDocument/2006/relationships/hyperlink" Target="https://ph.yhb.org.il/plus/01-03-01/" TargetMode="External"/><Relationship Id="rId17" Type="http://schemas.openxmlformats.org/officeDocument/2006/relationships/hyperlink" Target="https://www.yeshiva.org.il/wiki/index.php/%D7%A8%D7%91%D7%99_%D7%A9%D7%9D_%D7%98%D7%95%D7%91_%D7%90%D7%91%D7%9F_%D7%A9%D7%9D_%D7%98%D7%95%D7%91" TargetMode="External"/><Relationship Id="rId16" Type="http://schemas.openxmlformats.org/officeDocument/2006/relationships/hyperlink" Target="https://www.sefaria.org.il/B'Mareh_HaBazak_Volume_VI.1" TargetMode="External"/><Relationship Id="rId5" Type="http://schemas.openxmlformats.org/officeDocument/2006/relationships/styles" Target="styles.xml"/><Relationship Id="rId19" Type="http://schemas.openxmlformats.org/officeDocument/2006/relationships/hyperlink" Target="https://he.wikipedia.org/wiki/%D7%97%D7%99%D7%93%D7%95%D7%A9_%D7%94%D7%A1%D7%9E%D7%99%D7%9B%D7%94" TargetMode="External"/><Relationship Id="rId6" Type="http://schemas.openxmlformats.org/officeDocument/2006/relationships/hyperlink" Target="https://www.yeshiva.org.il/wiki/index.php/%D7%A8%D7%91%D7%99_%D7%9E%D7%A9%D7%94_%D7%90%D7%9C%D7%A9%D7%A7%D7%A8" TargetMode="External"/><Relationship Id="rId18" Type="http://schemas.openxmlformats.org/officeDocument/2006/relationships/hyperlink" Target="https://app.torahb.co.il/topics/%D7%94%D7%A4%D7%95%D7%9C%D7%9E%D7%95%D7%A1-%D7%A1%D7%91%D7%99%D7%91-%D7%97%D7%99%D7%93%D7%95%D7%A9-%D7%94%D7%A1%D7%9E%D7%99%D7%9B%D7%94/" TargetMode="External"/><Relationship Id="rId7" Type="http://schemas.openxmlformats.org/officeDocument/2006/relationships/hyperlink" Target="https://he.wikipedia.org/wiki/%D7%9E%D7%A9%D7%94_%D7%90%D7%9C%D7%A9%D7%A7%D7%A8" TargetMode="External"/><Relationship Id="rId8" Type="http://schemas.openxmlformats.org/officeDocument/2006/relationships/hyperlink" Target="https://en.wikipedia.org/wiki/Moses_Alashk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