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rPr>
          <w:rFonts w:ascii="Times New Roman" w:cs="Times New Roman" w:eastAsia="Times New Roman" w:hAnsi="Times New Roman"/>
          <w:color w:val="1b1b1c"/>
          <w:sz w:val="33"/>
          <w:szCs w:val="33"/>
          <w:highlight w:val="white"/>
        </w:rPr>
      </w:pPr>
      <w:r w:rsidDel="00000000" w:rsidR="00000000" w:rsidRPr="00000000">
        <w:rPr>
          <w:rFonts w:ascii="Times New Roman" w:cs="Times New Roman" w:eastAsia="Times New Roman" w:hAnsi="Times New Roman"/>
          <w:color w:val="1b1b1c"/>
          <w:sz w:val="33"/>
          <w:szCs w:val="33"/>
          <w:highlight w:val="white"/>
          <w:rtl w:val="0"/>
        </w:rPr>
        <w:t xml:space="preserve">The Rabbinic and Mystical Synthesis of Rabbi Joseph Taitazak: Halakhic Authority, Maggidic Revelations, and the Post-Expulsion Sephardic Diaspora</w:t>
      </w:r>
    </w:p>
    <w:p w:rsidR="00000000" w:rsidDel="00000000" w:rsidP="00000000" w:rsidRDefault="00000000" w:rsidRPr="00000000" w14:paraId="00000002">
      <w:pPr>
        <w:shd w:fill="edeffa" w:val="clear"/>
        <w:bidi w:val="1"/>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Source guide</w:t>
      </w:r>
    </w:p>
    <w:p w:rsidR="00000000" w:rsidDel="00000000" w:rsidP="00000000" w:rsidRDefault="00000000" w:rsidRPr="00000000" w14:paraId="00000003">
      <w:pPr>
        <w:shd w:fill="edeffa" w:val="clear"/>
        <w:bidi w:val="1"/>
        <w:spacing w:after="160" w:lineRule="auto"/>
        <w:rPr>
          <w:rFonts w:ascii="Times New Roman" w:cs="Times New Roman" w:eastAsia="Times New Roman" w:hAnsi="Times New Roman"/>
          <w:color w:val="303030"/>
          <w:sz w:val="21"/>
          <w:szCs w:val="21"/>
          <w:highlight w:val="white"/>
        </w:rPr>
      </w:pPr>
      <w:r w:rsidDel="00000000" w:rsidR="00000000" w:rsidRPr="00000000">
        <w:rPr>
          <w:rFonts w:ascii="Times New Roman" w:cs="Times New Roman" w:eastAsia="Times New Roman" w:hAnsi="Times New Roman"/>
          <w:color w:val="303030"/>
          <w:sz w:val="21"/>
          <w:szCs w:val="21"/>
          <w:highlight w:val="white"/>
          <w:rtl w:val="1"/>
        </w:rPr>
        <w:t xml:space="preserve">טקסט</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זה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סוקר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דמותו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רבת</w:t>
      </w:r>
      <w:r w:rsidDel="00000000" w:rsidR="00000000" w:rsidRPr="00000000">
        <w:rPr>
          <w:rFonts w:ascii="Times New Roman" w:cs="Times New Roman" w:eastAsia="Times New Roman" w:hAnsi="Times New Roman"/>
          <w:color w:val="303030"/>
          <w:sz w:val="21"/>
          <w:szCs w:val="21"/>
          <w:highlight w:val="white"/>
          <w:rtl w:val="1"/>
        </w:rPr>
        <w:t xml:space="preserve">-</w:t>
      </w:r>
      <w:r w:rsidDel="00000000" w:rsidR="00000000" w:rsidRPr="00000000">
        <w:rPr>
          <w:rFonts w:ascii="Times New Roman" w:cs="Times New Roman" w:eastAsia="Times New Roman" w:hAnsi="Times New Roman"/>
          <w:color w:val="303030"/>
          <w:sz w:val="21"/>
          <w:szCs w:val="21"/>
          <w:highlight w:val="white"/>
          <w:rtl w:val="1"/>
        </w:rPr>
        <w:t xml:space="preserve">האנפין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רבי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יוסף</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טאיטאצאק</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המהרי</w:t>
      </w:r>
      <w:r w:rsidDel="00000000" w:rsidR="00000000" w:rsidRPr="00000000">
        <w:rPr>
          <w:rFonts w:ascii="Times New Roman" w:cs="Times New Roman" w:eastAsia="Times New Roman" w:hAnsi="Times New Roman"/>
          <w:color w:val="303030"/>
          <w:sz w:val="21"/>
          <w:szCs w:val="21"/>
          <w:highlight w:val="white"/>
          <w:rtl w:val="1"/>
        </w:rPr>
        <w:t xml:space="preserve">"</w:t>
      </w:r>
      <w:r w:rsidDel="00000000" w:rsidR="00000000" w:rsidRPr="00000000">
        <w:rPr>
          <w:rFonts w:ascii="Times New Roman" w:cs="Times New Roman" w:eastAsia="Times New Roman" w:hAnsi="Times New Roman"/>
          <w:color w:val="303030"/>
          <w:sz w:val="21"/>
          <w:szCs w:val="21"/>
          <w:highlight w:val="white"/>
          <w:rtl w:val="1"/>
        </w:rPr>
        <w:t xml:space="preserve">ט</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מגדולי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חכמי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יוון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והאימפריה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העות</w:t>
      </w:r>
      <w:r w:rsidDel="00000000" w:rsidR="00000000" w:rsidRPr="00000000">
        <w:rPr>
          <w:rFonts w:ascii="Times New Roman" w:cs="Times New Roman" w:eastAsia="Times New Roman" w:hAnsi="Times New Roman"/>
          <w:color w:val="303030"/>
          <w:sz w:val="21"/>
          <w:szCs w:val="21"/>
          <w:highlight w:val="white"/>
          <w:rtl w:val="1"/>
        </w:rPr>
        <w:t xml:space="preserve">'</w:t>
      </w:r>
      <w:r w:rsidDel="00000000" w:rsidR="00000000" w:rsidRPr="00000000">
        <w:rPr>
          <w:rFonts w:ascii="Times New Roman" w:cs="Times New Roman" w:eastAsia="Times New Roman" w:hAnsi="Times New Roman"/>
          <w:color w:val="303030"/>
          <w:sz w:val="21"/>
          <w:szCs w:val="21"/>
          <w:highlight w:val="white"/>
          <w:rtl w:val="1"/>
        </w:rPr>
        <w:t xml:space="preserve">מאנית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לאחר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גירוש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ספרד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ומשרטט</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השפעתו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המכרעת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עולם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ההלכה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והקבלה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המאמר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מתאר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כיצד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שילב</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טאיצאק</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חלוציות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למדנית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סגפנות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קיצונית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ועיסוק</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במדעים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ומתמטיקה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ככלים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להבנת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סודות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אלוהיים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זאת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תוך</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הנהגת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ישיבה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מרכזית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בסלוניקי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שהעמידה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דור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גדולי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עולם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לצד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דיון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בחיבוריו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וביחסי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הגומלין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דמויות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כמרן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יוסף</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קארו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המקור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בוחן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הפן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המיסטי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בחייו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בדגש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גילויים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מגידיים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והפולמוס</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המחקרי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סביב</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ייחוס</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כתיבת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ספר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המשיב</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לדמותו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מטרת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הסקירה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היא</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להאיר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הסינתזה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הייחודית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שיצר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טאיצאק</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הדיסציפלינות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השונות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סינתזה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ששימשה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גשר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רוחני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מורשת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ספרד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האבודה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הפריחה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המחודשת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המרכזים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היהודיים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במזרח</w:t>
      </w:r>
      <w:r w:rsidDel="00000000" w:rsidR="00000000" w:rsidRPr="00000000">
        <w:rPr>
          <w:rFonts w:ascii="Times New Roman" w:cs="Times New Roman" w:eastAsia="Times New Roman" w:hAnsi="Times New Roman"/>
          <w:color w:val="303030"/>
          <w:sz w:val="21"/>
          <w:szCs w:val="21"/>
          <w:highlight w:val="white"/>
          <w:rtl w:val="1"/>
        </w:rPr>
        <w:t xml:space="preserve">.</w:t>
      </w:r>
    </w:p>
    <w:p w:rsidR="00000000" w:rsidDel="00000000" w:rsidP="00000000" w:rsidRDefault="00000000" w:rsidRPr="00000000" w14:paraId="00000004">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Rabbinic and Mystical Synthesis of Rabbi Joseph Taitazak: Halakhic Authority, Maggidic Revelations, and the Post-Expulsion Sephardic Diaspora</w:t>
      </w:r>
    </w:p>
    <w:p w:rsidR="00000000" w:rsidDel="00000000" w:rsidP="00000000" w:rsidRDefault="00000000" w:rsidRPr="00000000" w14:paraId="00000005">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Biographical Trajectory and Geographic Migration</w:t>
      </w:r>
    </w:p>
    <w:p w:rsidR="00000000" w:rsidDel="00000000" w:rsidP="00000000" w:rsidRDefault="00000000" w:rsidRPr="00000000" w14:paraId="00000006">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forced expulsion of Jewish communities from the Iberian Peninsula in 1492 serves as the primary geopolitical backdrop for the dramatic reorganization of early modern Jewish life.[1, 2] Among the aristocratic families of Spanish Jews displaced during this crisis was the Taitazak lineage, also recorded in contemporary manuscripts as Tatasic, a prominent family of Castilian rabbinic authorities.[1] Rabbi Joseph ben Solomon Taitazak, widely referred to in subsequent rabbinic literature by the acronym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Maharit</w:t>
      </w:r>
      <w:r w:rsidDel="00000000" w:rsidR="00000000" w:rsidRPr="00000000">
        <w:rPr>
          <w:rFonts w:ascii="Times New Roman" w:cs="Times New Roman" w:eastAsia="Times New Roman" w:hAnsi="Times New Roman"/>
          <w:color w:val="1b1b1c"/>
          <w:sz w:val="24"/>
          <w:szCs w:val="24"/>
          <w:highlight w:val="white"/>
          <w:rtl w:val="0"/>
        </w:rPr>
        <w:t xml:space="preserve">, was born in Castile, Spain, in the year 1465 (5225 AM).[2, 3] Following the Edict of Expulsion, he fled his native land alongside his father, Solomon, and his brother, Rabbi Yehuda ben Solomon Taitazak.[1]</w:t>
      </w:r>
    </w:p>
    <w:p w:rsidR="00000000" w:rsidDel="00000000" w:rsidP="00000000" w:rsidRDefault="00000000" w:rsidRPr="00000000" w14:paraId="0000000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family migrated eastward to the expanding territories of the Ottoman Empire, which actively absorbed the influx of Sephardic exiles. They eventually settled in the thriving Aegean port city of Salonica, situated in Ottoman Greece.[1, 2] Under Taitazak’s spiritual and academic stewardship, Salonica transformed into a preeminent center of Jewish legal scholarship and mystical contemplation.[1, 2] In his later years, Taitazak relocated from Salonica to the imperial capital of Constantinople (Kushta), where he spent his final days.[2, 3] He passed away in Constantinople in 1546 (5306 AM) at the advanced age of approximately eighty-one and was buried within the city's municipal limits.[2, 3]</w:t>
      </w:r>
    </w:p>
    <w:p w:rsidR="00000000" w:rsidDel="00000000" w:rsidP="00000000" w:rsidRDefault="00000000" w:rsidRPr="00000000" w14:paraId="00000008">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Taitazak’s passing is traditionally commemorated on the 21st of Sivan, a date marked as his </w:t>
      </w:r>
      <w:r w:rsidDel="00000000" w:rsidR="00000000" w:rsidRPr="00000000">
        <w:rPr>
          <w:rFonts w:ascii="Times New Roman" w:cs="Times New Roman" w:eastAsia="Times New Roman" w:hAnsi="Times New Roman"/>
          <w:i w:val="1"/>
          <w:iCs w:val="1"/>
          <w:color w:val="1b1b1c"/>
          <w:sz w:val="24"/>
          <w:szCs w:val="24"/>
          <w:highlight w:val="white"/>
          <w:rtl w:val="0"/>
        </w:rPr>
        <w:t xml:space="preserve">yahrzeit</w:t>
      </w:r>
      <w:r w:rsidDel="00000000" w:rsidR="00000000" w:rsidRPr="00000000">
        <w:rPr>
          <w:rFonts w:ascii="Times New Roman" w:cs="Times New Roman" w:eastAsia="Times New Roman" w:hAnsi="Times New Roman"/>
          <w:color w:val="1b1b1c"/>
          <w:sz w:val="24"/>
          <w:szCs w:val="24"/>
          <w:highlight w:val="white"/>
          <w:rtl w:val="0"/>
        </w:rPr>
        <w:t xml:space="preserve">.[1] In traditional rabbinic circles, this anniversary is observed through the lighting of memorial candles and the recitation of specific biblical selections, notably the alphabetical verses of Psalm 119 corresponding to the letters of the soul, or </w:t>
      </w:r>
      <w:r w:rsidDel="00000000" w:rsidR="00000000" w:rsidRPr="00000000">
        <w:rPr>
          <w:rFonts w:ascii="Times New Roman" w:cs="Times New Roman" w:eastAsia="Times New Roman" w:hAnsi="Times New Roman"/>
          <w:i w:val="1"/>
          <w:iCs w:val="1"/>
          <w:color w:val="1b1b1c"/>
          <w:sz w:val="24"/>
          <w:szCs w:val="24"/>
          <w:highlight w:val="white"/>
          <w:rtl w:val="0"/>
        </w:rPr>
        <w:t xml:space="preserve">neshama</w:t>
      </w:r>
      <w:r w:rsidDel="00000000" w:rsidR="00000000" w:rsidRPr="00000000">
        <w:rPr>
          <w:rFonts w:ascii="Times New Roman" w:cs="Times New Roman" w:eastAsia="Times New Roman" w:hAnsi="Times New Roman"/>
          <w:color w:val="1b1b1c"/>
          <w:sz w:val="24"/>
          <w:szCs w:val="24"/>
          <w:highlight w:val="white"/>
          <w:rtl w:val="0"/>
        </w:rPr>
        <w:t xml:space="preserve">.[1, 4]</w:t>
      </w:r>
    </w:p>
    <w:tbl>
      <w:tblPr>
        <w:tblStyle w:val="Table1"/>
        <w:bidiVisual w:val="1"/>
        <w:tblW w:w="11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5900"/>
        <w:gridCol w:w="2495"/>
        <w:tblGridChange w:id="0">
          <w:tblGrid>
            <w:gridCol w:w="2735"/>
            <w:gridCol w:w="5900"/>
            <w:gridCol w:w="2495"/>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Biographical Parameter</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Historical Detail</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Primary Source References</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Date and Place of Birth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1465 (5225 AM); Castile, Kingdom of Spain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Geographic Displacements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Exile from Spain (1492) to Salonica, Ottoman Greece; late-life migration to Constantinople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Date and Place of Death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1546 (5306 AM) at age 81; Constantinople (Kushta), Ottoman Empire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[2, 3]</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Annual Commemoration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Yahrzeit observed on the 21st of Sivan with candle-lighting and devotional liturgy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4]</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Primary Institutional Role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Rosh Yeshiva and spiritual leader of the Salonica rabbinic academy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2, 3]</w:t>
            </w:r>
          </w:p>
        </w:tc>
      </w:tr>
    </w:tbl>
    <w:p w:rsidR="00000000" w:rsidDel="00000000" w:rsidP="00000000" w:rsidRDefault="00000000" w:rsidRPr="00000000" w14:paraId="0000001B">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Acronym Confusion and the Turkish Rabbinic Nomenclature</w:t>
      </w:r>
    </w:p>
    <w:p w:rsidR="00000000" w:rsidDel="00000000" w:rsidP="00000000" w:rsidRDefault="00000000" w:rsidRPr="00000000" w14:paraId="0000001C">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Within Ottoman halakhic historiography, a notable point of textual clarification concerns the acronymic designation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Maharit</w:t>
      </w:r>
      <w:r w:rsidDel="00000000" w:rsidR="00000000" w:rsidRPr="00000000">
        <w:rPr>
          <w:rFonts w:ascii="Times New Roman" w:cs="Times New Roman" w:eastAsia="Times New Roman" w:hAnsi="Times New Roman"/>
          <w:color w:val="1b1b1c"/>
          <w:sz w:val="24"/>
          <w:szCs w:val="24"/>
          <w:highlight w:val="white"/>
          <w:rtl w:val="0"/>
        </w:rPr>
        <w:t xml:space="preserve">.[5] While this abbreviation is most commonly associated in subsequent centuries with the preeminent seventeenth-century legalist Rabbi Joseph di Trani (the son of the Mabit, who authored the foundational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She'elot U'Tshuvot Maharit</w:t>
      </w:r>
      <w:r w:rsidDel="00000000" w:rsidR="00000000" w:rsidRPr="00000000">
        <w:rPr>
          <w:rFonts w:ascii="Times New Roman" w:cs="Times New Roman" w:eastAsia="Times New Roman" w:hAnsi="Times New Roman"/>
          <w:color w:val="1b1b1c"/>
          <w:sz w:val="24"/>
          <w:szCs w:val="24"/>
          <w:highlight w:val="white"/>
          <w:rtl w:val="0"/>
        </w:rPr>
        <w:t xml:space="preserve"> and talmudic novellae), Turkish rabbinic authorities originally applied this title exclusively to Rabbi Joseph Taitazak.[3, 5]</w:t>
      </w:r>
    </w:p>
    <w:p w:rsidR="00000000" w:rsidDel="00000000" w:rsidP="00000000" w:rsidRDefault="00000000" w:rsidRPr="00000000" w14:paraId="0000001D">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To prevent cross-generational confusion and distinguish Taitazak from his later namesake, Ottoman scholars introduced specific nomenclatural adjustments.[5] While Taitazak retained the primary designation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Maharit</w:t>
      </w:r>
      <w:r w:rsidDel="00000000" w:rsidR="00000000" w:rsidRPr="00000000">
        <w:rPr>
          <w:rFonts w:ascii="Times New Roman" w:cs="Times New Roman" w:eastAsia="Times New Roman" w:hAnsi="Times New Roman"/>
          <w:color w:val="1b1b1c"/>
          <w:sz w:val="24"/>
          <w:szCs w:val="24"/>
          <w:highlight w:val="white"/>
          <w:rtl w:val="0"/>
        </w:rPr>
        <w:t xml:space="preserve"> in older Turkish manuscripts, di Trani was often referred to as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Maharimat</w:t>
      </w:r>
      <w:r w:rsidDel="00000000" w:rsidR="00000000" w:rsidRPr="00000000">
        <w:rPr>
          <w:rFonts w:ascii="Times New Roman" w:cs="Times New Roman" w:eastAsia="Times New Roman" w:hAnsi="Times New Roman"/>
          <w:color w:val="1b1b1c"/>
          <w:sz w:val="24"/>
          <w:szCs w:val="24"/>
          <w:highlight w:val="white"/>
          <w:rtl w:val="0"/>
        </w:rPr>
        <w:t xml:space="preserve"> (Morenu HaRav Yosef Mi-Trani) or vice versa in specific administrative and legal texts.[5] This terminological distinction underscores the high level of authority Taitazak commanded; his legal and mystical legacy was so pervasive that he remained the default "Maharit" in the region for decades after his death, establishing a high bar of scholarship against which subsequent generations of Ottoman decisors were measured.[2, 3, 5]</w:t>
      </w:r>
    </w:p>
    <w:p w:rsidR="00000000" w:rsidDel="00000000" w:rsidP="00000000" w:rsidRDefault="00000000" w:rsidRPr="00000000" w14:paraId="0000001E">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Ascetic Disciplines, Cognitive Regimen, and Secular Metaphysics</w:t>
      </w:r>
    </w:p>
    <w:p w:rsidR="00000000" w:rsidDel="00000000" w:rsidP="00000000" w:rsidRDefault="00000000" w:rsidRPr="00000000" w14:paraId="0000001F">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Taitazak’s leadership was characterized by an uncompromising commitment to ascetic self-mastery and relentless cognitive labor.[1, 3] Contemporaries and biographers documented an existential methodology that completely subordinated physical comforts to spiritual and intellectual pursuits. A primary account provided by the sixteenth-century Kabbalist Rabbi Eliyahu de Vidas indicates that, with the sole exception of Sabbath nights, Taitazak spent forty years without ever sleeping in a conventional bed.[1]</w:t>
      </w:r>
    </w:p>
    <w:p w:rsidR="00000000" w:rsidDel="00000000" w:rsidP="00000000" w:rsidRDefault="00000000" w:rsidRPr="00000000" w14:paraId="00000020">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His brother, Rabbi Yehuda ben Solomon Taitazak, preserved further details of this ascetic regimen in his legal treatise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She'erit Yehuda</w:t>
      </w:r>
      <w:r w:rsidDel="00000000" w:rsidR="00000000" w:rsidRPr="00000000">
        <w:rPr>
          <w:rFonts w:ascii="Times New Roman" w:cs="Times New Roman" w:eastAsia="Times New Roman" w:hAnsi="Times New Roman"/>
          <w:color w:val="1b1b1c"/>
          <w:sz w:val="24"/>
          <w:szCs w:val="24"/>
          <w:highlight w:val="white"/>
          <w:rtl w:val="0"/>
        </w:rPr>
        <w:t xml:space="preserve">, testifying that Joseph restricted his combined daily intake of food and sleep to a maximum of six hours.[3] Whenever a complex legal query or communal emergency demanded his attention, he would actively reduce his sleep even further to draft his responsa.[3] This extreme self-discipline supported an academic routine in which he engaged in intensive Torah study for up to eighteen hours a day.[1]</w:t>
      </w:r>
    </w:p>
    <w:p w:rsidR="00000000" w:rsidDel="00000000" w:rsidP="00000000" w:rsidRDefault="00000000" w:rsidRPr="00000000" w14:paraId="00000021">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Crucially, Taitazak's intellectual horizon extended beyond classical talmudic and midrashic boundaries to incorporate secular sciences, particularly mathematics and astronomy, which he integrated into his metaphysical framework.[1, 6] He wrote treatises on grammar and arithmetic, utilizing these disciplines to construct elaborate mathematical magic squares.[1, 6] In these matrices, the integers are arranged such that the sum of any row, column, or main diagonal yields a single magic constant, calculated via the formula:</w:t>
      </w:r>
    </w:p>
    <w:p w:rsidR="00000000" w:rsidDel="00000000" w:rsidP="00000000" w:rsidRDefault="00000000" w:rsidRPr="00000000" w14:paraId="00000022">
      <w:pPr>
        <w:bidi w:val="1"/>
        <w:spacing w:after="240" w:before="240" w:line="288" w:lineRule="auto"/>
        <w:ind w:right="-20"/>
        <w:jc w:val="cente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M</w:t>
      </w:r>
      <w:r w:rsidDel="00000000" w:rsidR="00000000" w:rsidRPr="00000000">
        <w:rPr>
          <w:rFonts w:ascii="Times New Roman" w:cs="Times New Roman" w:eastAsia="Times New Roman" w:hAnsi="Times New Roman"/>
          <w:color w:val="1b1b1c"/>
          <w:sz w:val="29"/>
          <w:szCs w:val="29"/>
          <w:highlight w:val="white"/>
          <w:rtl w:val="0"/>
        </w:rPr>
        <w:t xml:space="preserve">=</w:t>
      </w:r>
    </w:p>
    <w:p w:rsidR="00000000" w:rsidDel="00000000" w:rsidP="00000000" w:rsidRDefault="00000000" w:rsidRPr="00000000" w14:paraId="00000023">
      <w:pPr>
        <w:bidi w:val="1"/>
        <w:spacing w:after="240" w:before="240" w:line="288" w:lineRule="auto"/>
        <w:ind w:right="-20"/>
        <w:jc w:val="cente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color w:val="1b1b1c"/>
          <w:sz w:val="29"/>
          <w:szCs w:val="29"/>
          <w:highlight w:val="white"/>
          <w:rtl w:val="0"/>
        </w:rPr>
        <w:t xml:space="preserve">2</w:t>
      </w:r>
    </w:p>
    <w:p w:rsidR="00000000" w:rsidDel="00000000" w:rsidP="00000000" w:rsidRDefault="00000000" w:rsidRPr="00000000" w14:paraId="00000024">
      <w:pPr>
        <w:bidi w:val="1"/>
        <w:spacing w:after="240" w:before="240" w:line="288" w:lineRule="auto"/>
        <w:ind w:right="-20"/>
        <w:rPr>
          <w:rFonts w:ascii="Times New Roman" w:cs="Times New Roman" w:eastAsia="Times New Roman" w:hAnsi="Times New Roman"/>
          <w:i w:val="1"/>
          <w:iCs w:val="1"/>
          <w:color w:val="1b1b1c"/>
          <w:sz w:val="29"/>
          <w:szCs w:val="29"/>
          <w:highlight w:val="white"/>
        </w:rPr>
      </w:pPr>
      <w:r w:rsidDel="00000000" w:rsidR="00000000" w:rsidRPr="00000000">
        <w:rPr>
          <w:rFonts w:ascii="Times New Roman" w:cs="Times New Roman" w:eastAsia="Times New Roman" w:hAnsi="Times New Roman"/>
          <w:i w:val="1"/>
          <w:iCs w:val="1"/>
          <w:color w:val="1b1b1c"/>
          <w:sz w:val="29"/>
          <w:szCs w:val="29"/>
          <w:highlight w:val="white"/>
          <w:rtl w:val="0"/>
        </w:rPr>
        <w:t xml:space="preserve">n</w:t>
      </w:r>
      <w:r w:rsidDel="00000000" w:rsidR="00000000" w:rsidRPr="00000000">
        <w:rPr>
          <w:rFonts w:ascii="Times New Roman" w:cs="Times New Roman" w:eastAsia="Times New Roman" w:hAnsi="Times New Roman"/>
          <w:color w:val="1b1b1c"/>
          <w:sz w:val="29"/>
          <w:szCs w:val="29"/>
          <w:highlight w:val="white"/>
          <w:rtl w:val="0"/>
        </w:rPr>
        <w:t xml:space="preserve">(</w:t>
      </w:r>
      <w:r w:rsidDel="00000000" w:rsidR="00000000" w:rsidRPr="00000000">
        <w:rPr>
          <w:rFonts w:ascii="Times New Roman" w:cs="Times New Roman" w:eastAsia="Times New Roman" w:hAnsi="Times New Roman"/>
          <w:i w:val="1"/>
          <w:iCs w:val="1"/>
          <w:color w:val="1b1b1c"/>
          <w:sz w:val="29"/>
          <w:szCs w:val="29"/>
          <w:highlight w:val="white"/>
          <w:rtl w:val="0"/>
        </w:rPr>
        <w:t xml:space="preserve">n</w:t>
      </w:r>
    </w:p>
    <w:p w:rsidR="00000000" w:rsidDel="00000000" w:rsidP="00000000" w:rsidRDefault="00000000" w:rsidRPr="00000000" w14:paraId="00000025">
      <w:pPr>
        <w:bidi w:val="1"/>
        <w:spacing w:after="240" w:before="240" w:line="288" w:lineRule="auto"/>
        <w:rPr>
          <w:rFonts w:ascii="Times New Roman" w:cs="Times New Roman" w:eastAsia="Times New Roman" w:hAnsi="Times New Roman"/>
          <w:color w:val="1b1b1c"/>
          <w:sz w:val="20"/>
          <w:szCs w:val="20"/>
          <w:highlight w:val="white"/>
        </w:rPr>
      </w:pPr>
      <w:r w:rsidDel="00000000" w:rsidR="00000000" w:rsidRPr="00000000">
        <w:rPr>
          <w:rFonts w:ascii="Times New Roman" w:cs="Times New Roman" w:eastAsia="Times New Roman" w:hAnsi="Times New Roman"/>
          <w:color w:val="1b1b1c"/>
          <w:sz w:val="20"/>
          <w:szCs w:val="20"/>
          <w:highlight w:val="white"/>
          <w:rtl w:val="0"/>
        </w:rPr>
        <w:t xml:space="preserve">2</w:t>
      </w:r>
    </w:p>
    <w:p w:rsidR="00000000" w:rsidDel="00000000" w:rsidP="00000000" w:rsidRDefault="00000000" w:rsidRPr="00000000" w14:paraId="00000026">
      <w:pPr>
        <w:bidi w:val="1"/>
        <w:spacing w:after="240" w:before="240" w:line="288" w:lineRule="auto"/>
        <w:ind w:right="-20"/>
        <w:jc w:val="center"/>
        <w:rPr>
          <w:rFonts w:ascii="Times New Roman" w:cs="Times New Roman" w:eastAsia="Times New Roman" w:hAnsi="Times New Roman"/>
          <w:color w:val="1b1b1c"/>
          <w:sz w:val="29"/>
          <w:szCs w:val="29"/>
          <w:highlight w:val="white"/>
        </w:rPr>
      </w:pPr>
      <w:r w:rsidDel="00000000" w:rsidR="00000000" w:rsidRPr="00000000">
        <w:rPr>
          <w:rFonts w:ascii="Times New Roman" w:cs="Times New Roman" w:eastAsia="Times New Roman" w:hAnsi="Times New Roman"/>
          <w:color w:val="1b1b1c"/>
          <w:sz w:val="29"/>
          <w:szCs w:val="29"/>
          <w:highlight w:val="white"/>
          <w:rtl w:val="0"/>
        </w:rPr>
        <w:t xml:space="preserve">+1)</w:t>
      </w:r>
    </w:p>
    <w:p w:rsidR="00000000" w:rsidDel="00000000" w:rsidP="00000000" w:rsidRDefault="00000000" w:rsidRPr="00000000" w14:paraId="00000027">
      <w:pPr>
        <w:bidi w:val="1"/>
        <w:spacing w:after="240" w:before="240" w:line="288" w:lineRule="auto"/>
        <w:ind w:right="-20"/>
        <w:jc w:val="center"/>
        <w:rPr>
          <w:rFonts w:ascii="Times New Roman" w:cs="Times New Roman" w:eastAsia="Times New Roman" w:hAnsi="Times New Roman"/>
          <w:color w:val="1b1b1c"/>
          <w:sz w:val="2"/>
          <w:szCs w:val="2"/>
          <w:highlight w:val="white"/>
        </w:rPr>
      </w:pPr>
      <w:r w:rsidDel="00000000" w:rsidR="00000000" w:rsidRPr="00000000">
        <w:rPr>
          <w:rFonts w:ascii="Times New Roman" w:cs="Times New Roman" w:eastAsia="Times New Roman" w:hAnsi="Times New Roman"/>
          <w:color w:val="1b1b1c"/>
          <w:sz w:val="2"/>
          <w:szCs w:val="2"/>
          <w:highlight w:val="white"/>
          <w:rtl w:val="0"/>
        </w:rPr>
        <w:t xml:space="preserve">​</w:t>
      </w:r>
    </w:p>
    <w:p w:rsidR="00000000" w:rsidDel="00000000" w:rsidP="00000000" w:rsidRDefault="00000000" w:rsidRPr="00000000" w14:paraId="00000028">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Taitazak posited that these mathematical arrangements were physical and cognitive representations of highly concealed divine configurations and celestial names.[1] His application of magic squares and mathematical tools for mystical purposes—including the formulation of defensive and meditative amulets—is extensively referenced in the writings of his contemporaries and successors.[1] These include the 1550 CE manuscript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Shushan</w:t>
      </w:r>
      <w:r w:rsidDel="00000000" w:rsidR="00000000" w:rsidRPr="00000000">
        <w:rPr>
          <w:rFonts w:ascii="Times New Roman" w:cs="Times New Roman" w:eastAsia="Times New Roman" w:hAnsi="Times New Roman"/>
          <w:color w:val="1b1b1c"/>
          <w:sz w:val="24"/>
          <w:szCs w:val="24"/>
          <w:highlight w:val="white"/>
          <w:rtl w:val="0"/>
        </w:rPr>
        <w:t xml:space="preserve"> compiled by Rabbi Joseph Turisome, the kabbalistic treatise </w:t>
      </w:r>
      <w:r w:rsidDel="00000000" w:rsidR="00000000" w:rsidRPr="00000000">
        <w:rPr>
          <w:rFonts w:ascii="Times New Roman" w:cs="Times New Roman" w:eastAsia="Times New Roman" w:hAnsi="Times New Roman"/>
          <w:i w:val="1"/>
          <w:iCs w:val="1"/>
          <w:color w:val="1b1b1c"/>
          <w:sz w:val="24"/>
          <w:szCs w:val="24"/>
          <w:highlight w:val="white"/>
          <w:rtl w:val="0"/>
        </w:rPr>
        <w:t xml:space="preserve">Toledot Adam</w:t>
      </w:r>
      <w:r w:rsidDel="00000000" w:rsidR="00000000" w:rsidRPr="00000000">
        <w:rPr>
          <w:rFonts w:ascii="Times New Roman" w:cs="Times New Roman" w:eastAsia="Times New Roman" w:hAnsi="Times New Roman"/>
          <w:color w:val="1b1b1c"/>
          <w:sz w:val="24"/>
          <w:szCs w:val="24"/>
          <w:highlight w:val="white"/>
          <w:rtl w:val="0"/>
        </w:rPr>
        <w:t xml:space="preserve">, and Rabbi Isaiah Horowitz's monumental work,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Shene Luhot HaBerit</w:t>
      </w:r>
      <w:r w:rsidDel="00000000" w:rsidR="00000000" w:rsidRPr="00000000">
        <w:rPr>
          <w:rFonts w:ascii="Times New Roman" w:cs="Times New Roman" w:eastAsia="Times New Roman" w:hAnsi="Times New Roman"/>
          <w:color w:val="1b1b1c"/>
          <w:sz w:val="24"/>
          <w:szCs w:val="24"/>
          <w:highlight w:val="white"/>
          <w:rtl w:val="0"/>
        </w:rPr>
        <w:t xml:space="preserve">.[1]</w:t>
      </w:r>
    </w:p>
    <w:tbl>
      <w:tblPr>
        <w:tblStyle w:val="Table2"/>
        <w:bidiVisual w:val="1"/>
        <w:tblW w:w="11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6440"/>
        <w:gridCol w:w="2045"/>
        <w:tblGridChange w:id="0">
          <w:tblGrid>
            <w:gridCol w:w="2645"/>
            <w:gridCol w:w="6440"/>
            <w:gridCol w:w="2045"/>
          </w:tblGrid>
        </w:tblGridChange>
      </w:tblGrid>
      <w:tr>
        <w:trPr>
          <w:cantSplit w:val="0"/>
          <w:trHeight w:val="152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Contemporary and Epistolary Figures</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Nature of Relationship and Historical Interaction</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Primary Source References</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Joseph Karo</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Maintained active halakhic correspondence; Karo praised him in </w:t>
            </w:r>
            <w:r w:rsidDel="00000000" w:rsidR="00000000" w:rsidRPr="00000000">
              <w:rPr>
                <w:rFonts w:ascii="Times New Roman" w:cs="Times New Roman" w:eastAsia="Times New Roman" w:hAnsi="Times New Roman"/>
                <w:i w:val="1"/>
                <w:iCs w:val="1"/>
                <w:color w:val="1b1b1c"/>
                <w:sz w:val="24"/>
                <w:szCs w:val="24"/>
                <w:highlight w:val="white"/>
                <w:rtl w:val="0"/>
              </w:rPr>
              <w:t xml:space="preserve">Avkat Rokhel</w:t>
            </w:r>
            <w:r w:rsidDel="00000000" w:rsidR="00000000" w:rsidRPr="00000000">
              <w:rPr>
                <w:rFonts w:ascii="Times New Roman" w:cs="Times New Roman" w:eastAsia="Times New Roman" w:hAnsi="Times New Roman"/>
                <w:color w:val="1b1b1c"/>
                <w:sz w:val="24"/>
                <w:szCs w:val="24"/>
                <w:highlight w:val="white"/>
                <w:rtl w:val="0"/>
              </w:rPr>
              <w:t xml:space="preserve"> and received instructions regarding Taitazak's rulings from his own celestial guide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Maggid</w:t>
            </w:r>
            <w:r w:rsidDel="00000000" w:rsidR="00000000" w:rsidRPr="00000000">
              <w:rPr>
                <w:rFonts w:ascii="Times New Roman" w:cs="Times New Roman" w:eastAsia="Times New Roman" w:hAnsi="Times New Roman"/>
                <w:color w:val="1b1b1c"/>
                <w:sz w:val="24"/>
                <w:szCs w:val="24"/>
                <w:highlight w:val="white"/>
                <w:rtl w:val="0"/>
              </w:rPr>
              <w:t xml:space="preserv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[2, 3]</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Solomon Molcho</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Messianic visionary and former Marrano courtier; stayed in Taitazak's Salonica study house (</w:t>
            </w:r>
            <w:r w:rsidDel="00000000" w:rsidR="00000000" w:rsidRPr="00000000">
              <w:rPr>
                <w:rFonts w:ascii="Times New Roman" w:cs="Times New Roman" w:eastAsia="Times New Roman" w:hAnsi="Times New Roman"/>
                <w:i w:val="1"/>
                <w:iCs w:val="1"/>
                <w:color w:val="1b1b1c"/>
                <w:sz w:val="24"/>
                <w:szCs w:val="24"/>
                <w:highlight w:val="white"/>
                <w:rtl w:val="0"/>
              </w:rPr>
              <w:t xml:space="preserve">Beit Midrash</w:t>
            </w:r>
            <w:r w:rsidDel="00000000" w:rsidR="00000000" w:rsidRPr="00000000">
              <w:rPr>
                <w:rFonts w:ascii="Times New Roman" w:cs="Times New Roman" w:eastAsia="Times New Roman" w:hAnsi="Times New Roman"/>
                <w:color w:val="1b1b1c"/>
                <w:sz w:val="24"/>
                <w:szCs w:val="24"/>
                <w:highlight w:val="white"/>
                <w:rtl w:val="0"/>
              </w:rPr>
              <w:t xml:space="preserve">) in 1529 (5289 AM) during his apocalyptic campaigns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[2, 7]</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Benjamin ben Mattathias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bidi w:val="1"/>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Renowned Greek halakhic decisor; included Taitazak's authoritative legal decisions in his responsa collection </w:t>
            </w:r>
            <w:r w:rsidDel="00000000" w:rsidR="00000000" w:rsidRPr="00000000">
              <w:rPr>
                <w:rFonts w:ascii="Times New Roman" w:cs="Times New Roman" w:eastAsia="Times New Roman" w:hAnsi="Times New Roman"/>
                <w:i w:val="1"/>
                <w:iCs w:val="1"/>
                <w:color w:val="1b1b1c"/>
                <w:sz w:val="24"/>
                <w:szCs w:val="24"/>
                <w:highlight w:val="white"/>
                <w:rtl w:val="0"/>
              </w:rPr>
              <w:t xml:space="preserve">Binyamin Ze'ev</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[3]</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Eliyahu de Vidas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Sixteenth-century Safed Kabbalist; documented and propagated the accounts of Taitazak's extreme ascetic practices, including his forty-year avoidance of beds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Joseph Turisome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bidi w:val="1"/>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Kabbalistic compiler; preserved Taitazak's mathematical and amuletic formulations in his 1550 CE manuscript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Shushan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w:t>
            </w:r>
          </w:p>
        </w:tc>
      </w:tr>
    </w:tbl>
    <w:p w:rsidR="00000000" w:rsidDel="00000000" w:rsidP="00000000" w:rsidRDefault="00000000" w:rsidRPr="00000000" w14:paraId="0000003B">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Halakhic Prominence, Exegetical Works, and Published Legacy</w:t>
      </w:r>
    </w:p>
    <w:p w:rsidR="00000000" w:rsidDel="00000000" w:rsidP="00000000" w:rsidRDefault="00000000" w:rsidRPr="00000000" w14:paraId="0000003C">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Taitazak was recognized as a leading halakhic authority (</w:t>
      </w:r>
      <w:r w:rsidDel="00000000" w:rsidR="00000000" w:rsidRPr="00000000">
        <w:rPr>
          <w:rFonts w:ascii="Times New Roman" w:cs="Times New Roman" w:eastAsia="Times New Roman" w:hAnsi="Times New Roman"/>
          <w:i w:val="1"/>
          <w:iCs w:val="1"/>
          <w:color w:val="1b1b1c"/>
          <w:sz w:val="24"/>
          <w:szCs w:val="24"/>
          <w:highlight w:val="white"/>
          <w:rtl w:val="0"/>
        </w:rPr>
        <w:t xml:space="preserve">posek</w:t>
      </w:r>
      <w:r w:rsidDel="00000000" w:rsidR="00000000" w:rsidRPr="00000000">
        <w:rPr>
          <w:rFonts w:ascii="Times New Roman" w:cs="Times New Roman" w:eastAsia="Times New Roman" w:hAnsi="Times New Roman"/>
          <w:color w:val="1b1b1c"/>
          <w:sz w:val="24"/>
          <w:szCs w:val="24"/>
          <w:highlight w:val="white"/>
          <w:rtl w:val="0"/>
        </w:rPr>
        <w:t xml:space="preserve">) of the sixteenth century, corresponding on complex legal matters with the greatest contemporary scholars across the Mediterranean basin.[2, 3] His legal stature is preserved in the responsa collections of his peers, including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Responsa Binyamin Ze'ev</w:t>
      </w:r>
      <w:r w:rsidDel="00000000" w:rsidR="00000000" w:rsidRPr="00000000">
        <w:rPr>
          <w:rFonts w:ascii="Times New Roman" w:cs="Times New Roman" w:eastAsia="Times New Roman" w:hAnsi="Times New Roman"/>
          <w:color w:val="1b1b1c"/>
          <w:sz w:val="24"/>
          <w:szCs w:val="24"/>
          <w:highlight w:val="white"/>
          <w:rtl w:val="0"/>
        </w:rPr>
        <w:t xml:space="preserve"> (specifically Siman 423).[3] His most significant legal contemporary, Rabbi Joseph Karo, expressed unbounded admiration for him, addressing him in his collection </w:t>
      </w:r>
      <w:r w:rsidDel="00000000" w:rsidR="00000000" w:rsidRPr="00000000">
        <w:rPr>
          <w:rFonts w:ascii="Times New Roman" w:cs="Times New Roman" w:eastAsia="Times New Roman" w:hAnsi="Times New Roman"/>
          <w:i w:val="1"/>
          <w:iCs w:val="1"/>
          <w:color w:val="1b1b1c"/>
          <w:sz w:val="24"/>
          <w:szCs w:val="24"/>
          <w:highlight w:val="white"/>
          <w:rtl w:val="0"/>
        </w:rPr>
        <w:t xml:space="preserve">Avkat Rokhel</w:t>
      </w:r>
      <w:r w:rsidDel="00000000" w:rsidR="00000000" w:rsidRPr="00000000">
        <w:rPr>
          <w:rFonts w:ascii="Times New Roman" w:cs="Times New Roman" w:eastAsia="Times New Roman" w:hAnsi="Times New Roman"/>
          <w:color w:val="1b1b1c"/>
          <w:sz w:val="24"/>
          <w:szCs w:val="24"/>
          <w:highlight w:val="white"/>
          <w:rtl w:val="0"/>
        </w:rPr>
        <w:t xml:space="preserve"> (Siman 51) with the following laudatory honorifics: "The light of Israel and its holy one, the crown of the sons of the exile who stands as a banner for the nations... head of our Torah academy, the eminent, complete, and all-encompassing sage".[3]</w:t>
      </w:r>
    </w:p>
    <w:p w:rsidR="00000000" w:rsidDel="00000000" w:rsidP="00000000" w:rsidRDefault="00000000" w:rsidRPr="00000000" w14:paraId="0000003D">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Taitazak’s literary corpus was diverse, encompassing biblical exegesis, talmudic analysis, and homiletics, though much of his work remained in manuscript form or was published posthumously.[1, 2]</w:t>
      </w:r>
    </w:p>
    <w:tbl>
      <w:tblPr>
        <w:tblStyle w:val="Table3"/>
        <w:bidiVisual w:val="1"/>
        <w:tblW w:w="11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3980"/>
        <w:gridCol w:w="3410"/>
        <w:gridCol w:w="1955"/>
        <w:tblGridChange w:id="0">
          <w:tblGrid>
            <w:gridCol w:w="2000"/>
            <w:gridCol w:w="3980"/>
            <w:gridCol w:w="3410"/>
            <w:gridCol w:w="1955"/>
          </w:tblGrid>
        </w:tblGridChange>
      </w:tblGrid>
      <w:tr>
        <w:trPr>
          <w:cantSplit w:val="0"/>
          <w:trHeight w:val="152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Title of Work</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Key Focus and Subject Matter</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Historical Publication Context</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Primary Source References</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bidi w:val="1"/>
              <w:rPr>
                <w:rFonts w:ascii="Times New Roman" w:cs="Times New Roman" w:eastAsia="Times New Roman" w:hAnsi="Times New Roman"/>
                <w:b w:val="1"/>
                <w:bCs w:val="1"/>
                <w:i w:val="1"/>
                <w:iCs w:val="1"/>
                <w:color w:val="1b1b1c"/>
                <w:sz w:val="24"/>
                <w:szCs w:val="24"/>
                <w:highlight w:val="white"/>
              </w:rPr>
            </w:pPr>
            <w:r w:rsidDel="00000000" w:rsidR="00000000" w:rsidRPr="00000000">
              <w:rPr>
                <w:rFonts w:ascii="Times New Roman" w:cs="Times New Roman" w:eastAsia="Times New Roman" w:hAnsi="Times New Roman"/>
                <w:b w:val="1"/>
                <w:bCs w:val="1"/>
                <w:i w:val="1"/>
                <w:iCs w:val="1"/>
                <w:color w:val="1b1b1c"/>
                <w:sz w:val="24"/>
                <w:szCs w:val="24"/>
                <w:highlight w:val="white"/>
                <w:rtl w:val="0"/>
              </w:rPr>
              <w:t xml:space="preserve">Porat Yosef</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Philosophical and kabbalistic commentary on the biblical book of Ecclesiastes (</w:t>
            </w:r>
            <w:r w:rsidDel="00000000" w:rsidR="00000000" w:rsidRPr="00000000">
              <w:rPr>
                <w:rFonts w:ascii="Times New Roman" w:cs="Times New Roman" w:eastAsia="Times New Roman" w:hAnsi="Times New Roman"/>
                <w:i w:val="1"/>
                <w:iCs w:val="1"/>
                <w:color w:val="1b1b1c"/>
                <w:sz w:val="24"/>
                <w:szCs w:val="24"/>
                <w:highlight w:val="white"/>
                <w:rtl w:val="0"/>
              </w:rPr>
              <w:t xml:space="preserve">Kohelet</w:t>
            </w:r>
            <w:r w:rsidDel="00000000" w:rsidR="00000000" w:rsidRPr="00000000">
              <w:rPr>
                <w:rFonts w:ascii="Times New Roman" w:cs="Times New Roman" w:eastAsia="Times New Roman" w:hAnsi="Times New Roman"/>
                <w:color w:val="1b1b1c"/>
                <w:sz w:val="24"/>
                <w:szCs w:val="24"/>
                <w:highlight w:val="white"/>
                <w:rtl w:val="0"/>
              </w:rPr>
              <w:t xml:space="preserv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Published in Venice, 1599 (5359 AM)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2, 3, 8]</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bidi w:val="1"/>
              <w:rPr>
                <w:rFonts w:ascii="Times New Roman" w:cs="Times New Roman" w:eastAsia="Times New Roman" w:hAnsi="Times New Roman"/>
                <w:b w:val="1"/>
                <w:bCs w:val="1"/>
                <w:i w:val="1"/>
                <w:iCs w:val="1"/>
                <w:color w:val="1b1b1c"/>
                <w:sz w:val="24"/>
                <w:szCs w:val="24"/>
                <w:highlight w:val="white"/>
              </w:rPr>
            </w:pPr>
            <w:r w:rsidDel="00000000" w:rsidR="00000000" w:rsidRPr="00000000">
              <w:rPr>
                <w:rFonts w:ascii="Times New Roman" w:cs="Times New Roman" w:eastAsia="Times New Roman" w:hAnsi="Times New Roman"/>
                <w:b w:val="1"/>
                <w:bCs w:val="1"/>
                <w:i w:val="1"/>
                <w:iCs w:val="1"/>
                <w:color w:val="1b1b1c"/>
                <w:sz w:val="24"/>
                <w:szCs w:val="24"/>
                <w:highlight w:val="white"/>
                <w:rtl w:val="0"/>
              </w:rPr>
              <w:t xml:space="preserve">Lehem Setarim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Esoteric and literal commentary on the Book of Daniel and the Five Megillot (</w:t>
            </w:r>
            <w:r w:rsidDel="00000000" w:rsidR="00000000" w:rsidRPr="00000000">
              <w:rPr>
                <w:rFonts w:ascii="Times New Roman" w:cs="Times New Roman" w:eastAsia="Times New Roman" w:hAnsi="Times New Roman"/>
                <w:i w:val="1"/>
                <w:iCs w:val="1"/>
                <w:color w:val="1b1b1c"/>
                <w:sz w:val="24"/>
                <w:szCs w:val="24"/>
                <w:highlight w:val="white"/>
                <w:rtl w:val="0"/>
              </w:rPr>
              <w:t xml:space="preserve">Five Scrolls</w:t>
            </w:r>
            <w:r w:rsidDel="00000000" w:rsidR="00000000" w:rsidRPr="00000000">
              <w:rPr>
                <w:rFonts w:ascii="Times New Roman" w:cs="Times New Roman" w:eastAsia="Times New Roman" w:hAnsi="Times New Roman"/>
                <w:color w:val="1b1b1c"/>
                <w:sz w:val="24"/>
                <w:szCs w:val="24"/>
                <w:highlight w:val="white"/>
                <w:rtl w:val="0"/>
              </w:rPr>
              <w:t xml:space="preserv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Published in Venice, 1608 (5368 AM)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2, 3]</w:t>
            </w:r>
          </w:p>
        </w:tc>
      </w:tr>
      <w:tr>
        <w:trPr>
          <w:cantSplit w:val="0"/>
          <w:trHeight w:val="189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bidi w:val="1"/>
              <w:rPr>
                <w:rFonts w:ascii="Times New Roman" w:cs="Times New Roman" w:eastAsia="Times New Roman" w:hAnsi="Times New Roman"/>
                <w:b w:val="1"/>
                <w:bCs w:val="1"/>
                <w:i w:val="1"/>
                <w:iCs w:val="1"/>
                <w:color w:val="1b1b1c"/>
                <w:sz w:val="24"/>
                <w:szCs w:val="24"/>
                <w:highlight w:val="white"/>
              </w:rPr>
            </w:pPr>
            <w:r w:rsidDel="00000000" w:rsidR="00000000" w:rsidRPr="00000000">
              <w:rPr>
                <w:rFonts w:ascii="Times New Roman" w:cs="Times New Roman" w:eastAsia="Times New Roman" w:hAnsi="Times New Roman"/>
                <w:b w:val="1"/>
                <w:bCs w:val="1"/>
                <w:i w:val="1"/>
                <w:iCs w:val="1"/>
                <w:color w:val="1b1b1c"/>
                <w:sz w:val="24"/>
                <w:szCs w:val="24"/>
                <w:highlight w:val="white"/>
                <w:rtl w:val="0"/>
              </w:rPr>
              <w:t xml:space="preserve">Peskei HaGaon Maharit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Halakhic decisions and legal responsa interwoven with disclosures received from a celestial guide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Edited and reconstructed from manuscript by Prof. Meir Benayahu</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[3, 9]</w:t>
            </w:r>
          </w:p>
        </w:tc>
      </w:tr>
      <w:tr>
        <w:trPr>
          <w:cantSplit w:val="0"/>
          <w:trHeight w:val="189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bidi w:val="1"/>
              <w:rPr>
                <w:rFonts w:ascii="Times New Roman" w:cs="Times New Roman" w:eastAsia="Times New Roman" w:hAnsi="Times New Roman"/>
                <w:b w:val="1"/>
                <w:bCs w:val="1"/>
                <w:i w:val="1"/>
                <w:iCs w:val="1"/>
                <w:color w:val="1b1b1c"/>
                <w:sz w:val="24"/>
                <w:szCs w:val="24"/>
                <w:highlight w:val="white"/>
              </w:rPr>
            </w:pPr>
            <w:r w:rsidDel="00000000" w:rsidR="00000000" w:rsidRPr="00000000">
              <w:rPr>
                <w:rFonts w:ascii="Times New Roman" w:cs="Times New Roman" w:eastAsia="Times New Roman" w:hAnsi="Times New Roman"/>
                <w:b w:val="1"/>
                <w:bCs w:val="1"/>
                <w:i w:val="1"/>
                <w:iCs w:val="1"/>
                <w:color w:val="1b1b1c"/>
                <w:sz w:val="24"/>
                <w:szCs w:val="24"/>
                <w:highlight w:val="white"/>
                <w:rtl w:val="0"/>
              </w:rPr>
              <w:t xml:space="preserve">She'erit Yehuda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Rabbinic responsa, homiletic discourses, and legal rulings preserving much of Joseph's methodology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Authored by his brother, Rabbi Yehuda Taitazak; published in Salonica, 1600 (5360 AM)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[2, 3]</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bidi w:val="1"/>
              <w:rPr>
                <w:rFonts w:ascii="Times New Roman" w:cs="Times New Roman" w:eastAsia="Times New Roman" w:hAnsi="Times New Roman"/>
                <w:b w:val="1"/>
                <w:bCs w:val="1"/>
                <w:i w:val="1"/>
                <w:iCs w:val="1"/>
                <w:color w:val="1b1b1c"/>
                <w:sz w:val="24"/>
                <w:szCs w:val="24"/>
                <w:highlight w:val="white"/>
              </w:rPr>
            </w:pPr>
            <w:r w:rsidDel="00000000" w:rsidR="00000000" w:rsidRPr="00000000">
              <w:rPr>
                <w:rFonts w:ascii="Times New Roman" w:cs="Times New Roman" w:eastAsia="Times New Roman" w:hAnsi="Times New Roman"/>
                <w:b w:val="1"/>
                <w:bCs w:val="1"/>
                <w:i w:val="1"/>
                <w:iCs w:val="1"/>
                <w:color w:val="1b1b1c"/>
                <w:sz w:val="24"/>
                <w:szCs w:val="24"/>
                <w:highlight w:val="white"/>
                <w:rtl w:val="0"/>
              </w:rPr>
              <w:t xml:space="preserve">Pirkei Avot Commentary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bidi w:val="1"/>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Ethical and theological analysis of the Mishnaic </w:t>
            </w:r>
            <w:r w:rsidDel="00000000" w:rsidR="00000000" w:rsidRPr="00000000">
              <w:rPr>
                <w:rFonts w:ascii="Times New Roman" w:cs="Times New Roman" w:eastAsia="Times New Roman" w:hAnsi="Times New Roman"/>
                <w:i w:val="1"/>
                <w:iCs w:val="1"/>
                <w:color w:val="1b1b1c"/>
                <w:sz w:val="24"/>
                <w:szCs w:val="24"/>
                <w:highlight w:val="white"/>
                <w:rtl w:val="0"/>
              </w:rPr>
              <w:t xml:space="preserve">Sayings of the Fathers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Preserved in early printings and manuscript collections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w:t>
            </w:r>
          </w:p>
        </w:tc>
      </w:tr>
    </w:tbl>
    <w:p w:rsidR="00000000" w:rsidDel="00000000" w:rsidP="00000000" w:rsidRDefault="00000000" w:rsidRPr="00000000" w14:paraId="00000056">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Beyond these primary texts, Taitazak authored extensive commentaries on the Book of Psalms (</w:t>
      </w:r>
      <w:r w:rsidDel="00000000" w:rsidR="00000000" w:rsidRPr="00000000">
        <w:rPr>
          <w:rFonts w:ascii="Times New Roman" w:cs="Times New Roman" w:eastAsia="Times New Roman" w:hAnsi="Times New Roman"/>
          <w:i w:val="1"/>
          <w:iCs w:val="1"/>
          <w:color w:val="1b1b1c"/>
          <w:sz w:val="24"/>
          <w:szCs w:val="24"/>
          <w:highlight w:val="white"/>
          <w:rtl w:val="0"/>
        </w:rPr>
        <w:t xml:space="preserve">Tehillim</w:t>
      </w:r>
      <w:r w:rsidDel="00000000" w:rsidR="00000000" w:rsidRPr="00000000">
        <w:rPr>
          <w:rFonts w:ascii="Times New Roman" w:cs="Times New Roman" w:eastAsia="Times New Roman" w:hAnsi="Times New Roman"/>
          <w:color w:val="1b1b1c"/>
          <w:sz w:val="24"/>
          <w:szCs w:val="24"/>
          <w:highlight w:val="white"/>
          <w:rtl w:val="0"/>
        </w:rPr>
        <w:t xml:space="preserve">), the broader Hebrew Bible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Mikra</w:t>
      </w:r>
      <w:r w:rsidDel="00000000" w:rsidR="00000000" w:rsidRPr="00000000">
        <w:rPr>
          <w:rFonts w:ascii="Times New Roman" w:cs="Times New Roman" w:eastAsia="Times New Roman" w:hAnsi="Times New Roman"/>
          <w:color w:val="1b1b1c"/>
          <w:sz w:val="24"/>
          <w:szCs w:val="24"/>
          <w:highlight w:val="white"/>
          <w:rtl w:val="0"/>
        </w:rPr>
        <w:t xml:space="preserve">), homiletical sermons (</w:t>
      </w:r>
      <w:r w:rsidDel="00000000" w:rsidR="00000000" w:rsidRPr="00000000">
        <w:rPr>
          <w:rFonts w:ascii="Times New Roman" w:cs="Times New Roman" w:eastAsia="Times New Roman" w:hAnsi="Times New Roman"/>
          <w:i w:val="1"/>
          <w:iCs w:val="1"/>
          <w:color w:val="1b1b1c"/>
          <w:sz w:val="24"/>
          <w:szCs w:val="24"/>
          <w:highlight w:val="white"/>
          <w:rtl w:val="0"/>
        </w:rPr>
        <w:t xml:space="preserve">Derashot</w:t>
      </w:r>
      <w:r w:rsidDel="00000000" w:rsidR="00000000" w:rsidRPr="00000000">
        <w:rPr>
          <w:rFonts w:ascii="Times New Roman" w:cs="Times New Roman" w:eastAsia="Times New Roman" w:hAnsi="Times New Roman"/>
          <w:color w:val="1b1b1c"/>
          <w:sz w:val="24"/>
          <w:szCs w:val="24"/>
          <w:highlight w:val="white"/>
          <w:rtl w:val="0"/>
        </w:rPr>
        <w:t xml:space="preserve">), and haggadic passages, solidifying his role as an all-encompassing scholar who navigated both the legalistic and literary facets of Jewish tradition.[1, 2]</w:t>
      </w:r>
    </w:p>
    <w:p w:rsidR="00000000" w:rsidDel="00000000" w:rsidP="00000000" w:rsidRDefault="00000000" w:rsidRPr="00000000" w14:paraId="00000057">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Yeshiva of Salonica and the Pedigree of Disciples</w:t>
      </w:r>
    </w:p>
    <w:p w:rsidR="00000000" w:rsidDel="00000000" w:rsidP="00000000" w:rsidRDefault="00000000" w:rsidRPr="00000000" w14:paraId="00000058">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yeshiva established by Taitazak in Salonica served as the intellectual incubator for the post-expulsion Sephardic rabbinate.[1, 2] His teaching methodology combined intense talmudic analysis with a comprehensive education in biblical exegesis, grammar, and mysticism, producing a class of leadership that defined Jewish life across the Ottoman Empire and Europe.[1, 2, 6, 10]</w:t>
      </w:r>
    </w:p>
    <w:tbl>
      <w:tblPr>
        <w:tblStyle w:val="Table4"/>
        <w:bidiVisual w:val="1"/>
        <w:tblW w:w="11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3470"/>
        <w:gridCol w:w="3605"/>
        <w:gridCol w:w="1790"/>
        <w:tblGridChange w:id="0">
          <w:tblGrid>
            <w:gridCol w:w="2465"/>
            <w:gridCol w:w="3470"/>
            <w:gridCol w:w="3605"/>
            <w:gridCol w:w="1790"/>
          </w:tblGrid>
        </w:tblGridChange>
      </w:tblGrid>
      <w:tr>
        <w:trPr>
          <w:cantSplit w:val="0"/>
          <w:trHeight w:val="152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Disciple Name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Primary Historical Role and Contributions</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Crucial Literary and Rabbinic Legacy</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bidi w:val="1"/>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Primary Source References</w:t>
            </w:r>
          </w:p>
        </w:tc>
      </w:tr>
      <w:tr>
        <w:trPr>
          <w:cantSplit w:val="0"/>
          <w:trHeight w:val="225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Moses Alshich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Preacher, halakhist, and Bible commentator; studied in Adrianople under Karo and in Salonica under Taitazak before migrating to Safed</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Authored </w:t>
            </w:r>
            <w:r w:rsidDel="00000000" w:rsidR="00000000" w:rsidRPr="00000000">
              <w:rPr>
                <w:rFonts w:ascii="Times New Roman" w:cs="Times New Roman" w:eastAsia="Times New Roman" w:hAnsi="Times New Roman"/>
                <w:i w:val="1"/>
                <w:iCs w:val="1"/>
                <w:color w:val="1b1b1c"/>
                <w:sz w:val="24"/>
                <w:szCs w:val="24"/>
                <w:highlight w:val="white"/>
                <w:rtl w:val="0"/>
              </w:rPr>
              <w:t xml:space="preserve">Torat Moshe</w:t>
            </w:r>
            <w:r w:rsidDel="00000000" w:rsidR="00000000" w:rsidRPr="00000000">
              <w:rPr>
                <w:rFonts w:ascii="Times New Roman" w:cs="Times New Roman" w:eastAsia="Times New Roman" w:hAnsi="Times New Roman"/>
                <w:color w:val="1b1b1c"/>
                <w:sz w:val="24"/>
                <w:szCs w:val="24"/>
                <w:highlight w:val="white"/>
                <w:rtl w:val="0"/>
              </w:rPr>
              <w:t xml:space="preserve"> (popular homiletical commentary); served as the primary teacher of Rabbi Hayyim Vital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2, 10]</w:t>
            </w:r>
          </w:p>
        </w:tc>
      </w:tr>
      <w:tr>
        <w:trPr>
          <w:cantSplit w:val="0"/>
          <w:trHeight w:val="225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Samuel de Medina (Maharashdam)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Preeminent halakhic authority and Rosh Yeshiva of Salonica; succeeded Taitazak as the city's leading legal arbiter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Authored </w:t>
            </w:r>
            <w:r w:rsidDel="00000000" w:rsidR="00000000" w:rsidRPr="00000000">
              <w:rPr>
                <w:rFonts w:ascii="Times New Roman" w:cs="Times New Roman" w:eastAsia="Times New Roman" w:hAnsi="Times New Roman"/>
                <w:i w:val="1"/>
                <w:iCs w:val="1"/>
                <w:color w:val="1b1b1c"/>
                <w:sz w:val="24"/>
                <w:szCs w:val="24"/>
                <w:highlight w:val="white"/>
                <w:rtl w:val="0"/>
              </w:rPr>
              <w:t xml:space="preserve">Responsa Maharashdam</w:t>
            </w:r>
            <w:r w:rsidDel="00000000" w:rsidR="00000000" w:rsidRPr="00000000">
              <w:rPr>
                <w:rFonts w:ascii="Times New Roman" w:cs="Times New Roman" w:eastAsia="Times New Roman" w:hAnsi="Times New Roman"/>
                <w:color w:val="1b1b1c"/>
                <w:sz w:val="24"/>
                <w:szCs w:val="24"/>
                <w:highlight w:val="white"/>
                <w:rtl w:val="0"/>
              </w:rPr>
              <w:t xml:space="preserve">, containing over a thousand rulings shaping Ottoman-Jewish civil and commercial law</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2]</w:t>
            </w:r>
          </w:p>
        </w:tc>
      </w:tr>
      <w:tr>
        <w:trPr>
          <w:cantSplit w:val="0"/>
          <w:trHeight w:val="189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Solomon Alkabetz</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Leading Kabbalist and liturgist of the Safed circle; developed highly influential meditative and mystical practices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Composed the famous liturgical poem </w:t>
            </w:r>
            <w:r w:rsidDel="00000000" w:rsidR="00000000" w:rsidRPr="00000000">
              <w:rPr>
                <w:rFonts w:ascii="Times New Roman" w:cs="Times New Roman" w:eastAsia="Times New Roman" w:hAnsi="Times New Roman"/>
                <w:i w:val="1"/>
                <w:iCs w:val="1"/>
                <w:color w:val="1b1b1c"/>
                <w:sz w:val="24"/>
                <w:szCs w:val="24"/>
                <w:highlight w:val="white"/>
                <w:rtl w:val="0"/>
              </w:rPr>
              <w:t xml:space="preserve">Lecha Dodi</w:t>
            </w:r>
            <w:r w:rsidDel="00000000" w:rsidR="00000000" w:rsidRPr="00000000">
              <w:rPr>
                <w:rFonts w:ascii="Times New Roman" w:cs="Times New Roman" w:eastAsia="Times New Roman" w:hAnsi="Times New Roman"/>
                <w:color w:val="1b1b1c"/>
                <w:sz w:val="24"/>
                <w:szCs w:val="24"/>
                <w:highlight w:val="white"/>
                <w:rtl w:val="0"/>
              </w:rPr>
              <w:t xml:space="preserve">, sung globally to usher in the Sabbath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2]</w:t>
            </w:r>
          </w:p>
        </w:tc>
      </w:tr>
      <w:tr>
        <w:trPr>
          <w:cantSplit w:val="0"/>
          <w:trHeight w:val="26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Eliezer Ashkenazi</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Wandering polymath, rabbi, and physician; served communities in Egypt, Cyprus, Italy, and Poland, linking Sephardic and Ashkenazic centers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Authored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Ma'asei HaShem</w:t>
            </w:r>
            <w:r w:rsidDel="00000000" w:rsidR="00000000" w:rsidRPr="00000000">
              <w:rPr>
                <w:rFonts w:ascii="Times New Roman" w:cs="Times New Roman" w:eastAsia="Times New Roman" w:hAnsi="Times New Roman"/>
                <w:color w:val="1b1b1c"/>
                <w:sz w:val="24"/>
                <w:szCs w:val="24"/>
                <w:highlight w:val="white"/>
                <w:rtl w:val="0"/>
              </w:rPr>
              <w:t xml:space="preserve">, a comprehensive commentary on the historical narratives of the Torah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2]</w:t>
            </w:r>
          </w:p>
        </w:tc>
      </w:tr>
      <w:tr>
        <w:trPr>
          <w:cantSplit w:val="0"/>
          <w:trHeight w:val="189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Isaac Adarbi</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Communal rabbi and halakhic authority in Salonica; noted for his oratorical skills and legal clarity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bidi w:val="1"/>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Authored the responsa collection </w:t>
            </w:r>
            <w:r w:rsidDel="00000000" w:rsidR="00000000" w:rsidRPr="00000000">
              <w:rPr>
                <w:rFonts w:ascii="Times New Roman" w:cs="Times New Roman" w:eastAsia="Times New Roman" w:hAnsi="Times New Roman"/>
                <w:i w:val="1"/>
                <w:iCs w:val="1"/>
                <w:color w:val="1b1b1c"/>
                <w:sz w:val="24"/>
                <w:szCs w:val="24"/>
                <w:highlight w:val="white"/>
                <w:rtl w:val="0"/>
              </w:rPr>
              <w:t xml:space="preserve">Divrei Rivot</w:t>
            </w:r>
            <w:r w:rsidDel="00000000" w:rsidR="00000000" w:rsidRPr="00000000">
              <w:rPr>
                <w:rFonts w:ascii="Times New Roman" w:cs="Times New Roman" w:eastAsia="Times New Roman" w:hAnsi="Times New Roman"/>
                <w:color w:val="1b1b1c"/>
                <w:sz w:val="24"/>
                <w:szCs w:val="24"/>
                <w:highlight w:val="white"/>
                <w:rtl w:val="0"/>
              </w:rPr>
              <w:t xml:space="preserve"> and the homiletical work </w:t>
            </w:r>
            <w:r w:rsidDel="00000000" w:rsidR="00000000" w:rsidRPr="00000000">
              <w:rPr>
                <w:rFonts w:ascii="Times New Roman" w:cs="Times New Roman" w:eastAsia="Times New Roman" w:hAnsi="Times New Roman"/>
                <w:i w:val="1"/>
                <w:iCs w:val="1"/>
                <w:color w:val="1b1b1c"/>
                <w:sz w:val="24"/>
                <w:szCs w:val="24"/>
                <w:highlight w:val="white"/>
                <w:rtl w:val="0"/>
              </w:rPr>
              <w:t xml:space="preserve">Divrei Shalom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[2]</w:t>
            </w:r>
          </w:p>
        </w:tc>
      </w:tr>
      <w:tr>
        <w:trPr>
          <w:cantSplit w:val="0"/>
          <w:trHeight w:val="189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bidi w:val="1"/>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Joseph ibn Verga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Turkish rabbinic scholar, historian, and member of the prominent ibn Verga lineage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Co-authored and edited the historical chronicle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Shevet Yehudah</w:t>
            </w:r>
            <w:r w:rsidDel="00000000" w:rsidR="00000000" w:rsidRPr="00000000">
              <w:rPr>
                <w:rFonts w:ascii="Times New Roman" w:cs="Times New Roman" w:eastAsia="Times New Roman" w:hAnsi="Times New Roman"/>
                <w:color w:val="1b1b1c"/>
                <w:sz w:val="24"/>
                <w:szCs w:val="24"/>
                <w:highlight w:val="white"/>
                <w:rtl w:val="0"/>
              </w:rPr>
              <w:t xml:space="preserve">, detailing the history of Jewish persecutions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[2]</w:t>
            </w:r>
          </w:p>
        </w:tc>
      </w:tr>
    </w:tbl>
    <w:p w:rsidR="00000000" w:rsidDel="00000000" w:rsidP="00000000" w:rsidRDefault="00000000" w:rsidRPr="00000000" w14:paraId="00000075">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pedigree demonstrates how Taitazak's academy functioned as a bridge between the lost intellectual culture of Spain and the emerging centers of Ottoman Greece, Turkey, and Palestine.[1, 2, 10] Through these disciples, Taitazak's dual emphasis on meticulous legal analysis and intensive mystical search became the institutional standard for the early modern Sephardic world.[1, 2, 10]</w:t>
      </w:r>
    </w:p>
    <w:p w:rsidR="00000000" w:rsidDel="00000000" w:rsidP="00000000" w:rsidRDefault="00000000" w:rsidRPr="00000000" w14:paraId="00000076">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Maggidic Phenomena and the Sefer HaMeshiv Debate</w:t>
      </w:r>
    </w:p>
    <w:p w:rsidR="00000000" w:rsidDel="00000000" w:rsidP="00000000" w:rsidRDefault="00000000" w:rsidRPr="00000000" w14:paraId="00000077">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Taitazak's spiritual profile was deeply marked by the phenomenon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maggidut</w:t>
      </w:r>
      <w:r w:rsidDel="00000000" w:rsidR="00000000" w:rsidRPr="00000000">
        <w:rPr>
          <w:rFonts w:ascii="Times New Roman" w:cs="Times New Roman" w:eastAsia="Times New Roman" w:hAnsi="Times New Roman"/>
          <w:color w:val="1b1b1c"/>
          <w:sz w:val="24"/>
          <w:szCs w:val="24"/>
          <w:highlight w:val="white"/>
          <w:rtl w:val="0"/>
        </w:rPr>
        <w:t xml:space="preserve">—the reception of direct, auditory revelations from a celestial mentor or angel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Maggid</w:t>
      </w:r>
      <w:r w:rsidDel="00000000" w:rsidR="00000000" w:rsidRPr="00000000">
        <w:rPr>
          <w:rFonts w:ascii="Times New Roman" w:cs="Times New Roman" w:eastAsia="Times New Roman" w:hAnsi="Times New Roman"/>
          <w:color w:val="1b1b1c"/>
          <w:sz w:val="24"/>
          <w:szCs w:val="24"/>
          <w:highlight w:val="white"/>
          <w:rtl w:val="0"/>
        </w:rPr>
        <w:t xml:space="preserve">).[2, 3]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Chida</w:t>
      </w:r>
      <w:r w:rsidDel="00000000" w:rsidR="00000000" w:rsidRPr="00000000">
        <w:rPr>
          <w:rFonts w:ascii="Times New Roman" w:cs="Times New Roman" w:eastAsia="Times New Roman" w:hAnsi="Times New Roman"/>
          <w:color w:val="1b1b1c"/>
          <w:sz w:val="24"/>
          <w:szCs w:val="24"/>
          <w:highlight w:val="white"/>
          <w:rtl w:val="0"/>
        </w:rPr>
        <w:t xml:space="preserve"> (Rabbi Chaim Joseph David Azulai) explicitly recorded in his bio-bibliographical work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Shem HaGedolim</w:t>
      </w:r>
      <w:r w:rsidDel="00000000" w:rsidR="00000000" w:rsidRPr="00000000">
        <w:rPr>
          <w:rFonts w:ascii="Times New Roman" w:cs="Times New Roman" w:eastAsia="Times New Roman" w:hAnsi="Times New Roman"/>
          <w:color w:val="1b1b1c"/>
          <w:sz w:val="24"/>
          <w:szCs w:val="24"/>
          <w:highlight w:val="white"/>
          <w:rtl w:val="0"/>
        </w:rPr>
        <w:t xml:space="preserve"> that Taitazak merited regular visitations from such a heavenly guide.[2, 3]</w:t>
      </w:r>
    </w:p>
    <w:p w:rsidR="00000000" w:rsidDel="00000000" w:rsidP="00000000" w:rsidRDefault="00000000" w:rsidRPr="00000000" w14:paraId="00000078">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claim is supported by the contemporary testimony of Rabbi Joseph Karo’s personal mystical diary,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Maggid Meisharim</w:t>
      </w:r>
      <w:r w:rsidDel="00000000" w:rsidR="00000000" w:rsidRPr="00000000">
        <w:rPr>
          <w:rFonts w:ascii="Times New Roman" w:cs="Times New Roman" w:eastAsia="Times New Roman" w:hAnsi="Times New Roman"/>
          <w:color w:val="1b1b1c"/>
          <w:sz w:val="24"/>
          <w:szCs w:val="24"/>
          <w:highlight w:val="white"/>
          <w:rtl w:val="0"/>
        </w:rPr>
        <w:t xml:space="preserve">, wherein Karo's own celestial voice repeatedly references Taitazak.[2] In these instances,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Maggid</w:t>
      </w:r>
      <w:r w:rsidDel="00000000" w:rsidR="00000000" w:rsidRPr="00000000">
        <w:rPr>
          <w:rFonts w:ascii="Times New Roman" w:cs="Times New Roman" w:eastAsia="Times New Roman" w:hAnsi="Times New Roman"/>
          <w:color w:val="1b1b1c"/>
          <w:sz w:val="24"/>
          <w:szCs w:val="24"/>
          <w:highlight w:val="white"/>
          <w:rtl w:val="0"/>
        </w:rPr>
        <w:t xml:space="preserve"> instructed Karo to communicate celestial assessments to Taitazak, validating his legal conclusions or indicating where he had made subtle errors.[2]</w:t>
      </w:r>
    </w:p>
    <w:p w:rsidR="00000000" w:rsidDel="00000000" w:rsidP="00000000" w:rsidRDefault="00000000" w:rsidRPr="00000000" w14:paraId="00000079">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Taitazak's study house in Salonica served as a gathering point for individuals experiencing intense spiritual visitations; most notably, in 1529 (5289 AM), he hosted the Portuguese Marrano visionary Solomon Molcho.[2, 7] Molcho, who had circumcised himself at great personal risk and escaped the Portuguese royal court to study Torah, was deeply supported by Taitazak before his ultimate martyrdom at the stake in Mantua in 1532—an act of self-sacrifice (</w:t>
      </w:r>
      <w:r w:rsidDel="00000000" w:rsidR="00000000" w:rsidRPr="00000000">
        <w:rPr>
          <w:rFonts w:ascii="Times New Roman" w:cs="Times New Roman" w:eastAsia="Times New Roman" w:hAnsi="Times New Roman"/>
          <w:i w:val="1"/>
          <w:iCs w:val="1"/>
          <w:color w:val="1b1b1c"/>
          <w:sz w:val="24"/>
          <w:szCs w:val="24"/>
          <w:highlight w:val="white"/>
          <w:rtl w:val="0"/>
        </w:rPr>
        <w:t xml:space="preserve">Kiddush Hashem</w:t>
      </w:r>
      <w:r w:rsidDel="00000000" w:rsidR="00000000" w:rsidRPr="00000000">
        <w:rPr>
          <w:rFonts w:ascii="Times New Roman" w:cs="Times New Roman" w:eastAsia="Times New Roman" w:hAnsi="Times New Roman"/>
          <w:color w:val="1b1b1c"/>
          <w:sz w:val="24"/>
          <w:szCs w:val="24"/>
          <w:highlight w:val="white"/>
          <w:rtl w:val="0"/>
        </w:rPr>
        <w:t xml:space="preserve">) that Karo famously envied throughout his life.[2, 7]</w:t>
      </w:r>
    </w:p>
    <w:p w:rsidR="00000000" w:rsidDel="00000000" w:rsidP="00000000" w:rsidRDefault="00000000" w:rsidRPr="00000000" w14:paraId="0000007A">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maggidic context is central to a major debate in modern academic Jewish studies concerning the authorship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Sefer HaMeshiv</w:t>
      </w:r>
      <w:r w:rsidDel="00000000" w:rsidR="00000000" w:rsidRPr="00000000">
        <w:rPr>
          <w:rFonts w:ascii="Times New Roman" w:cs="Times New Roman" w:eastAsia="Times New Roman" w:hAnsi="Times New Roman"/>
          <w:color w:val="1b1b1c"/>
          <w:sz w:val="24"/>
          <w:szCs w:val="24"/>
          <w:highlight w:val="white"/>
          <w:rtl w:val="0"/>
        </w:rPr>
        <w:t xml:space="preserve"> ("The Book of the Responding Angel").[2, 11] This extensive Kabbalistic work, composed around the time of the 1492 expulsion, describes highly vivid, direct revelations concerning the ten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Sefirot</w:t>
      </w:r>
      <w:r w:rsidDel="00000000" w:rsidR="00000000" w:rsidRPr="00000000">
        <w:rPr>
          <w:rFonts w:ascii="Times New Roman" w:cs="Times New Roman" w:eastAsia="Times New Roman" w:hAnsi="Times New Roman"/>
          <w:color w:val="1b1b1c"/>
          <w:sz w:val="24"/>
          <w:szCs w:val="24"/>
          <w:highlight w:val="white"/>
          <w:rtl w:val="0"/>
        </w:rPr>
        <w:t xml:space="preserve"> (divine emanations).[11]</w:t>
      </w:r>
    </w:p>
    <w:p w:rsidR="00000000" w:rsidDel="00000000" w:rsidP="00000000" w:rsidRDefault="00000000" w:rsidRPr="00000000" w14:paraId="0000007B">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Textual and Phenomenological Attributes of Sefer HaMeshiv</w:t>
      </w:r>
    </w:p>
    <w:p w:rsidR="00000000" w:rsidDel="00000000" w:rsidP="00000000" w:rsidRDefault="00000000" w:rsidRPr="00000000" w14:paraId="0000007C">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text contains several unique characteristics that define its mystical system [11]:</w:t>
      </w:r>
    </w:p>
    <w:p w:rsidR="00000000" w:rsidDel="00000000" w:rsidP="00000000" w:rsidRDefault="00000000" w:rsidRPr="00000000" w14:paraId="0000007D">
      <w:pPr>
        <w:numPr>
          <w:ilvl w:val="0"/>
          <w:numId w:val="1"/>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Source of Revelation:</w:t>
      </w:r>
      <w:r w:rsidDel="00000000" w:rsidR="00000000" w:rsidRPr="00000000">
        <w:rPr>
          <w:rFonts w:ascii="Times New Roman" w:cs="Times New Roman" w:eastAsia="Times New Roman" w:hAnsi="Times New Roman"/>
          <w:color w:val="1b1b1c"/>
          <w:sz w:val="24"/>
          <w:szCs w:val="24"/>
          <w:highlight w:val="white"/>
          <w:rtl w:val="0"/>
        </w:rPr>
        <w:t xml:space="preserve"> The segments are presented as dictations from "the Mouth of Power" (the Divine voice itself, utilizing first-person phrases such as "My precious names" and "the secret of My divinity") or, in alternative manuscripts, are attributed to the Angel Azriel.[11] Other celestial entities, including the archangels Michael and Metatron, and demonic figures such as Samael and Amon Menoa, also appear.[11]</w:t>
      </w:r>
    </w:p>
    <w:p w:rsidR="00000000" w:rsidDel="00000000" w:rsidP="00000000" w:rsidRDefault="00000000" w:rsidRPr="00000000" w14:paraId="0000007E">
      <w:pPr>
        <w:numPr>
          <w:ilvl w:val="0"/>
          <w:numId w:val="1"/>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Method of Reception:</w:t>
      </w:r>
      <w:r w:rsidDel="00000000" w:rsidR="00000000" w:rsidRPr="00000000">
        <w:rPr>
          <w:rFonts w:ascii="Times New Roman" w:cs="Times New Roman" w:eastAsia="Times New Roman" w:hAnsi="Times New Roman"/>
          <w:color w:val="1b1b1c"/>
          <w:sz w:val="24"/>
          <w:szCs w:val="24"/>
          <w:highlight w:val="white"/>
          <w:rtl w:val="0"/>
        </w:rPr>
        <w:t xml:space="preserve"> Revelations occurred either while awake (</w:t>
      </w:r>
      <w:r w:rsidDel="00000000" w:rsidR="00000000" w:rsidRPr="00000000">
        <w:rPr>
          <w:rFonts w:ascii="Times New Roman" w:cs="Times New Roman" w:eastAsia="Times New Roman" w:hAnsi="Times New Roman"/>
          <w:i w:val="1"/>
          <w:iCs w:val="1"/>
          <w:color w:val="1b1b1c"/>
          <w:sz w:val="24"/>
          <w:szCs w:val="24"/>
          <w:highlight w:val="white"/>
          <w:rtl w:val="0"/>
        </w:rPr>
        <w:t xml:space="preserve">be-hekit</w:t>
      </w:r>
      <w:r w:rsidDel="00000000" w:rsidR="00000000" w:rsidRPr="00000000">
        <w:rPr>
          <w:rFonts w:ascii="Times New Roman" w:cs="Times New Roman" w:eastAsia="Times New Roman" w:hAnsi="Times New Roman"/>
          <w:color w:val="1b1b1c"/>
          <w:sz w:val="24"/>
          <w:szCs w:val="24"/>
          <w:highlight w:val="white"/>
          <w:rtl w:val="0"/>
        </w:rPr>
        <w:t xml:space="preserve">), where the divine or angelic entity allegedly manifested in a physical form resembling the prophet Elijah, or during sleep through formal dream inquiries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she'elat halom</w:t>
      </w:r>
      <w:r w:rsidDel="00000000" w:rsidR="00000000" w:rsidRPr="00000000">
        <w:rPr>
          <w:rFonts w:ascii="Times New Roman" w:cs="Times New Roman" w:eastAsia="Times New Roman" w:hAnsi="Times New Roman"/>
          <w:color w:val="1b1b1c"/>
          <w:sz w:val="24"/>
          <w:szCs w:val="24"/>
          <w:highlight w:val="white"/>
          <w:rtl w:val="0"/>
        </w:rPr>
        <w:t xml:space="preserve">).[11]</w:t>
      </w:r>
    </w:p>
    <w:p w:rsidR="00000000" w:rsidDel="00000000" w:rsidP="00000000" w:rsidRDefault="00000000" w:rsidRPr="00000000" w14:paraId="0000007F">
      <w:pPr>
        <w:numPr>
          <w:ilvl w:val="0"/>
          <w:numId w:val="1"/>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Scribal Recording:</w:t>
      </w:r>
      <w:r w:rsidDel="00000000" w:rsidR="00000000" w:rsidRPr="00000000">
        <w:rPr>
          <w:rFonts w:ascii="Times New Roman" w:cs="Times New Roman" w:eastAsia="Times New Roman" w:hAnsi="Times New Roman"/>
          <w:color w:val="1b1b1c"/>
          <w:sz w:val="24"/>
          <w:szCs w:val="24"/>
          <w:highlight w:val="white"/>
          <w:rtl w:val="0"/>
        </w:rPr>
        <w:t xml:space="preserve"> The text rejects involuntary "automatic writing." Instead, the receiving Kabbalist listened to the voice of the angel and repeated the words aloud to a second person in the room, who recorded the dictation in real time.[11]</w:t>
      </w:r>
    </w:p>
    <w:p w:rsidR="00000000" w:rsidDel="00000000" w:rsidP="00000000" w:rsidRDefault="00000000" w:rsidRPr="00000000" w14:paraId="00000080">
      <w:pPr>
        <w:numPr>
          <w:ilvl w:val="0"/>
          <w:numId w:val="1"/>
        </w:numPr>
        <w:bidi w:val="1"/>
        <w:spacing w:after="18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Ideological Hierarchy:</w:t>
      </w:r>
      <w:r w:rsidDel="00000000" w:rsidR="00000000" w:rsidRPr="00000000">
        <w:rPr>
          <w:rFonts w:ascii="Times New Roman" w:cs="Times New Roman" w:eastAsia="Times New Roman" w:hAnsi="Times New Roman"/>
          <w:color w:val="1b1b1c"/>
          <w:sz w:val="24"/>
          <w:szCs w:val="24"/>
          <w:highlight w:val="white"/>
          <w:rtl w:val="0"/>
        </w:rPr>
        <w:t xml:space="preserve"> The book places Kabbalah at the absolute center of human knowledge, while presenting a fierce demonization of Christianity and medieval rationalist philosophy.[11] It claims these systems originate from the demonic realm of Samael and actively delay the redemption, though it paradoxically asserts that at the end of days, Samael will turn to the side of good.[11]</w:t>
      </w:r>
    </w:p>
    <w:p w:rsidR="00000000" w:rsidDel="00000000" w:rsidP="00000000" w:rsidRDefault="00000000" w:rsidRPr="00000000" w14:paraId="00000081">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pioneer of academic Kabbalah studies, Gershom Scholem, hypothesized that Joseph Taitazak was the principal author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Sefer HaMeshiv</w:t>
      </w:r>
      <w:r w:rsidDel="00000000" w:rsidR="00000000" w:rsidRPr="00000000">
        <w:rPr>
          <w:rFonts w:ascii="Times New Roman" w:cs="Times New Roman" w:eastAsia="Times New Roman" w:hAnsi="Times New Roman"/>
          <w:color w:val="1b1b1c"/>
          <w:sz w:val="24"/>
          <w:szCs w:val="24"/>
          <w:highlight w:val="white"/>
          <w:rtl w:val="0"/>
        </w:rPr>
        <w:t xml:space="preserve">, citing his documented ascetic lifestyle, his engagement with maggidic phenomena, and his status as a leading intellectual of the expulsion generation.[2, 11] However, this hypothesis was challenged by the preeminent scholar Moshe Idel, who identified significant linguistic and theological discrepancies between Taitazak’s undisputed commentaries and the radical, highly dualistic themes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Sefer HaMeshiv</w:t>
      </w:r>
      <w:r w:rsidDel="00000000" w:rsidR="00000000" w:rsidRPr="00000000">
        <w:rPr>
          <w:rFonts w:ascii="Times New Roman" w:cs="Times New Roman" w:eastAsia="Times New Roman" w:hAnsi="Times New Roman"/>
          <w:color w:val="1b1b1c"/>
          <w:sz w:val="24"/>
          <w:szCs w:val="24"/>
          <w:highlight w:val="white"/>
          <w:rtl w:val="0"/>
        </w:rPr>
        <w:t xml:space="preserve">.[2, 11]</w:t>
      </w:r>
    </w:p>
    <w:p w:rsidR="00000000" w:rsidDel="00000000" w:rsidP="00000000" w:rsidRDefault="00000000" w:rsidRPr="00000000" w14:paraId="00000082">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current scholarly consensus aligns with Idel's view, identifying the text as the collaborative output of a distinct group of Iberian mystics active in Spain prior to the expulsion, historically designated as the "Sefer HaMeshiv Circle".[2, 11] Nevertheless, the deep thematic connections between Taitazak’s circle and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Sefer HaMeshiv</w:t>
      </w:r>
      <w:r w:rsidDel="00000000" w:rsidR="00000000" w:rsidRPr="00000000">
        <w:rPr>
          <w:rFonts w:ascii="Times New Roman" w:cs="Times New Roman" w:eastAsia="Times New Roman" w:hAnsi="Times New Roman"/>
          <w:color w:val="1b1b1c"/>
          <w:sz w:val="24"/>
          <w:szCs w:val="24"/>
          <w:highlight w:val="white"/>
          <w:rtl w:val="0"/>
        </w:rPr>
        <w:t xml:space="preserve"> remain evident.[3, 11] In his introduction to </w:t>
      </w:r>
      <w:r w:rsidDel="00000000" w:rsidR="00000000" w:rsidRPr="00000000">
        <w:rPr>
          <w:rFonts w:ascii="Times New Roman" w:cs="Times New Roman" w:eastAsia="Times New Roman" w:hAnsi="Times New Roman"/>
          <w:i w:val="1"/>
          <w:iCs w:val="1"/>
          <w:color w:val="1b1b1c"/>
          <w:sz w:val="24"/>
          <w:szCs w:val="24"/>
          <w:highlight w:val="white"/>
          <w:rtl w:val="0"/>
        </w:rPr>
        <w:t xml:space="preserve">Peskei HaGaon Maharit</w:t>
      </w:r>
      <w:r w:rsidDel="00000000" w:rsidR="00000000" w:rsidRPr="00000000">
        <w:rPr>
          <w:rFonts w:ascii="Times New Roman" w:cs="Times New Roman" w:eastAsia="Times New Roman" w:hAnsi="Times New Roman"/>
          <w:color w:val="1b1b1c"/>
          <w:sz w:val="24"/>
          <w:szCs w:val="24"/>
          <w:highlight w:val="white"/>
          <w:rtl w:val="0"/>
        </w:rPr>
        <w:t xml:space="preserve">, Professor Meir Benayahu identified "four works of commentaries and revelations from a Maggid" associated with Taitazak.[3] These manuscripts are highly likely to be the same texts utilized by the seventeenth-century Kabbalist Rabbi Abraham Azulai (author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Hesed LeAvraham</w:t>
      </w:r>
      <w:r w:rsidDel="00000000" w:rsidR="00000000" w:rsidRPr="00000000">
        <w:rPr>
          <w:rFonts w:ascii="Times New Roman" w:cs="Times New Roman" w:eastAsia="Times New Roman" w:hAnsi="Times New Roman"/>
          <w:color w:val="1b1b1c"/>
          <w:sz w:val="24"/>
          <w:szCs w:val="24"/>
          <w:highlight w:val="white"/>
          <w:rtl w:val="0"/>
        </w:rPr>
        <w:t xml:space="preserve">), as recorded by his grandson,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Chida</w:t>
      </w:r>
      <w:r w:rsidDel="00000000" w:rsidR="00000000" w:rsidRPr="00000000">
        <w:rPr>
          <w:rFonts w:ascii="Times New Roman" w:cs="Times New Roman" w:eastAsia="Times New Roman" w:hAnsi="Times New Roman"/>
          <w:color w:val="1b1b1c"/>
          <w:sz w:val="24"/>
          <w:szCs w:val="24"/>
          <w:highlight w:val="white"/>
          <w:rtl w:val="0"/>
        </w:rPr>
        <w:t xml:space="preserve">, in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Shem HaGedolim</w:t>
      </w:r>
      <w:r w:rsidDel="00000000" w:rsidR="00000000" w:rsidRPr="00000000">
        <w:rPr>
          <w:rFonts w:ascii="Times New Roman" w:cs="Times New Roman" w:eastAsia="Times New Roman" w:hAnsi="Times New Roman"/>
          <w:color w:val="1b1b1c"/>
          <w:sz w:val="24"/>
          <w:szCs w:val="24"/>
          <w:highlight w:val="white"/>
          <w:rtl w:val="0"/>
        </w:rPr>
        <w:t xml:space="preserve">, thereby demonstrating the continuous transmission of Taitazak's revelatory teachings through subsequent generations of Kabbalists.[3]</w:t>
      </w:r>
    </w:p>
    <w:p w:rsidR="00000000" w:rsidDel="00000000" w:rsidP="00000000" w:rsidRDefault="00000000" w:rsidRPr="00000000" w14:paraId="00000083">
      <w:pPr>
        <w:bidi w:val="1"/>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Historical Synthesis</w:t>
      </w:r>
    </w:p>
    <w:p w:rsidR="00000000" w:rsidDel="00000000" w:rsidP="00000000" w:rsidRDefault="00000000" w:rsidRPr="00000000" w14:paraId="00000084">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legacy of Rabbi Joseph Taitazak lies in his successful synthesis of seemingly disparate intellectual currents during a period of acute crisis for the Sephardic world.[1, 2] At a time when the Jewish community faced the challenge of rebuilding its institutions from the ground up, Taitazak provided a model of leadership that was simultaneously legalistic, scientific, and mystical.[1, 2, 3] His halakhic decisions addressed the practical social and commercial challenges of the Ottoman Sephardic diaspora, while his yeshiva in Salonica trained the rabbinic leadership that would guide the next generation.[1, 2]</w:t>
      </w:r>
    </w:p>
    <w:p w:rsidR="00000000" w:rsidDel="00000000" w:rsidP="00000000" w:rsidRDefault="00000000" w:rsidRPr="00000000" w14:paraId="00000085">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At the same time, his exploration of mathematics, his ascetic devotional practices, and his receptive attitude toward maggidic revelations and messianic visionaries helped cultivate the spiritual atmosphere that made the Safed kabbalistic revival possible.[1, 2, 10] Through his personal practice, his legal responsa, and his direct pedagogical influence on figures such as Moses Alshich and Solomon Alkabetz, Taitazak ensured that the intellectual inheritance of Spanish Jewry would not merely survive, but would develop into a dynamic force shaping early modern Jewish thought.[1, 2, 10]</w:t>
      </w:r>
    </w:p>
    <w:p w:rsidR="00000000" w:rsidDel="00000000" w:rsidP="00000000" w:rsidRDefault="00000000" w:rsidRPr="00000000" w14:paraId="00000086">
      <w:pPr>
        <w:bidi w:val="1"/>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87">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Rabbi</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Taitazak</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Z</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tl</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רבי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יוסף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טאיטאצאק</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היה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פוסק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מקובל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וראש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ישיבה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זכה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להערצה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מגדולי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דורו</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6">
        <w:r w:rsidDel="00000000" w:rsidR="00000000" w:rsidRPr="00000000">
          <w:rPr>
            <w:rFonts w:ascii="Times New Roman" w:cs="Times New Roman" w:eastAsia="Times New Roman" w:hAnsi="Times New Roman"/>
            <w:color w:val="4259ff"/>
            <w:sz w:val="24"/>
            <w:szCs w:val="24"/>
            <w:highlight w:val="white"/>
            <w:u w:val="single"/>
            <w:rtl w:val="0"/>
          </w:rPr>
          <w:t xml:space="preserve">https://www.youtube.com/watch?v=h05kwzly6PY</w:t>
        </w:r>
      </w:hyperlink>
      <w:r w:rsidDel="00000000" w:rsidR="00000000" w:rsidRPr="00000000">
        <w:rPr>
          <w:rtl w:val="0"/>
        </w:rPr>
      </w:r>
    </w:p>
    <w:p w:rsidR="00000000" w:rsidDel="00000000" w:rsidP="00000000" w:rsidRDefault="00000000" w:rsidRPr="00000000" w14:paraId="00000088">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יוסף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טאיטאצאק</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7">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https://he.wikipedia.org/wiki/%D7%99%D7%95%D7%A1%D7%A3_%D7%98%D7%90%D7%99%D7%98%D7%90%D7%A6%D7%90%D7%A7</w:t>
        </w:r>
      </w:hyperlink>
      <w:r w:rsidDel="00000000" w:rsidR="00000000" w:rsidRPr="00000000">
        <w:rPr>
          <w:rtl w:val="0"/>
        </w:rPr>
      </w:r>
    </w:p>
    <w:p w:rsidR="00000000" w:rsidDel="00000000" w:rsidP="00000000" w:rsidRDefault="00000000" w:rsidRPr="00000000" w14:paraId="00000089">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רבי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יוסף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טאיטצאק</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ויקישיבה</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8">
        <w:r w:rsidDel="00000000" w:rsidR="00000000" w:rsidRPr="00000000">
          <w:rPr>
            <w:rFonts w:ascii="Times New Roman" w:cs="Times New Roman" w:eastAsia="Times New Roman" w:hAnsi="Times New Roman"/>
            <w:color w:val="4259ff"/>
            <w:sz w:val="24"/>
            <w:szCs w:val="24"/>
            <w:highlight w:val="white"/>
            <w:u w:val="single"/>
            <w:rtl w:val="0"/>
          </w:rPr>
          <w:t xml:space="preserve">https://www.yeshiva.org.il/wiki/index.php/%D7%A8%D7%91%D7%99_%D7%99%D7%95%D7%A1%D7%A3_%D7%98%D7%90%D7%99%D7%98%D7%A6%D7%90%D7%A7</w:t>
        </w:r>
      </w:hyperlink>
      <w:r w:rsidDel="00000000" w:rsidR="00000000" w:rsidRPr="00000000">
        <w:rPr>
          <w:rtl w:val="0"/>
        </w:rPr>
      </w:r>
    </w:p>
    <w:p w:rsidR="00000000" w:rsidDel="00000000" w:rsidP="00000000" w:rsidRDefault="00000000" w:rsidRPr="00000000" w14:paraId="0000008A">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אל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תחמיצו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סגולת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היום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הילולת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האלשיך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הקדוש</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מוקד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תהילים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ארצי</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9">
        <w:r w:rsidDel="00000000" w:rsidR="00000000" w:rsidRPr="00000000">
          <w:rPr>
            <w:rFonts w:ascii="Times New Roman" w:cs="Times New Roman" w:eastAsia="Times New Roman" w:hAnsi="Times New Roman"/>
            <w:color w:val="4259ff"/>
            <w:sz w:val="24"/>
            <w:szCs w:val="24"/>
            <w:highlight w:val="white"/>
            <w:u w:val="single"/>
            <w:rtl w:val="0"/>
          </w:rPr>
          <w:t xml:space="preserve">https://www.tehillim-center.co.il/article/8821</w:t>
        </w:r>
      </w:hyperlink>
      <w:r w:rsidDel="00000000" w:rsidR="00000000" w:rsidRPr="00000000">
        <w:rPr>
          <w:rtl w:val="0"/>
        </w:rPr>
      </w:r>
    </w:p>
    <w:p w:rsidR="00000000" w:rsidDel="00000000" w:rsidP="00000000" w:rsidRDefault="00000000" w:rsidRPr="00000000" w14:paraId="0000008B">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רבי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יוסף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מטראני</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ויקישיבה</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10">
        <w:r w:rsidDel="00000000" w:rsidR="00000000" w:rsidRPr="00000000">
          <w:rPr>
            <w:rFonts w:ascii="Times New Roman" w:cs="Times New Roman" w:eastAsia="Times New Roman" w:hAnsi="Times New Roman"/>
            <w:color w:val="4259ff"/>
            <w:sz w:val="24"/>
            <w:szCs w:val="24"/>
            <w:highlight w:val="white"/>
            <w:u w:val="single"/>
            <w:rtl w:val="0"/>
          </w:rPr>
          <w:t xml:space="preserve">https://www.yeshiva.org.il/wiki/index.php/%D7%A8%D7%91%D7%99_%D7%99%D7%95%D7%A1%D7%A3_%D7%9E%D7%98%D7%A8%D7%90%D7%A0%D7%99</w:t>
        </w:r>
      </w:hyperlink>
      <w:r w:rsidDel="00000000" w:rsidR="00000000" w:rsidRPr="00000000">
        <w:rPr>
          <w:rtl w:val="0"/>
        </w:rPr>
      </w:r>
    </w:p>
    <w:p w:rsidR="00000000" w:rsidDel="00000000" w:rsidP="00000000" w:rsidRDefault="00000000" w:rsidRPr="00000000" w14:paraId="0000008C">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מחברים</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מקורות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מתוך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ספריית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ספריא</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11">
        <w:r w:rsidDel="00000000" w:rsidR="00000000" w:rsidRPr="00000000">
          <w:rPr>
            <w:rFonts w:ascii="Times New Roman" w:cs="Times New Roman" w:eastAsia="Times New Roman" w:hAnsi="Times New Roman"/>
            <w:color w:val="4259ff"/>
            <w:sz w:val="24"/>
            <w:szCs w:val="24"/>
            <w:highlight w:val="white"/>
            <w:u w:val="single"/>
            <w:rtl w:val="0"/>
          </w:rPr>
          <w:t xml:space="preserve">https://www.sefaria.org.il/topics/category/authors</w:t>
        </w:r>
      </w:hyperlink>
      <w:r w:rsidDel="00000000" w:rsidR="00000000" w:rsidRPr="00000000">
        <w:rPr>
          <w:rtl w:val="0"/>
        </w:rPr>
      </w:r>
    </w:p>
    <w:p w:rsidR="00000000" w:rsidDel="00000000" w:rsidP="00000000" w:rsidRDefault="00000000" w:rsidRPr="00000000" w14:paraId="0000008D">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Rabbi Shlomo Molcho - Tzadikim - Daily Zohar, </w:t>
      </w:r>
      <w:hyperlink r:id="rId12">
        <w:r w:rsidDel="00000000" w:rsidR="00000000" w:rsidRPr="00000000">
          <w:rPr>
            <w:rFonts w:ascii="Times New Roman" w:cs="Times New Roman" w:eastAsia="Times New Roman" w:hAnsi="Times New Roman"/>
            <w:color w:val="4259ff"/>
            <w:sz w:val="24"/>
            <w:szCs w:val="24"/>
            <w:highlight w:val="white"/>
            <w:u w:val="single"/>
            <w:rtl w:val="0"/>
          </w:rPr>
          <w:t xml:space="preserve">https://dailyzohar.com/tzadikim/137-Rabbi-Shlomo-Molcho</w:t>
        </w:r>
      </w:hyperlink>
      <w:r w:rsidDel="00000000" w:rsidR="00000000" w:rsidRPr="00000000">
        <w:rPr>
          <w:rtl w:val="0"/>
        </w:rPr>
      </w:r>
    </w:p>
    <w:p w:rsidR="00000000" w:rsidDel="00000000" w:rsidP="00000000" w:rsidRDefault="00000000" w:rsidRPr="00000000" w14:paraId="0000008E">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פורת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יוסף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פירושונים</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13">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https://he.wikipedia.org/wiki/%D7%A4%D7%95%D7%A8%D7%AA_%D7%99%D7%95%D7%A1%D7%A3_(%D7%A4%D7%99%D7%A8%D7%95%D7%A9%D7%95%D7%A0%D7%99%D7%9D)</w:t>
        </w:r>
      </w:hyperlink>
      <w:r w:rsidDel="00000000" w:rsidR="00000000" w:rsidRPr="00000000">
        <w:rPr>
          <w:rtl w:val="0"/>
        </w:rPr>
      </w:r>
    </w:p>
    <w:p w:rsidR="00000000" w:rsidDel="00000000" w:rsidP="00000000" w:rsidRDefault="00000000" w:rsidRPr="00000000" w14:paraId="0000008F">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מאיר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בניהו</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14">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https://he.wikipedia.org/wiki/%D7%9E%D7%90%D7%99%D7%A8_%D7%91%D7%A0%D7%99%D7%94%D7%95</w:t>
        </w:r>
      </w:hyperlink>
      <w:r w:rsidDel="00000000" w:rsidR="00000000" w:rsidRPr="00000000">
        <w:rPr>
          <w:rtl w:val="0"/>
        </w:rPr>
      </w:r>
    </w:p>
    <w:p w:rsidR="00000000" w:rsidDel="00000000" w:rsidP="00000000" w:rsidRDefault="00000000" w:rsidRPr="00000000" w14:paraId="00000090">
      <w:pPr>
        <w:numPr>
          <w:ilvl w:val="0"/>
          <w:numId w:val="2"/>
        </w:numPr>
        <w:bidi w:val="1"/>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אלשיך</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מקורות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מתוך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ספריית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ספריא</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15">
        <w:r w:rsidDel="00000000" w:rsidR="00000000" w:rsidRPr="00000000">
          <w:rPr>
            <w:rFonts w:ascii="Times New Roman" w:cs="Times New Roman" w:eastAsia="Times New Roman" w:hAnsi="Times New Roman"/>
            <w:color w:val="4259ff"/>
            <w:sz w:val="24"/>
            <w:szCs w:val="24"/>
            <w:highlight w:val="white"/>
            <w:u w:val="single"/>
            <w:rtl w:val="0"/>
          </w:rPr>
          <w:t xml:space="preserve">https://www.sefaria.org.il/topics/moses-alshikh</w:t>
        </w:r>
      </w:hyperlink>
      <w:r w:rsidDel="00000000" w:rsidR="00000000" w:rsidRPr="00000000">
        <w:rPr>
          <w:rtl w:val="0"/>
        </w:rPr>
      </w:r>
    </w:p>
    <w:p w:rsidR="00000000" w:rsidDel="00000000" w:rsidP="00000000" w:rsidRDefault="00000000" w:rsidRPr="00000000" w14:paraId="00000091">
      <w:pPr>
        <w:numPr>
          <w:ilvl w:val="0"/>
          <w:numId w:val="2"/>
        </w:numPr>
        <w:bidi w:val="1"/>
        <w:spacing w:after="18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ספר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המשיב</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1"/>
        </w:rPr>
        <w:t xml:space="preserve">, </w:t>
      </w:r>
      <w:hyperlink r:id="rId16">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https://he.wikipedia.org/wiki/%D7%A1%D7%A4%D7%A8_%D7%94%D7%9E%D7%A9%D7%99%D7%91</w:t>
        </w:r>
      </w:hyperlink>
      <w:r w:rsidDel="00000000" w:rsidR="00000000" w:rsidRPr="00000000">
        <w:rPr>
          <w:rtl w:val="0"/>
        </w:rPr>
      </w:r>
    </w:p>
    <w:p w:rsidR="00000000" w:rsidDel="00000000" w:rsidP="00000000" w:rsidRDefault="00000000" w:rsidRPr="00000000" w14:paraId="00000092">
      <w:pPr>
        <w:bidi w:val="1"/>
        <w:rPr/>
      </w:pPr>
      <w:r w:rsidDel="00000000" w:rsidR="00000000" w:rsidRPr="00000000">
        <w:rPr>
          <w:rtl w:val="0"/>
        </w:rPr>
      </w:r>
    </w:p>
    <w:p w:rsidR="00000000" w:rsidDel="00000000" w:rsidP="00000000" w:rsidRDefault="00000000" w:rsidRPr="00000000" w14:paraId="00000093">
      <w:pPr>
        <w:bidi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efaria.org.il/topics/category/authors" TargetMode="External"/><Relationship Id="rId10" Type="http://schemas.openxmlformats.org/officeDocument/2006/relationships/hyperlink" Target="https://www.yeshiva.org.il/wiki/index.php/%D7%A8%D7%91%D7%99_%D7%99%D7%95%D7%A1%D7%A3_%D7%9E%D7%98%D7%A8%D7%90%D7%A0%D7%99" TargetMode="External"/><Relationship Id="rId13" Type="http://schemas.openxmlformats.org/officeDocument/2006/relationships/hyperlink" Target="https://he.wikipedia.org/wiki/%D7%A4%D7%95%D7%A8%D7%AA_%D7%99%D7%95%D7%A1%D7%A3_(%D7%A4%D7%99%D7%A8%D7%95%D7%A9%D7%95%D7%A0%D7%99%D7%9D)" TargetMode="External"/><Relationship Id="rId12" Type="http://schemas.openxmlformats.org/officeDocument/2006/relationships/hyperlink" Target="https://dailyzohar.com/tzadikim/137-Rabbi-Shlomo-Molch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hillim-center.co.il/article/8821" TargetMode="External"/><Relationship Id="rId15" Type="http://schemas.openxmlformats.org/officeDocument/2006/relationships/hyperlink" Target="https://www.sefaria.org.il/topics/moses-alshikh" TargetMode="External"/><Relationship Id="rId14" Type="http://schemas.openxmlformats.org/officeDocument/2006/relationships/hyperlink" Target="https://he.wikipedia.org/wiki/%D7%9E%D7%90%D7%99%D7%A8_%D7%91%D7%A0%D7%99%D7%94%D7%95" TargetMode="External"/><Relationship Id="rId16" Type="http://schemas.openxmlformats.org/officeDocument/2006/relationships/hyperlink" Target="https://he.wikipedia.org/wiki/%D7%A1%D7%A4%D7%A8_%D7%94%D7%9E%D7%A9%D7%99%D7%91" TargetMode="External"/><Relationship Id="rId5" Type="http://schemas.openxmlformats.org/officeDocument/2006/relationships/styles" Target="styles.xml"/><Relationship Id="rId6" Type="http://schemas.openxmlformats.org/officeDocument/2006/relationships/hyperlink" Target="https://www.youtube.com/watch?v=h05kwzly6PY" TargetMode="External"/><Relationship Id="rId7" Type="http://schemas.openxmlformats.org/officeDocument/2006/relationships/hyperlink" Target="https://he.wikipedia.org/wiki/%D7%99%D7%95%D7%A1%D7%A3_%D7%98%D7%90%D7%99%D7%98%D7%90%D7%A6%D7%90%D7%A7" TargetMode="External"/><Relationship Id="rId8" Type="http://schemas.openxmlformats.org/officeDocument/2006/relationships/hyperlink" Target="https://www.yeshiva.org.il/wiki/index.php/%D7%A8%D7%91%D7%99_%D7%99%D7%95%D7%A1%D7%A3_%D7%98%D7%90%D7%99%D7%98%D7%A6%D7%90%D7%A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