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אברהם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אבלי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גומבינר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מגן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אברהם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ההשפעה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גומבינר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בכינוי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בפולין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-17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רצופי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מנדודיו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כפליט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רדיפות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להפיכתו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התמציתיים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טמונה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בהצגת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חידושיו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בחישוב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זמני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המחמירה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והטמעת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היומיומי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רגישותו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ענוותו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ומסביר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למצפן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עצם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גומבינר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גומבינר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אסטרונומי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גומבין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הדיינות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בקאליש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(1635).[1,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והמאורעות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הקוזקים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(1655),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7]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לפוזנא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tbl>
      <w:tblPr>
        <w:tblStyle w:val="Table1"/>
        <w:bidiVisual w:val="1"/>
        <w:tblW w:w="83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15"/>
        <w:gridCol w:w="3290"/>
        <w:gridCol w:w="1205"/>
        <w:tblGridChange w:id="0">
          <w:tblGrid>
            <w:gridCol w:w="3815"/>
            <w:gridCol w:w="3290"/>
            <w:gridCol w:w="12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ופרטים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מוקדמת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גומבין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(1635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גזירות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והשמדת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(1655)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המכוננת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ליסא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ופוזנא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התבססות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מקצועית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קאליש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(1671)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[10,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והנצחה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בתשרי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(1682),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קאליש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9]</w:t>
            </w:r>
          </w:p>
        </w:tc>
      </w:tr>
    </w:tbl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בקאליש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(1665)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(1671),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שהתחדשו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11]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סגנון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הנמרץ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המתודולוגית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והמתומצתים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שיפענחו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קעלן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להרחיב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ההדפסה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להדפיסו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8,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בדיהרנפורט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(1692),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המדפיס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נוטריקון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tbl>
      <w:tblPr>
        <w:tblStyle w:val="Table2"/>
        <w:bidiVisual w:val="1"/>
        <w:tblW w:w="8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45"/>
        <w:gridCol w:w="4565"/>
        <w:gridCol w:w="1325"/>
        <w:tblGridChange w:id="0">
          <w:tblGrid>
            <w:gridCol w:w="2945"/>
            <w:gridCol w:w="4565"/>
            <w:gridCol w:w="13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מגן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והשלכות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תמציתי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רמזני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וחלוק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[5, 8,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הדפסה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(1692),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[6,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ממוקם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בחלקו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למחברים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לחלוק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ולעיתים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[5, 8,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מכריעה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המחלוקות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[5, 8, 9]</w:t>
            </w:r>
          </w:p>
        </w:tc>
      </w:tr>
    </w:tbl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המתמטי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המצווה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מתחיל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?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השחר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צאת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הכוכבים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14]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).[14]</w:t>
      </w:r>
    </w:p>
    <w:p w:rsidR="00000000" w:rsidDel="00000000" w:rsidP="00000000" w:rsidRDefault="00000000" w:rsidRPr="00000000" w14:paraId="0000003E">
      <w:pPr>
        <w:shd w:fill="ffffff" w:val="clear"/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rtl w:val="0"/>
        </w:rPr>
        <w:t xml:space="preserve">T</w:t>
      </w:r>
    </w:p>
    <w:p w:rsidR="00000000" w:rsidDel="00000000" w:rsidP="00000000" w:rsidRDefault="00000000" w:rsidRPr="00000000" w14:paraId="0000003F">
      <w:pPr>
        <w:shd w:fill="ffffff" w:val="clear"/>
        <w:bidi w:val="1"/>
        <w:spacing w:after="240" w:before="240" w:line="288" w:lineRule="auto"/>
        <w:ind w:left="-40" w:firstLine="0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rtl w:val="0"/>
        </w:rPr>
        <w:t xml:space="preserve">zmanit</w:t>
      </w:r>
    </w:p>
    <w:p w:rsidR="00000000" w:rsidDel="00000000" w:rsidP="00000000" w:rsidRDefault="00000000" w:rsidRPr="00000000" w14:paraId="00000040">
      <w:pPr>
        <w:shd w:fill="ffffff" w:val="clear"/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rtl w:val="0"/>
        </w:rPr>
        <w:t xml:space="preserve">​</w:t>
      </w:r>
    </w:p>
    <w:p w:rsidR="00000000" w:rsidDel="00000000" w:rsidP="00000000" w:rsidRDefault="00000000" w:rsidRPr="00000000" w14:paraId="00000041">
      <w:pPr>
        <w:shd w:fill="ffffff" w:val="clear"/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=</w:t>
      </w:r>
    </w:p>
    <w:p w:rsidR="00000000" w:rsidDel="00000000" w:rsidP="00000000" w:rsidRDefault="00000000" w:rsidRPr="00000000" w14:paraId="00000042">
      <w:pPr>
        <w:shd w:fill="ffffff" w:val="clear"/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12</w:t>
      </w:r>
    </w:p>
    <w:p w:rsidR="00000000" w:rsidDel="00000000" w:rsidP="00000000" w:rsidRDefault="00000000" w:rsidRPr="00000000" w14:paraId="00000043">
      <w:pPr>
        <w:shd w:fill="ffffff" w:val="clear"/>
        <w:bidi w:val="1"/>
        <w:spacing w:after="240" w:before="240" w:line="288" w:lineRule="auto"/>
        <w:ind w:right="-4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rtl w:val="0"/>
        </w:rPr>
        <w:t xml:space="preserve">T</w:t>
      </w:r>
    </w:p>
    <w:p w:rsidR="00000000" w:rsidDel="00000000" w:rsidP="00000000" w:rsidRDefault="00000000" w:rsidRPr="00000000" w14:paraId="00000044">
      <w:pPr>
        <w:shd w:fill="ffffff" w:val="clear"/>
        <w:bidi w:val="1"/>
        <w:spacing w:after="240" w:before="240" w:line="288" w:lineRule="auto"/>
        <w:ind w:left="-40" w:right="-20" w:firstLine="0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rtl w:val="0"/>
        </w:rPr>
        <w:t xml:space="preserve">nightfall</w:t>
      </w:r>
    </w:p>
    <w:p w:rsidR="00000000" w:rsidDel="00000000" w:rsidP="00000000" w:rsidRDefault="00000000" w:rsidRPr="00000000" w14:paraId="00000045">
      <w:pPr>
        <w:shd w:fill="ffffff" w:val="clear"/>
        <w:bidi w:val="1"/>
        <w:spacing w:after="240" w:before="240" w:line="288" w:lineRule="auto"/>
        <w:ind w:right="-40"/>
        <w:rPr>
          <w:rFonts w:ascii="Times New Roman" w:cs="Times New Roman" w:eastAsia="Times New Roman" w:hAnsi="Times New Roman"/>
          <w:color w:val="1b1b1c"/>
          <w:sz w:val="2"/>
          <w:szCs w:val="2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rtl w:val="0"/>
        </w:rPr>
        <w:t xml:space="preserve">​</w:t>
      </w:r>
    </w:p>
    <w:p w:rsidR="00000000" w:rsidDel="00000000" w:rsidP="00000000" w:rsidRDefault="00000000" w:rsidRPr="00000000" w14:paraId="00000046">
      <w:pPr>
        <w:shd w:fill="ffffff" w:val="clear"/>
        <w:bidi w:val="1"/>
        <w:spacing w:after="240" w:before="240" w:line="288" w:lineRule="auto"/>
        <w:ind w:right="-4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</w:rPr>
      </w:pPr>
      <w:r w:rsidDel="00000000" w:rsidR="00000000" w:rsidRPr="00000000">
        <w:rPr>
          <w:rFonts w:ascii="Gungsuh" w:cs="Gungsuh" w:eastAsia="Gungsuh" w:hAnsi="Gungsuh"/>
          <w:color w:val="1b1b1c"/>
          <w:sz w:val="29"/>
          <w:szCs w:val="29"/>
          <w:rtl w:val="0"/>
        </w:rPr>
        <w:t xml:space="preserve">−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rtl w:val="0"/>
        </w:rPr>
        <w:t xml:space="preserve">T</w:t>
      </w:r>
    </w:p>
    <w:p w:rsidR="00000000" w:rsidDel="00000000" w:rsidP="00000000" w:rsidRDefault="00000000" w:rsidRPr="00000000" w14:paraId="00000047">
      <w:pPr>
        <w:shd w:fill="ffffff" w:val="clear"/>
        <w:bidi w:val="1"/>
        <w:spacing w:after="240" w:before="240" w:line="288" w:lineRule="auto"/>
        <w:ind w:left="-40" w:right="-20" w:firstLine="0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rtl w:val="0"/>
        </w:rPr>
        <w:t xml:space="preserve">dawn</w:t>
      </w:r>
    </w:p>
    <w:p w:rsidR="00000000" w:rsidDel="00000000" w:rsidP="00000000" w:rsidRDefault="00000000" w:rsidRPr="00000000" w14:paraId="00000048">
      <w:pPr>
        <w:shd w:fill="ffffff" w:val="clear"/>
        <w:bidi w:val="1"/>
        <w:spacing w:after="240" w:before="240" w:line="288" w:lineRule="auto"/>
        <w:ind w:right="-40"/>
        <w:rPr>
          <w:rFonts w:ascii="Times New Roman" w:cs="Times New Roman" w:eastAsia="Times New Roman" w:hAnsi="Times New Roman"/>
          <w:color w:val="1b1b1c"/>
          <w:sz w:val="2"/>
          <w:szCs w:val="2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rtl w:val="0"/>
        </w:rPr>
        <w:t xml:space="preserve">​</w:t>
      </w:r>
    </w:p>
    <w:p w:rsidR="00000000" w:rsidDel="00000000" w:rsidP="00000000" w:rsidRDefault="00000000" w:rsidRPr="00000000" w14:paraId="00000049">
      <w:pPr>
        <w:shd w:fill="ffffff" w:val="clear"/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"/>
          <w:szCs w:val="2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rtl w:val="0"/>
        </w:rPr>
        <w:t xml:space="preserve">​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מעשיות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קריאת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ותפילה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דאורייתא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דאורייתא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והזוהר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ייחודו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17]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בפולין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זהירות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מרוח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לסירוגין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לזוהר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ושיקוליו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19]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וקהילה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Minhag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אינטואיציה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11]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הלמדן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המעניינות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העדיפויות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העסקת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גויים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לצורכי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וקיום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עממיים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בזיקוקים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ובנפצים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3"/>
        <w:bidiVisual w:val="1"/>
        <w:tblW w:w="112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20"/>
        <w:gridCol w:w="3065"/>
        <w:gridCol w:w="3380"/>
        <w:gridCol w:w="875"/>
        <w:tblGridChange w:id="0">
          <w:tblGrid>
            <w:gridCol w:w="3920"/>
            <w:gridCol w:w="3065"/>
            <w:gridCol w:w="3380"/>
            <w:gridCol w:w="8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פסיקות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נבחרות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המגן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ההכרעה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קדימות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חיובים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שקיבלו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במנין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צירוף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המצטרפת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בחוזה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לצורכי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לבעיות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מוניציפליות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</w:tbl>
    <w:p w:rsidR="00000000" w:rsidDel="00000000" w:rsidP="00000000" w:rsidRDefault="00000000" w:rsidRPr="00000000" w14:paraId="0000007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רענן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מדהימה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ומחשבתיות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לתוספתא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ולמסמכים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משפטיים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והגהת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המטא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לקונצנזוס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זמננו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גומבינר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הריסותיה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ליטאית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8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גומבינר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https://chabadpedia.co.il/index.php/%D7%90%D7%91%D7%A8%D7%94%D7%9D_%D7%90%D7%91%D7%9C%D7%99_%D7%92%D7%95%D7%9E%D7%91%D7%99%D7%A0%D7%A8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GOMBINER RAV, ABRAHAM ABELE BEN HAYYIM HALEVI (c1637-1683) - Zchor.org,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http://zchor.org/GOMBINER.HTM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Avraham Gombiner - Wikipedia,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https://en.wikipedia.org/wiki/Avraham_Gombiner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https://he.wikipedia.org/wiki/%D7%96%D7%9E%D7%A0%D7%99_%D7%94%D7%99%D7%95%D7%9D_%D7%91%D7%94%D7%9C%D7%9B%D7%94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גומבינר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https://he.wikipedia.org/wiki/%D7%90%D7%91%D7%A8%D7%94%D7%9D_%D7%90%D7%91%D7%9C%D7%99_%D7%94%D7%9C%D7%95%D7%99_%D7%92%D7%95%D7%9E%D7%91%D7%99%D7%A0%D7%A8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ABELE GOMBINER - JewishEncyclopedia.com,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http://www.jewishencyclopedia.com/articles/370-abraham-abele-gombiner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Gombin, Poland (Pages 53-73, 89-93) - JewishGen,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https://www.jewishgen.org/yizkor/gombin/gom060.html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גומבינר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https://hameir-laarets.org.il/hilulots/%D7%92-%D7%AA%D7%A9%D7%A8%D7%99-%D7%A8%D7%91%D7%99-%D7%90%D7%91%D7%A8%D7%94%D7%9D-%D7%90%D7%91%D7%9C%D7%99-%D7%94%D7%9C%D7%95%D7%99-%D7%92%D7%95%D7%9E%D7%91%D7%99%D7%A0%D7%A8-%D7%94%D7%9E%D7%92/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Today in History: The Passing of the "Magen Avraham" - Hidabroot,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https://ennewsite.hidabroot.org/article/15706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https://www.sefaria.org.il/Magen_Avraham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https://he.wikipedia.org/wiki/%D7%9E%D7%92%D7%9F_%D7%90%D7%91%D7%A8%D7%94%D7%9D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https://www.sefaria.org.il/Peri_Megadim_on_Orach_Chayim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https://ph.yhb.org.il/03-08-02/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https://www.dirshu.co.il/407410-2/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https://ph.yhb.org.il/02-11-10/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https://www.sefaria.org.il/Magen_Avraham.157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43 -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גוטליב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https://www.youtube.com/watch?v=UNK7OhC5sBk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https://www.sefaria.org.il/Magen_Avraham.7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גומבינר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https://he.wikipedia.org/wiki/%D7%90%D7%91%D7%A8%D7%94%D7%9D_%D7%90%D7%91%D7%9C%D7%99_%D7%94%D7%9C%D7%95%D7%99_%D7%92%D7%95%D7%9E%D7%91%D7%99%D7%A0%D7%A8#%D7%A1%D7%A4%D7%A8%D7%99%D7%95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דעסוי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ווינרס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https://winners-auctions.com/items/%D7%96%D7%99%D7%AA-%D7%A8%D7%A2%D7%A0%D7%9F-%D7%9C%D7%91%D7%A2%D7%9C-%D7%94%D7%9E%D7%92%D7%9F-%D7%90%D7%91%D7%A8%D7%94%D7%9D-%D7%9E%D7%94%D7%93%D7%95%D7%A8%D7%94-%D7%A8%D7%90%D7%A9%D7%95%D7%A0/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ph.yhb.org.il/02-11-10/" TargetMode="External"/><Relationship Id="rId22" Type="http://schemas.openxmlformats.org/officeDocument/2006/relationships/hyperlink" Target="https://www.youtube.com/watch?v=UNK7OhC5sBk" TargetMode="External"/><Relationship Id="rId21" Type="http://schemas.openxmlformats.org/officeDocument/2006/relationships/hyperlink" Target="https://www.sefaria.org.il/Magen_Avraham.157" TargetMode="External"/><Relationship Id="rId24" Type="http://schemas.openxmlformats.org/officeDocument/2006/relationships/hyperlink" Target="https://he.wikipedia.org/wiki/%D7%90%D7%91%D7%A8%D7%94%D7%9D_%D7%90%D7%91%D7%9C%D7%99_%D7%94%D7%9C%D7%95%D7%99_%D7%92%D7%95%D7%9E%D7%91%D7%99%D7%A0%D7%A8#%D7%A1%D7%A4%D7%A8%D7%99%D7%95" TargetMode="External"/><Relationship Id="rId23" Type="http://schemas.openxmlformats.org/officeDocument/2006/relationships/hyperlink" Target="https://www.sefaria.org.il/Magen_Avraham.7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6%D7%9E%D7%A0%D7%99_%D7%94%D7%99%D7%95%D7%9D_%D7%91%D7%94%D7%9C%D7%9B%D7%94" TargetMode="External"/><Relationship Id="rId25" Type="http://schemas.openxmlformats.org/officeDocument/2006/relationships/hyperlink" Target="https://winners-auctions.com/items/%D7%96%D7%99%D7%AA-%D7%A8%D7%A2%D7%A0%D7%9F-%D7%9C%D7%91%D7%A2%D7%9C-%D7%94%D7%9E%D7%92%D7%9F-%D7%90%D7%91%D7%A8%D7%94%D7%9D-%D7%9E%D7%94%D7%93%D7%95%D7%A8%D7%94-%D7%A8%D7%90%D7%A9%D7%95%D7%A0/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index.php/%D7%90%D7%91%D7%A8%D7%94%D7%9D_%D7%90%D7%91%D7%9C%D7%99_%D7%92%D7%95%D7%9E%D7%91%D7%99%D7%A0%D7%A8" TargetMode="External"/><Relationship Id="rId7" Type="http://schemas.openxmlformats.org/officeDocument/2006/relationships/hyperlink" Target="http://zchor.org/GOMBINER.HTM" TargetMode="External"/><Relationship Id="rId8" Type="http://schemas.openxmlformats.org/officeDocument/2006/relationships/hyperlink" Target="https://en.wikipedia.org/wiki/Avraham_Gombiner" TargetMode="External"/><Relationship Id="rId11" Type="http://schemas.openxmlformats.org/officeDocument/2006/relationships/hyperlink" Target="http://www.jewishencyclopedia.com/articles/370-abraham-abele-gombiner" TargetMode="External"/><Relationship Id="rId10" Type="http://schemas.openxmlformats.org/officeDocument/2006/relationships/hyperlink" Target="https://he.wikipedia.org/wiki/%D7%90%D7%91%D7%A8%D7%94%D7%9D_%D7%90%D7%91%D7%9C%D7%99_%D7%94%D7%9C%D7%95%D7%99_%D7%92%D7%95%D7%9E%D7%91%D7%99%D7%A0%D7%A8" TargetMode="External"/><Relationship Id="rId13" Type="http://schemas.openxmlformats.org/officeDocument/2006/relationships/hyperlink" Target="https://hameir-laarets.org.il/hilulots/%D7%92-%D7%AA%D7%A9%D7%A8%D7%99-%D7%A8%D7%91%D7%99-%D7%90%D7%91%D7%A8%D7%94%D7%9D-%D7%90%D7%91%D7%9C%D7%99-%D7%94%D7%9C%D7%95%D7%99-%D7%92%D7%95%D7%9E%D7%91%D7%99%D7%A0%D7%A8-%D7%94%D7%9E%D7%92/" TargetMode="External"/><Relationship Id="rId12" Type="http://schemas.openxmlformats.org/officeDocument/2006/relationships/hyperlink" Target="https://www.jewishgen.org/yizkor/gombin/gom060.html" TargetMode="External"/><Relationship Id="rId15" Type="http://schemas.openxmlformats.org/officeDocument/2006/relationships/hyperlink" Target="https://www.sefaria.org.il/Magen_Avraham" TargetMode="External"/><Relationship Id="rId14" Type="http://schemas.openxmlformats.org/officeDocument/2006/relationships/hyperlink" Target="https://ennewsite.hidabroot.org/article/15706" TargetMode="External"/><Relationship Id="rId17" Type="http://schemas.openxmlformats.org/officeDocument/2006/relationships/hyperlink" Target="https://www.sefaria.org.il/Peri_Megadim_on_Orach_Chayim" TargetMode="External"/><Relationship Id="rId16" Type="http://schemas.openxmlformats.org/officeDocument/2006/relationships/hyperlink" Target="https://he.wikipedia.org/wiki/%D7%9E%D7%92%D7%9F_%D7%90%D7%91%D7%A8%D7%94%D7%9D" TargetMode="External"/><Relationship Id="rId19" Type="http://schemas.openxmlformats.org/officeDocument/2006/relationships/hyperlink" Target="https://www.dirshu.co.il/407410-2/" TargetMode="External"/><Relationship Id="rId18" Type="http://schemas.openxmlformats.org/officeDocument/2006/relationships/hyperlink" Target="https://ph.yhb.org.il/03-08-0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