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b1b1c"/>
          <w:sz w:val="33"/>
          <w:szCs w:val="33"/>
        </w:rPr>
      </w:pPr>
      <w:r w:rsidDel="00000000" w:rsidR="00000000" w:rsidRPr="00000000">
        <w:rPr>
          <w:color w:val="1b1b1c"/>
          <w:sz w:val="33"/>
          <w:szCs w:val="33"/>
          <w:rtl w:val="0"/>
        </w:rPr>
        <w:t xml:space="preserve">The Intellectual Architecture of the Evreux School: The Life, Methodology, and Lasting Influence of Rabbi Moses of Evreux</w:t>
      </w:r>
    </w:p>
    <w:p w:rsidR="00000000" w:rsidDel="00000000" w:rsidP="00000000" w:rsidRDefault="00000000" w:rsidRPr="00000000" w14:paraId="00000002">
      <w:pPr>
        <w:shd w:fill="edeffa" w:val="clear"/>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spacing w:after="160" w:lineRule="auto"/>
        <w:rPr>
          <w:color w:val="303030"/>
          <w:sz w:val="21"/>
          <w:szCs w:val="21"/>
        </w:rPr>
      </w:pPr>
      <w:r w:rsidDel="00000000" w:rsidR="00000000" w:rsidRPr="00000000">
        <w:rPr>
          <w:color w:val="303030"/>
          <w:sz w:val="21"/>
          <w:szCs w:val="21"/>
          <w:rtl w:val="1"/>
        </w:rPr>
        <w:t xml:space="preserve">המאמר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מאיוורא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דמות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מפתח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בתנועת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בעלי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התוספות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במאה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w:t>
      </w:r>
      <w:r w:rsidDel="00000000" w:rsidR="00000000" w:rsidRPr="00000000">
        <w:rPr>
          <w:color w:val="303030"/>
          <w:sz w:val="21"/>
          <w:szCs w:val="21"/>
          <w:rtl w:val="1"/>
        </w:rPr>
        <w:t xml:space="preserve">-13, </w:t>
      </w:r>
      <w:r w:rsidDel="00000000" w:rsidR="00000000" w:rsidRPr="00000000">
        <w:rPr>
          <w:color w:val="303030"/>
          <w:sz w:val="21"/>
          <w:szCs w:val="21"/>
          <w:rtl w:val="1"/>
        </w:rPr>
        <w:t xml:space="preserve">אשר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הוביל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יחד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אחיו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מהפכה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אינטלקטואלית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בשיטת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הלימוד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התלמודית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מדגיש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שיטת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איוורא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גישה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חדשנית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שהעבירה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מרכז</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הכובד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מהרב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החי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הכתוב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כמקור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סמכות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ובכך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העניקה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לתלמידים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עצמאות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מחשבתית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וכלים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לניתוח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לוגי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ומקוצר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התפתחות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זו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מוצגת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כמענה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אסטרטגי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לרדיפות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הדתיות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ולשריפת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התלמוד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בפריז</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שכן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אפשרה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שימור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המסורת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באמצעות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הגהות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תמציתיות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בשולי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ספרים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וריכוז</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הדיון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התלמודי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למבנה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נגיש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יותר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בסופו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מבקש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להראות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השפעתה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אסכולת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איוורא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נטמעה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נוסח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התוספות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המודפס</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ובספרות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ההלכה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והמוסר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ובכך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עיצבה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דמותו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הלמדן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לדורות</w:t>
      </w:r>
      <w:r w:rsidDel="00000000" w:rsidR="00000000" w:rsidRPr="00000000">
        <w:rPr>
          <w:color w:val="303030"/>
          <w:sz w:val="21"/>
          <w:szCs w:val="21"/>
          <w:rtl w:val="0"/>
        </w:rPr>
        <w:t xml:space="preserve">.</w:t>
      </w:r>
    </w:p>
    <w:p w:rsidR="00000000" w:rsidDel="00000000" w:rsidP="00000000" w:rsidRDefault="00000000" w:rsidRPr="00000000" w14:paraId="00000004">
      <w:pPr>
        <w:shd w:fill="ffffff" w:val="clear"/>
        <w:rPr>
          <w:b w:val="1"/>
          <w:bCs w:val="1"/>
          <w:color w:val="1b1b1c"/>
          <w:sz w:val="21"/>
          <w:szCs w:val="21"/>
        </w:rPr>
      </w:pPr>
      <w:r w:rsidDel="00000000" w:rsidR="00000000" w:rsidRPr="00000000">
        <w:rPr>
          <w:b w:val="1"/>
          <w:bCs w:val="1"/>
          <w:color w:val="1b1b1c"/>
          <w:sz w:val="21"/>
          <w:szCs w:val="21"/>
          <w:rtl w:val="0"/>
        </w:rPr>
        <w:t xml:space="preserve">The Intellectual Architecture of the Evreux School: The Life, Methodology, and Lasting Influence of Rabbi Moses of Evreux</w:t>
      </w:r>
    </w:p>
    <w:p w:rsidR="00000000" w:rsidDel="00000000" w:rsidP="00000000" w:rsidRDefault="00000000" w:rsidRPr="00000000" w14:paraId="00000005">
      <w:pPr>
        <w:shd w:fill="ffffff" w:val="clear"/>
        <w:rPr>
          <w:b w:val="1"/>
          <w:bCs w:val="1"/>
          <w:color w:val="1b1b1c"/>
          <w:sz w:val="21"/>
          <w:szCs w:val="21"/>
        </w:rPr>
      </w:pPr>
      <w:r w:rsidDel="00000000" w:rsidR="00000000" w:rsidRPr="00000000">
        <w:rPr>
          <w:b w:val="1"/>
          <w:bCs w:val="1"/>
          <w:color w:val="1b1b1c"/>
          <w:sz w:val="21"/>
          <w:szCs w:val="21"/>
          <w:rtl w:val="0"/>
        </w:rPr>
        <w:t xml:space="preserve">The Historical and Sociological Foundations of the Tosafist Movement in Thirteenth-Century France</w:t>
      </w:r>
    </w:p>
    <w:p w:rsidR="00000000" w:rsidDel="00000000" w:rsidP="00000000" w:rsidRDefault="00000000" w:rsidRPr="00000000" w14:paraId="00000006">
      <w:pPr>
        <w:shd w:fill="ffffff" w:val="clear"/>
        <w:rPr>
          <w:color w:val="1b1b1c"/>
          <w:sz w:val="24"/>
          <w:szCs w:val="24"/>
        </w:rPr>
      </w:pPr>
      <w:r w:rsidDel="00000000" w:rsidR="00000000" w:rsidRPr="00000000">
        <w:rPr>
          <w:color w:val="1b1b1c"/>
          <w:sz w:val="24"/>
          <w:szCs w:val="24"/>
          <w:rtl w:val="0"/>
        </w:rPr>
        <w:t xml:space="preserve">The emergence of Rabbi Moses of Evreux and his contemporaries in the mid-thirteenth century represents a definitive epoch in the history of the Oral Law, marked by both a structural refinement of Talmudic dialectic and a critical response to the existential threats facing French Jewry. To understand the work of Rabbi Moses, one must first situate him within the broader evolution of the Tosafist movement, which began with the immediate disciples and descendants of Rashi in the early twelfth century.[1, 2] While Rashi’s commentary provided a localized, linear explanation of the Talmudic text, the Tosafists adopted a globalizing approach, treating the entire corpus of the Babylonian Talmud as a unified, coherent document where no internal contradictions could remain unresolved.[1, 3]</w:t>
      </w:r>
    </w:p>
    <w:p w:rsidR="00000000" w:rsidDel="00000000" w:rsidP="00000000" w:rsidRDefault="00000000" w:rsidRPr="00000000" w14:paraId="00000007">
      <w:pPr>
        <w:shd w:fill="ffffff" w:val="clear"/>
        <w:rPr>
          <w:color w:val="1b1b1c"/>
          <w:sz w:val="24"/>
          <w:szCs w:val="24"/>
        </w:rPr>
      </w:pPr>
      <w:r w:rsidDel="00000000" w:rsidR="00000000" w:rsidRPr="00000000">
        <w:rPr>
          <w:color w:val="1b1b1c"/>
          <w:sz w:val="24"/>
          <w:szCs w:val="24"/>
          <w:rtl w:val="0"/>
        </w:rPr>
        <w:t xml:space="preserve">By the time Rabbi Moses of Evreux reached his intellectual maturity, the Tosafist project had moved from its initial expansive phase—characterized by the voluminous and often discursive "Tosafot of Sens" authored by Rabbi Samson ben Abraham—to a phase of condensation and critical editing.[2, 4] Rabbi Moses, active in the first half of the thirteenth century, was a central figure in this transition. Operating in the city of Évreux in the Normandy region, he headed a unique family-based academy that would produce some of the most influential legal and dialectic material in the Ashkenazic tradition.[5, 6]</w:t>
      </w:r>
    </w:p>
    <w:p w:rsidR="00000000" w:rsidDel="00000000" w:rsidP="00000000" w:rsidRDefault="00000000" w:rsidRPr="00000000" w14:paraId="00000008">
      <w:pPr>
        <w:shd w:fill="ffffff" w:val="clear"/>
        <w:rPr>
          <w:color w:val="1b1b1c"/>
          <w:sz w:val="24"/>
          <w:szCs w:val="24"/>
        </w:rPr>
      </w:pPr>
      <w:r w:rsidDel="00000000" w:rsidR="00000000" w:rsidRPr="00000000">
        <w:rPr>
          <w:color w:val="1b1b1c"/>
          <w:sz w:val="24"/>
          <w:szCs w:val="24"/>
          <w:rtl w:val="0"/>
        </w:rPr>
        <w:t xml:space="preserve">The societal backdrop of this period was one of intense scholarly devotion. Within the relatively small Jewish communities of Northern France and Germany, literacy and advanced Talmudic study were nearly universal among the male population, a cultural anomaly in a largely illiterate medieval European landscape.[7] This "aristocracy of the intellect" created a demand for sophisticated pedagogical tools and legal summaries, a demand that Rabbi Moses and his brothers sought to meet through their collective "Shiṭṭah of Evreux".[6, 8] However, this period was also darkened by the rising tide of anti-Judaism, culminating in the 1242 burning of the Talmud in Paris. This catastrophe fundamentally altered the transmission of Jewish knowledge, necessitating a shift from the preservation of massive oral traditions to the production of concise, written glosses that could be hidden or transcribed on the margins of other works, such as the </w:t>
      </w:r>
      <w:r w:rsidDel="00000000" w:rsidR="00000000" w:rsidRPr="00000000">
        <w:rPr>
          <w:i w:val="1"/>
          <w:iCs w:val="1"/>
          <w:color w:val="1b1b1c"/>
          <w:sz w:val="24"/>
          <w:szCs w:val="24"/>
          <w:rtl w:val="0"/>
        </w:rPr>
        <w:t xml:space="preserve">Halakhot</w:t>
      </w:r>
      <w:r w:rsidDel="00000000" w:rsidR="00000000" w:rsidRPr="00000000">
        <w:rPr>
          <w:color w:val="1b1b1c"/>
          <w:sz w:val="24"/>
          <w:szCs w:val="24"/>
          <w:rtl w:val="0"/>
        </w:rPr>
        <w:t xml:space="preserve"> of Rabbi Isaac Alfasi (the Rif).[2, 4, 6]</w:t>
      </w:r>
    </w:p>
    <w:p w:rsidR="00000000" w:rsidDel="00000000" w:rsidP="00000000" w:rsidRDefault="00000000" w:rsidRPr="00000000" w14:paraId="00000009">
      <w:pPr>
        <w:shd w:fill="ffffff" w:val="clear"/>
        <w:rPr>
          <w:b w:val="1"/>
          <w:bCs w:val="1"/>
          <w:color w:val="1b1b1c"/>
          <w:sz w:val="21"/>
          <w:szCs w:val="21"/>
        </w:rPr>
      </w:pPr>
      <w:r w:rsidDel="00000000" w:rsidR="00000000" w:rsidRPr="00000000">
        <w:rPr>
          <w:b w:val="1"/>
          <w:bCs w:val="1"/>
          <w:color w:val="1b1b1c"/>
          <w:sz w:val="21"/>
          <w:szCs w:val="21"/>
          <w:rtl w:val="0"/>
        </w:rPr>
        <w:t xml:space="preserve">The Collective Genius: Biography and the Fraternal Academy of Evreux</w:t>
      </w:r>
    </w:p>
    <w:p w:rsidR="00000000" w:rsidDel="00000000" w:rsidP="00000000" w:rsidRDefault="00000000" w:rsidRPr="00000000" w14:paraId="0000000A">
      <w:pPr>
        <w:shd w:fill="ffffff" w:val="clear"/>
        <w:rPr>
          <w:color w:val="1b1b1c"/>
          <w:sz w:val="24"/>
          <w:szCs w:val="24"/>
        </w:rPr>
      </w:pPr>
      <w:r w:rsidDel="00000000" w:rsidR="00000000" w:rsidRPr="00000000">
        <w:rPr>
          <w:color w:val="1b1b1c"/>
          <w:sz w:val="24"/>
          <w:szCs w:val="24"/>
          <w:rtl w:val="0"/>
        </w:rPr>
        <w:t xml:space="preserve">Rabbi Moses of Evreux was the eldest and most prominent member of a remarkable scholarly triumvirate, often referred to collectively as the "Sages of Evreux" or "the Great Ones of Evreux".[6, 8] He was the son of Rabbi Shneur (some historical sources identify the father as Yom-Ṭov), a figure who evidently laid the groundwork for his sons' prolific careers.[6, 9]</w:t>
      </w:r>
    </w:p>
    <w:p w:rsidR="00000000" w:rsidDel="00000000" w:rsidP="00000000" w:rsidRDefault="00000000" w:rsidRPr="00000000" w14:paraId="0000000B">
      <w:pPr>
        <w:shd w:fill="ffffff" w:val="clear"/>
        <w:rPr>
          <w:b w:val="1"/>
          <w:bCs w:val="1"/>
          <w:color w:val="1b1b1c"/>
          <w:sz w:val="21"/>
          <w:szCs w:val="21"/>
        </w:rPr>
      </w:pPr>
      <w:r w:rsidDel="00000000" w:rsidR="00000000" w:rsidRPr="00000000">
        <w:rPr>
          <w:b w:val="1"/>
          <w:bCs w:val="1"/>
          <w:color w:val="1b1b1c"/>
          <w:sz w:val="21"/>
          <w:szCs w:val="21"/>
          <w:rtl w:val="0"/>
        </w:rPr>
        <w:t xml:space="preserve">The Fraternal Collective of the Evreux Academy</w:t>
      </w:r>
    </w:p>
    <w:tbl>
      <w:tblPr>
        <w:tblStyle w:val="Table1"/>
        <w:tblW w:w="11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565"/>
        <w:gridCol w:w="3620"/>
        <w:gridCol w:w="4445"/>
        <w:tblGridChange w:id="0">
          <w:tblGrid>
            <w:gridCol w:w="1715"/>
            <w:gridCol w:w="1565"/>
            <w:gridCol w:w="3620"/>
            <w:gridCol w:w="4445"/>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b w:val="1"/>
                <w:bCs w:val="1"/>
                <w:color w:val="1b1b1c"/>
                <w:sz w:val="24"/>
                <w:szCs w:val="24"/>
              </w:rPr>
            </w:pPr>
            <w:r w:rsidDel="00000000" w:rsidR="00000000" w:rsidRPr="00000000">
              <w:rPr>
                <w:b w:val="1"/>
                <w:bCs w:val="1"/>
                <w:color w:val="1b1b1c"/>
                <w:sz w:val="24"/>
                <w:szCs w:val="24"/>
                <w:rtl w:val="0"/>
              </w:rPr>
              <w:t xml:space="preserve">Scholar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b w:val="1"/>
                <w:bCs w:val="1"/>
                <w:color w:val="1b1b1c"/>
                <w:sz w:val="24"/>
                <w:szCs w:val="24"/>
              </w:rPr>
            </w:pPr>
            <w:r w:rsidDel="00000000" w:rsidR="00000000" w:rsidRPr="00000000">
              <w:rPr>
                <w:b w:val="1"/>
                <w:bCs w:val="1"/>
                <w:color w:val="1b1b1c"/>
                <w:sz w:val="24"/>
                <w:szCs w:val="24"/>
                <w:rtl w:val="0"/>
              </w:rPr>
              <w:t xml:space="preserve">Familial Role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b w:val="1"/>
                <w:bCs w:val="1"/>
                <w:color w:val="1b1b1c"/>
                <w:sz w:val="24"/>
                <w:szCs w:val="24"/>
              </w:rPr>
            </w:pPr>
            <w:r w:rsidDel="00000000" w:rsidR="00000000" w:rsidRPr="00000000">
              <w:rPr>
                <w:b w:val="1"/>
                <w:bCs w:val="1"/>
                <w:color w:val="1b1b1c"/>
                <w:sz w:val="24"/>
                <w:szCs w:val="24"/>
                <w:rtl w:val="0"/>
              </w:rPr>
              <w:t xml:space="preserve">Intellectual Distinction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color w:val="1b1b1c"/>
                <w:sz w:val="24"/>
                <w:szCs w:val="24"/>
              </w:rPr>
            </w:pPr>
            <w:r w:rsidDel="00000000" w:rsidR="00000000" w:rsidRPr="00000000">
              <w:rPr>
                <w:b w:val="1"/>
                <w:bCs w:val="1"/>
                <w:color w:val="1b1b1c"/>
                <w:sz w:val="24"/>
                <w:szCs w:val="24"/>
                <w:rtl w:val="0"/>
              </w:rPr>
              <w:t xml:space="preserve">Primary Contributions</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b w:val="1"/>
                <w:bCs w:val="1"/>
                <w:color w:val="1b1b1c"/>
                <w:sz w:val="24"/>
                <w:szCs w:val="24"/>
              </w:rPr>
            </w:pPr>
            <w:r w:rsidDel="00000000" w:rsidR="00000000" w:rsidRPr="00000000">
              <w:rPr>
                <w:b w:val="1"/>
                <w:bCs w:val="1"/>
                <w:color w:val="1b1b1c"/>
                <w:sz w:val="24"/>
                <w:szCs w:val="24"/>
                <w:rtl w:val="0"/>
              </w:rPr>
              <w:t xml:space="preserve">Rabbi Moses of Evreux</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color w:val="1b1b1c"/>
                <w:sz w:val="24"/>
                <w:szCs w:val="24"/>
              </w:rPr>
            </w:pPr>
            <w:r w:rsidDel="00000000" w:rsidR="00000000" w:rsidRPr="00000000">
              <w:rPr>
                <w:color w:val="1b1b1c"/>
                <w:sz w:val="24"/>
                <w:szCs w:val="24"/>
                <w:rtl w:val="0"/>
              </w:rPr>
              <w:t xml:space="preserve">Eldest Brother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color w:val="1b1b1c"/>
                <w:sz w:val="24"/>
                <w:szCs w:val="24"/>
              </w:rPr>
            </w:pPr>
            <w:r w:rsidDel="00000000" w:rsidR="00000000" w:rsidRPr="00000000">
              <w:rPr>
                <w:color w:val="1b1b1c"/>
                <w:sz w:val="24"/>
                <w:szCs w:val="24"/>
                <w:rtl w:val="0"/>
              </w:rPr>
              <w:t xml:space="preserve">Teacher and primary authority; considered the "Greatest of the Group."</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color w:val="1b1b1c"/>
                <w:sz w:val="24"/>
                <w:szCs w:val="24"/>
              </w:rPr>
            </w:pPr>
            <w:r w:rsidDel="00000000" w:rsidR="00000000" w:rsidRPr="00000000">
              <w:rPr>
                <w:color w:val="1b1b1c"/>
                <w:sz w:val="24"/>
                <w:szCs w:val="24"/>
                <w:rtl w:val="0"/>
              </w:rPr>
              <w:t xml:space="preserve">Primary author of the Evreux Tosafot; author of a Siddur and Torah commentary.[5, 6]</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b w:val="1"/>
                <w:bCs w:val="1"/>
                <w:color w:val="1b1b1c"/>
                <w:sz w:val="24"/>
                <w:szCs w:val="24"/>
              </w:rPr>
            </w:pPr>
            <w:r w:rsidDel="00000000" w:rsidR="00000000" w:rsidRPr="00000000">
              <w:rPr>
                <w:b w:val="1"/>
                <w:bCs w:val="1"/>
                <w:color w:val="1b1b1c"/>
                <w:sz w:val="24"/>
                <w:szCs w:val="24"/>
                <w:rtl w:val="0"/>
              </w:rPr>
              <w:t xml:space="preserve">Rabbi Samuel of Evreux</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color w:val="1b1b1c"/>
                <w:sz w:val="24"/>
                <w:szCs w:val="24"/>
              </w:rPr>
            </w:pPr>
            <w:r w:rsidDel="00000000" w:rsidR="00000000" w:rsidRPr="00000000">
              <w:rPr>
                <w:color w:val="1b1b1c"/>
                <w:sz w:val="24"/>
                <w:szCs w:val="24"/>
                <w:rtl w:val="0"/>
              </w:rPr>
              <w:t xml:space="preserve">Middle Brother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color w:val="1b1b1c"/>
                <w:sz w:val="24"/>
                <w:szCs w:val="24"/>
              </w:rPr>
            </w:pPr>
            <w:r w:rsidDel="00000000" w:rsidR="00000000" w:rsidRPr="00000000">
              <w:rPr>
                <w:color w:val="1b1b1c"/>
                <w:sz w:val="24"/>
                <w:szCs w:val="24"/>
                <w:rtl w:val="0"/>
              </w:rPr>
              <w:t xml:space="preserve">Key collaborator and teacher in his own right; cited frequently in later Tosafot.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color w:val="1b1b1c"/>
                <w:sz w:val="24"/>
                <w:szCs w:val="24"/>
              </w:rPr>
            </w:pPr>
            <w:r w:rsidDel="00000000" w:rsidR="00000000" w:rsidRPr="00000000">
              <w:rPr>
                <w:color w:val="1b1b1c"/>
                <w:sz w:val="24"/>
                <w:szCs w:val="24"/>
                <w:rtl w:val="0"/>
              </w:rPr>
              <w:t xml:space="preserve">Collaborative development of the "Shiṭṭah"; maintained the school until late in the 13th century.[6, 8]</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b w:val="1"/>
                <w:bCs w:val="1"/>
                <w:color w:val="1b1b1c"/>
                <w:sz w:val="24"/>
                <w:szCs w:val="24"/>
              </w:rPr>
            </w:pPr>
            <w:r w:rsidDel="00000000" w:rsidR="00000000" w:rsidRPr="00000000">
              <w:rPr>
                <w:b w:val="1"/>
                <w:bCs w:val="1"/>
                <w:color w:val="1b1b1c"/>
                <w:sz w:val="24"/>
                <w:szCs w:val="24"/>
                <w:rtl w:val="0"/>
              </w:rPr>
              <w:t xml:space="preserve">Rabbi Isaac of Evreux</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color w:val="1b1b1c"/>
                <w:sz w:val="24"/>
                <w:szCs w:val="24"/>
              </w:rPr>
            </w:pPr>
            <w:r w:rsidDel="00000000" w:rsidR="00000000" w:rsidRPr="00000000">
              <w:rPr>
                <w:color w:val="1b1b1c"/>
                <w:sz w:val="24"/>
                <w:szCs w:val="24"/>
                <w:rtl w:val="0"/>
              </w:rPr>
              <w:t xml:space="preserve">Youngest Brother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color w:val="1b1b1c"/>
                <w:sz w:val="24"/>
                <w:szCs w:val="24"/>
              </w:rPr>
            </w:pPr>
            <w:r w:rsidDel="00000000" w:rsidR="00000000" w:rsidRPr="00000000">
              <w:rPr>
                <w:color w:val="1b1b1c"/>
                <w:sz w:val="24"/>
                <w:szCs w:val="24"/>
                <w:rtl w:val="0"/>
              </w:rPr>
              <w:t xml:space="preserve">Student of Rabbi Moses; widely regarded as the principal editor and scribe of the group.</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color w:val="1b1b1c"/>
                <w:sz w:val="24"/>
                <w:szCs w:val="24"/>
              </w:rPr>
            </w:pPr>
            <w:r w:rsidDel="00000000" w:rsidR="00000000" w:rsidRPr="00000000">
              <w:rPr>
                <w:color w:val="1b1b1c"/>
                <w:sz w:val="24"/>
                <w:szCs w:val="24"/>
                <w:rtl w:val="0"/>
              </w:rPr>
              <w:t xml:space="preserve">Redaction</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of</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the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collective</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s</w:t>
            </w:r>
            <w:r w:rsidDel="00000000" w:rsidR="00000000" w:rsidRPr="00000000">
              <w:rPr>
                <w:color w:val="1b1b1c"/>
                <w:sz w:val="24"/>
                <w:szCs w:val="24"/>
                <w:rtl w:val="0"/>
              </w:rPr>
              <w:t xml:space="preserve"> </w:t>
            </w:r>
            <w:r w:rsidDel="00000000" w:rsidR="00000000" w:rsidRPr="00000000">
              <w:rPr>
                <w:color w:val="1b1b1c"/>
                <w:sz w:val="24"/>
                <w:szCs w:val="24"/>
                <w:rtl w:val="1"/>
              </w:rPr>
              <w:t xml:space="preserve">חידושים</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novellae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teacher</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of</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later</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giants</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like</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R</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Perez</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and</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R</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Isaac</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of</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Corbeil</w:t>
            </w:r>
            <w:r w:rsidDel="00000000" w:rsidR="00000000" w:rsidRPr="00000000">
              <w:rPr>
                <w:color w:val="1b1b1c"/>
                <w:sz w:val="24"/>
                <w:szCs w:val="24"/>
                <w:rtl w:val="0"/>
              </w:rPr>
              <w:t xml:space="preserve">.[10]</w:t>
            </w:r>
          </w:p>
        </w:tc>
      </w:tr>
    </w:tbl>
    <w:p w:rsidR="00000000" w:rsidDel="00000000" w:rsidP="00000000" w:rsidRDefault="00000000" w:rsidRPr="00000000" w14:paraId="0000001C">
      <w:pPr>
        <w:shd w:fill="ffffff" w:val="clear"/>
        <w:rPr>
          <w:color w:val="1b1b1c"/>
          <w:sz w:val="24"/>
          <w:szCs w:val="24"/>
        </w:rPr>
      </w:pPr>
      <w:r w:rsidDel="00000000" w:rsidR="00000000" w:rsidRPr="00000000">
        <w:rPr>
          <w:color w:val="1b1b1c"/>
          <w:sz w:val="24"/>
          <w:szCs w:val="24"/>
          <w:rtl w:val="0"/>
        </w:rPr>
        <w:t xml:space="preserve">The brothers operated as a single intellectual unit, a "collective persona" that was rare even in the collaborative world of the Tosafists. They studied together, debated one another, and cited each other's opinions with a level of fluidity that often obscures individual attribution within the "Shiṭṭah of Evreux".[8, 10] Rabbi Moses served as the mentor to his younger brothers, yet the surviving literature depicts an environment of egalitarian intellectual exchange where the younger brothers' insights were recorded alongside those of their master.[5, 6]</w:t>
      </w:r>
    </w:p>
    <w:p w:rsidR="00000000" w:rsidDel="00000000" w:rsidP="00000000" w:rsidRDefault="00000000" w:rsidRPr="00000000" w14:paraId="0000001D">
      <w:pPr>
        <w:shd w:fill="ffffff" w:val="clear"/>
        <w:rPr>
          <w:color w:val="1b1b1c"/>
          <w:sz w:val="24"/>
          <w:szCs w:val="24"/>
        </w:rPr>
      </w:pPr>
      <w:r w:rsidDel="00000000" w:rsidR="00000000" w:rsidRPr="00000000">
        <w:rPr>
          <w:color w:val="1b1b1c"/>
          <w:sz w:val="24"/>
          <w:szCs w:val="24"/>
          <w:rtl w:val="0"/>
        </w:rPr>
        <w:t xml:space="preserve">The chronology of Rabbi Moses’s activity is largely reconstructed from mentions in contemporary and later works. He emerged as a significant leader in Evreux following the death of his own teacher, the famed Rabbi Judah ben Isaac Sir Leon of Paris, in 1224.[5, 8] His influence extended well beyond Normandy; he is known to have taught in a house of study in Montpellier, a major center of Provencal and Spanish scholarship.[5] This geographical reach was crucial, as it allowed the "French" Tosafist method to permeate the intellectual circles of the Spanish Rishonim, such as Rabbi Jonah Gerondi, who was one of Rabbi Moses's most famous disciples.[5]</w:t>
      </w:r>
    </w:p>
    <w:p w:rsidR="00000000" w:rsidDel="00000000" w:rsidP="00000000" w:rsidRDefault="00000000" w:rsidRPr="00000000" w14:paraId="0000001E">
      <w:pPr>
        <w:shd w:fill="ffffff" w:val="clear"/>
        <w:rPr>
          <w:b w:val="1"/>
          <w:bCs w:val="1"/>
          <w:color w:val="1b1b1c"/>
          <w:sz w:val="21"/>
          <w:szCs w:val="21"/>
        </w:rPr>
      </w:pPr>
      <w:r w:rsidDel="00000000" w:rsidR="00000000" w:rsidRPr="00000000">
        <w:rPr>
          <w:b w:val="1"/>
          <w:bCs w:val="1"/>
          <w:color w:val="1b1b1c"/>
          <w:sz w:val="21"/>
          <w:szCs w:val="21"/>
          <w:rtl w:val="0"/>
        </w:rPr>
        <w:t xml:space="preserve">The "Shiṭṭah of Evreux": A Philosophical Revolution in Authority</w:t>
      </w:r>
    </w:p>
    <w:p w:rsidR="00000000" w:rsidDel="00000000" w:rsidP="00000000" w:rsidRDefault="00000000" w:rsidRPr="00000000" w14:paraId="0000001F">
      <w:pPr>
        <w:shd w:fill="ffffff" w:val="clear"/>
        <w:rPr>
          <w:color w:val="1b1b1c"/>
          <w:sz w:val="24"/>
          <w:szCs w:val="24"/>
        </w:rPr>
      </w:pPr>
      <w:r w:rsidDel="00000000" w:rsidR="00000000" w:rsidRPr="00000000">
        <w:rPr>
          <w:color w:val="1b1b1c"/>
          <w:sz w:val="24"/>
          <w:szCs w:val="24"/>
          <w:rtl w:val="0"/>
        </w:rPr>
        <w:t xml:space="preserve">The most significant intellectual contribution of Rabbi Moses of Evreux was the formalization of a new approach to Rabbinic authority and pedagogy, known as the "Shiṭṭah of Evreux." This methodology represented a departure from the traditional model of the living master as the sole arbiter of truth, proposing instead a text-centric model of learning.[6, 8]</w:t>
      </w:r>
    </w:p>
    <w:p w:rsidR="00000000" w:rsidDel="00000000" w:rsidP="00000000" w:rsidRDefault="00000000" w:rsidRPr="00000000" w14:paraId="00000020">
      <w:pPr>
        <w:shd w:fill="ffffff" w:val="clear"/>
        <w:rPr>
          <w:b w:val="1"/>
          <w:bCs w:val="1"/>
          <w:color w:val="1b1b1c"/>
          <w:sz w:val="21"/>
          <w:szCs w:val="21"/>
        </w:rPr>
      </w:pPr>
      <w:r w:rsidDel="00000000" w:rsidR="00000000" w:rsidRPr="00000000">
        <w:rPr>
          <w:b w:val="1"/>
          <w:bCs w:val="1"/>
          <w:color w:val="1b1b1c"/>
          <w:sz w:val="21"/>
          <w:szCs w:val="21"/>
          <w:rtl w:val="0"/>
        </w:rPr>
        <w:t xml:space="preserve">The Doctrine of "Books as Teachers"</w:t>
      </w:r>
    </w:p>
    <w:p w:rsidR="00000000" w:rsidDel="00000000" w:rsidP="00000000" w:rsidRDefault="00000000" w:rsidRPr="00000000" w14:paraId="00000021">
      <w:pPr>
        <w:shd w:fill="ffffff" w:val="clear"/>
        <w:rPr>
          <w:color w:val="1b1b1c"/>
          <w:sz w:val="24"/>
          <w:szCs w:val="24"/>
        </w:rPr>
      </w:pPr>
      <w:r w:rsidDel="00000000" w:rsidR="00000000" w:rsidRPr="00000000">
        <w:rPr>
          <w:color w:val="1b1b1c"/>
          <w:sz w:val="24"/>
          <w:szCs w:val="24"/>
          <w:rtl w:val="0"/>
        </w:rPr>
        <w:t xml:space="preserve">Rabbi Moses and Rabbi Samuel formulated a radical response to the perceived "diminishing of the generations." They argued that in the contemporary era, characterized by the physical dispersal of scholars and the destruction of central libraries, the traditional rules of the student-teacher relationship (the laws of </w:t>
      </w:r>
      <w:r w:rsidDel="00000000" w:rsidR="00000000" w:rsidRPr="00000000">
        <w:rPr>
          <w:i w:val="1"/>
          <w:iCs w:val="1"/>
          <w:color w:val="1b1b1c"/>
          <w:sz w:val="24"/>
          <w:szCs w:val="24"/>
          <w:rtl w:val="0"/>
        </w:rPr>
        <w:t xml:space="preserve">Kevod rabo</w:t>
      </w:r>
      <w:r w:rsidDel="00000000" w:rsidR="00000000" w:rsidRPr="00000000">
        <w:rPr>
          <w:color w:val="1b1b1c"/>
          <w:sz w:val="24"/>
          <w:szCs w:val="24"/>
          <w:rtl w:val="0"/>
        </w:rPr>
        <w:t xml:space="preserve"> or reverence for the teacher) had fundamentally shifted.[8] Their core argument rested on the belief that written texts—the Gemara, the commentaries of Rashi, and the newly circulated Tosafot collections—had effectively become "the teachers of men".[6, 8]</w:t>
      </w:r>
    </w:p>
    <w:p w:rsidR="00000000" w:rsidDel="00000000" w:rsidP="00000000" w:rsidRDefault="00000000" w:rsidRPr="00000000" w14:paraId="00000022">
      <w:pPr>
        <w:shd w:fill="ffffff" w:val="clear"/>
        <w:rPr>
          <w:color w:val="1b1b1c"/>
          <w:sz w:val="24"/>
          <w:szCs w:val="24"/>
        </w:rPr>
      </w:pPr>
      <w:r w:rsidDel="00000000" w:rsidR="00000000" w:rsidRPr="00000000">
        <w:rPr>
          <w:color w:val="1b1b1c"/>
          <w:sz w:val="24"/>
          <w:szCs w:val="24"/>
          <w:rtl w:val="0"/>
        </w:rPr>
        <w:t xml:space="preserve">This perspective had several profound implications for the structure of Jewish learning:</w:t>
      </w:r>
    </w:p>
    <w:p w:rsidR="00000000" w:rsidDel="00000000" w:rsidP="00000000" w:rsidRDefault="00000000" w:rsidRPr="00000000" w14:paraId="00000023">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Academic Autonomy:</w:t>
      </w:r>
      <w:r w:rsidDel="00000000" w:rsidR="00000000" w:rsidRPr="00000000">
        <w:rPr>
          <w:color w:val="1b1b1c"/>
          <w:sz w:val="24"/>
          <w:szCs w:val="24"/>
          <w:rtl w:val="0"/>
        </w:rPr>
        <w:t xml:space="preserve"> If the book is the teacher, then any student who possesses the "cleverness of heart" (</w:t>
      </w:r>
      <w:r w:rsidDel="00000000" w:rsidR="00000000" w:rsidRPr="00000000">
        <w:rPr>
          <w:i w:val="1"/>
          <w:iCs w:val="1"/>
          <w:color w:val="1b1b1c"/>
          <w:sz w:val="24"/>
          <w:szCs w:val="24"/>
          <w:rtl w:val="0"/>
        </w:rPr>
        <w:t xml:space="preserve">pikchuat ha-lev</w:t>
      </w:r>
      <w:r w:rsidDel="00000000" w:rsidR="00000000" w:rsidRPr="00000000">
        <w:rPr>
          <w:color w:val="1b1b1c"/>
          <w:sz w:val="24"/>
          <w:szCs w:val="24"/>
          <w:rtl w:val="0"/>
        </w:rPr>
        <w:t xml:space="preserve">) to decode the text is granted a level of independence previously reserved for established masters. This allowed students to open their own study halls even in the same city as their teachers, challenging the classical prohibition of </w:t>
      </w:r>
      <w:r w:rsidDel="00000000" w:rsidR="00000000" w:rsidRPr="00000000">
        <w:rPr>
          <w:i w:val="1"/>
          <w:iCs w:val="1"/>
          <w:color w:val="1b1b1c"/>
          <w:sz w:val="24"/>
          <w:szCs w:val="24"/>
          <w:rtl w:val="0"/>
        </w:rPr>
        <w:t xml:space="preserve">moreh halakhah bifnei rabo</w:t>
      </w:r>
      <w:r w:rsidDel="00000000" w:rsidR="00000000" w:rsidRPr="00000000">
        <w:rPr>
          <w:color w:val="1b1b1c"/>
          <w:sz w:val="24"/>
          <w:szCs w:val="24"/>
          <w:rtl w:val="0"/>
        </w:rPr>
        <w:t xml:space="preserve">.[8]</w:t>
      </w:r>
    </w:p>
    <w:p w:rsidR="00000000" w:rsidDel="00000000" w:rsidP="00000000" w:rsidRDefault="00000000" w:rsidRPr="00000000" w14:paraId="00000024">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Intellectual Freedom:</w:t>
      </w:r>
      <w:r w:rsidDel="00000000" w:rsidR="00000000" w:rsidRPr="00000000">
        <w:rPr>
          <w:color w:val="1b1b1c"/>
          <w:sz w:val="24"/>
          <w:szCs w:val="24"/>
          <w:rtl w:val="0"/>
        </w:rPr>
        <w:t xml:space="preserve"> The "Shiṭṭah" encouraged students to use sharp dialectic and "cleverness" to challenge or even contradict the positions of their living teachers if they could prove their case through the written sources.[6, 8]</w:t>
      </w:r>
    </w:p>
    <w:p w:rsidR="00000000" w:rsidDel="00000000" w:rsidP="00000000" w:rsidRDefault="00000000" w:rsidRPr="00000000" w14:paraId="00000025">
      <w:pPr>
        <w:numPr>
          <w:ilvl w:val="0"/>
          <w:numId w:val="2"/>
        </w:numPr>
        <w:spacing w:after="180" w:lineRule="auto"/>
        <w:ind w:left="720" w:hanging="360"/>
        <w:rPr>
          <w:sz w:val="24"/>
          <w:szCs w:val="24"/>
        </w:rPr>
      </w:pPr>
      <w:r w:rsidDel="00000000" w:rsidR="00000000" w:rsidRPr="00000000">
        <w:rPr>
          <w:b w:val="1"/>
          <w:bCs w:val="1"/>
          <w:color w:val="1b1b1c"/>
          <w:sz w:val="24"/>
          <w:szCs w:val="24"/>
          <w:rtl w:val="0"/>
        </w:rPr>
        <w:t xml:space="preserve">Democratization of Knowledge:</w:t>
      </w:r>
      <w:r w:rsidDel="00000000" w:rsidR="00000000" w:rsidRPr="00000000">
        <w:rPr>
          <w:color w:val="1b1b1c"/>
          <w:sz w:val="24"/>
          <w:szCs w:val="24"/>
          <w:rtl w:val="0"/>
        </w:rPr>
        <w:t xml:space="preserve"> This move shifted the locus of authority from a charismatic individual to a portable, reproducible text, ensuring the survival of the intellectual tradition even when physical academies were destroyed or leaders were martyred.</w:t>
      </w:r>
    </w:p>
    <w:p w:rsidR="00000000" w:rsidDel="00000000" w:rsidP="00000000" w:rsidRDefault="00000000" w:rsidRPr="00000000" w14:paraId="00000026">
      <w:pPr>
        <w:shd w:fill="ffffff" w:val="clear"/>
        <w:rPr>
          <w:color w:val="1b1b1c"/>
          <w:sz w:val="24"/>
          <w:szCs w:val="24"/>
        </w:rPr>
      </w:pPr>
      <w:r w:rsidDel="00000000" w:rsidR="00000000" w:rsidRPr="00000000">
        <w:rPr>
          <w:color w:val="1b1b1c"/>
          <w:sz w:val="24"/>
          <w:szCs w:val="24"/>
          <w:rtl w:val="0"/>
        </w:rPr>
        <w:t xml:space="preserve">This philosophical shift explains the brevity and sharp critical edge of the </w:t>
      </w:r>
      <w:r w:rsidDel="00000000" w:rsidR="00000000" w:rsidRPr="00000000">
        <w:rPr>
          <w:i w:val="1"/>
          <w:iCs w:val="1"/>
          <w:color w:val="1b1b1c"/>
          <w:sz w:val="24"/>
          <w:szCs w:val="24"/>
          <w:rtl w:val="0"/>
        </w:rPr>
        <w:t xml:space="preserve">Tosafot of Evreux</w:t>
      </w:r>
      <w:r w:rsidDel="00000000" w:rsidR="00000000" w:rsidRPr="00000000">
        <w:rPr>
          <w:color w:val="1b1b1c"/>
          <w:sz w:val="24"/>
          <w:szCs w:val="24"/>
          <w:rtl w:val="0"/>
        </w:rPr>
        <w:t xml:space="preserve">. Their goal was not just to explain the text but to provide the analytical tools for the reader to become an independent "dissector" of the Talmudic logic. This approach foreshadowed the later developments in Ashkenazic </w:t>
      </w:r>
      <w:r w:rsidDel="00000000" w:rsidR="00000000" w:rsidRPr="00000000">
        <w:rPr>
          <w:i w:val="1"/>
          <w:iCs w:val="1"/>
          <w:color w:val="1b1b1c"/>
          <w:sz w:val="24"/>
          <w:szCs w:val="24"/>
          <w:rtl w:val="0"/>
        </w:rPr>
        <w:t xml:space="preserve">pilpul</w:t>
      </w:r>
      <w:r w:rsidDel="00000000" w:rsidR="00000000" w:rsidRPr="00000000">
        <w:rPr>
          <w:color w:val="1b1b1c"/>
          <w:sz w:val="24"/>
          <w:szCs w:val="24"/>
          <w:rtl w:val="0"/>
        </w:rPr>
        <w:t xml:space="preserve"> and the modern "Brisker" method of conceptual analysis.[11]</w:t>
      </w:r>
    </w:p>
    <w:p w:rsidR="00000000" w:rsidDel="00000000" w:rsidP="00000000" w:rsidRDefault="00000000" w:rsidRPr="00000000" w14:paraId="00000027">
      <w:pPr>
        <w:shd w:fill="ffffff" w:val="clear"/>
        <w:rPr>
          <w:b w:val="1"/>
          <w:bCs w:val="1"/>
          <w:color w:val="1b1b1c"/>
          <w:sz w:val="21"/>
          <w:szCs w:val="21"/>
        </w:rPr>
      </w:pPr>
      <w:r w:rsidDel="00000000" w:rsidR="00000000" w:rsidRPr="00000000">
        <w:rPr>
          <w:b w:val="1"/>
          <w:bCs w:val="1"/>
          <w:color w:val="1b1b1c"/>
          <w:sz w:val="21"/>
          <w:szCs w:val="21"/>
          <w:rtl w:val="0"/>
        </w:rPr>
        <w:t xml:space="preserve">The Literary Corpus of Rabbi Moses of Evreux</w:t>
      </w:r>
    </w:p>
    <w:p w:rsidR="00000000" w:rsidDel="00000000" w:rsidP="00000000" w:rsidRDefault="00000000" w:rsidRPr="00000000" w14:paraId="00000028">
      <w:pPr>
        <w:shd w:fill="ffffff" w:val="clear"/>
        <w:rPr>
          <w:color w:val="1b1b1c"/>
          <w:sz w:val="24"/>
          <w:szCs w:val="24"/>
        </w:rPr>
      </w:pPr>
      <w:r w:rsidDel="00000000" w:rsidR="00000000" w:rsidRPr="00000000">
        <w:rPr>
          <w:color w:val="1b1b1c"/>
          <w:sz w:val="24"/>
          <w:szCs w:val="24"/>
          <w:rtl w:val="0"/>
        </w:rPr>
        <w:t xml:space="preserve">The written output of Rabbi Moses was both vast and strategically formatted. His work can be divided into four primary categories: the collective Tosafot, his margin notes on the Rif, his liturgical contributions, and his ethical/exegetical works.</w:t>
      </w:r>
    </w:p>
    <w:p w:rsidR="00000000" w:rsidDel="00000000" w:rsidP="00000000" w:rsidRDefault="00000000" w:rsidRPr="00000000" w14:paraId="00000029">
      <w:pPr>
        <w:shd w:fill="ffffff" w:val="clear"/>
        <w:rPr>
          <w:b w:val="1"/>
          <w:bCs w:val="1"/>
          <w:color w:val="1b1b1c"/>
          <w:sz w:val="21"/>
          <w:szCs w:val="21"/>
        </w:rPr>
      </w:pPr>
      <w:r w:rsidDel="00000000" w:rsidR="00000000" w:rsidRPr="00000000">
        <w:rPr>
          <w:b w:val="1"/>
          <w:bCs w:val="1"/>
          <w:color w:val="1b1b1c"/>
          <w:sz w:val="21"/>
          <w:szCs w:val="21"/>
          <w:rtl w:val="0"/>
        </w:rPr>
        <w:t xml:space="preserve">The Collective Tosafot of Evreux</w:t>
      </w:r>
    </w:p>
    <w:p w:rsidR="00000000" w:rsidDel="00000000" w:rsidP="00000000" w:rsidRDefault="00000000" w:rsidRPr="00000000" w14:paraId="0000002A">
      <w:pPr>
        <w:shd w:fill="ffffff" w:val="clear"/>
        <w:rPr>
          <w:color w:val="1b1b1c"/>
          <w:sz w:val="24"/>
          <w:szCs w:val="24"/>
        </w:rPr>
      </w:pPr>
      <w:r w:rsidDel="00000000" w:rsidR="00000000" w:rsidRPr="00000000">
        <w:rPr>
          <w:color w:val="1b1b1c"/>
          <w:sz w:val="24"/>
          <w:szCs w:val="24"/>
          <w:rtl w:val="0"/>
        </w:rPr>
        <w:t xml:space="preserve">The </w:t>
      </w:r>
      <w:r w:rsidDel="00000000" w:rsidR="00000000" w:rsidRPr="00000000">
        <w:rPr>
          <w:i w:val="1"/>
          <w:iCs w:val="1"/>
          <w:color w:val="1b1b1c"/>
          <w:sz w:val="24"/>
          <w:szCs w:val="24"/>
          <w:rtl w:val="0"/>
        </w:rPr>
        <w:t xml:space="preserve">Tosafot of Evreux</w:t>
      </w:r>
      <w:r w:rsidDel="00000000" w:rsidR="00000000" w:rsidRPr="00000000">
        <w:rPr>
          <w:color w:val="1b1b1c"/>
          <w:sz w:val="24"/>
          <w:szCs w:val="24"/>
          <w:rtl w:val="0"/>
        </w:rPr>
        <w:t xml:space="preserve"> are among the most influential later collections of the Tosafist period. While earlier collections, like those of Rabbi Samson of Sens, were often gargantuan and recorded oral discussions in great detail, the Evreux brothers sought to create a more manageable, edited version of the dialectic.[2, 4] It is believed that they authored glosses on nearly the entire Babylonian Talmud, though the degree to which these survive as independent units varies by tractate.[4, 8]</w:t>
      </w:r>
    </w:p>
    <w:p w:rsidR="00000000" w:rsidDel="00000000" w:rsidP="00000000" w:rsidRDefault="00000000" w:rsidRPr="00000000" w14:paraId="0000002B">
      <w:pPr>
        <w:shd w:fill="ffffff" w:val="clear"/>
        <w:rPr>
          <w:color w:val="1b1b1c"/>
          <w:sz w:val="24"/>
          <w:szCs w:val="24"/>
        </w:rPr>
      </w:pPr>
      <w:r w:rsidDel="00000000" w:rsidR="00000000" w:rsidRPr="00000000">
        <w:rPr>
          <w:color w:val="1b1b1c"/>
          <w:sz w:val="24"/>
          <w:szCs w:val="24"/>
          <w:rtl w:val="0"/>
        </w:rPr>
        <w:t xml:space="preserve">The stylistic hallmarks of their work include:</w:t>
      </w:r>
    </w:p>
    <w:p w:rsidR="00000000" w:rsidDel="00000000" w:rsidP="00000000" w:rsidRDefault="00000000" w:rsidRPr="00000000" w14:paraId="0000002C">
      <w:pPr>
        <w:numPr>
          <w:ilvl w:val="0"/>
          <w:numId w:val="4"/>
        </w:numPr>
        <w:spacing w:after="0" w:afterAutospacing="0" w:lineRule="auto"/>
        <w:ind w:left="720" w:hanging="360"/>
        <w:rPr>
          <w:sz w:val="24"/>
          <w:szCs w:val="24"/>
        </w:rPr>
      </w:pPr>
      <w:r w:rsidDel="00000000" w:rsidR="00000000" w:rsidRPr="00000000">
        <w:rPr>
          <w:b w:val="1"/>
          <w:bCs w:val="1"/>
          <w:color w:val="1b1b1c"/>
          <w:sz w:val="24"/>
          <w:szCs w:val="24"/>
          <w:rtl w:val="0"/>
        </w:rPr>
        <w:t xml:space="preserve">Extreme Brevity:</w:t>
      </w:r>
      <w:r w:rsidDel="00000000" w:rsidR="00000000" w:rsidRPr="00000000">
        <w:rPr>
          <w:color w:val="1b1b1c"/>
          <w:sz w:val="24"/>
          <w:szCs w:val="24"/>
          <w:rtl w:val="0"/>
        </w:rPr>
        <w:t xml:space="preserve"> Unlike the "Tosafot Yeshanim," the Evreux glosses are often surgical in their precision, focusing on the core logical difficulty without superfluous explanation.[2]</w:t>
      </w:r>
    </w:p>
    <w:p w:rsidR="00000000" w:rsidDel="00000000" w:rsidP="00000000" w:rsidRDefault="00000000" w:rsidRPr="00000000" w14:paraId="0000002D">
      <w:pPr>
        <w:numPr>
          <w:ilvl w:val="0"/>
          <w:numId w:val="4"/>
        </w:numPr>
        <w:spacing w:after="0" w:afterAutospacing="0" w:lineRule="auto"/>
        <w:ind w:left="720" w:hanging="360"/>
        <w:rPr>
          <w:sz w:val="24"/>
          <w:szCs w:val="24"/>
        </w:rPr>
      </w:pPr>
      <w:r w:rsidDel="00000000" w:rsidR="00000000" w:rsidRPr="00000000">
        <w:rPr>
          <w:b w:val="1"/>
          <w:bCs w:val="1"/>
          <w:color w:val="1b1b1c"/>
          <w:sz w:val="24"/>
          <w:szCs w:val="24"/>
          <w:rtl w:val="0"/>
        </w:rPr>
        <w:t xml:space="preserve">Use of the Jerusalem Talmud:</w:t>
      </w:r>
      <w:r w:rsidDel="00000000" w:rsidR="00000000" w:rsidRPr="00000000">
        <w:rPr>
          <w:color w:val="1b1b1c"/>
          <w:sz w:val="24"/>
          <w:szCs w:val="24"/>
          <w:rtl w:val="0"/>
        </w:rPr>
        <w:t xml:space="preserve"> Reflecting the influence of Rabbi Samson of Sens and Rabbi Hananel, the Evreux school made extensive use of the </w:t>
      </w:r>
      <w:r w:rsidDel="00000000" w:rsidR="00000000" w:rsidRPr="00000000">
        <w:rPr>
          <w:i w:val="1"/>
          <w:iCs w:val="1"/>
          <w:color w:val="1b1b1c"/>
          <w:sz w:val="24"/>
          <w:szCs w:val="24"/>
          <w:rtl w:val="0"/>
        </w:rPr>
        <w:t xml:space="preserve">Yerushalmi</w:t>
      </w:r>
      <w:r w:rsidDel="00000000" w:rsidR="00000000" w:rsidRPr="00000000">
        <w:rPr>
          <w:color w:val="1b1b1c"/>
          <w:sz w:val="24"/>
          <w:szCs w:val="24"/>
          <w:rtl w:val="0"/>
        </w:rPr>
        <w:t xml:space="preserve"> to clarify or contrast with the Babylonian Gemara.[1]</w:t>
      </w:r>
    </w:p>
    <w:p w:rsidR="00000000" w:rsidDel="00000000" w:rsidP="00000000" w:rsidRDefault="00000000" w:rsidRPr="00000000" w14:paraId="0000002E">
      <w:pPr>
        <w:numPr>
          <w:ilvl w:val="0"/>
          <w:numId w:val="4"/>
        </w:numPr>
        <w:spacing w:after="180" w:lineRule="auto"/>
        <w:ind w:left="720" w:hanging="360"/>
        <w:rPr>
          <w:sz w:val="24"/>
          <w:szCs w:val="24"/>
        </w:rPr>
      </w:pPr>
      <w:r w:rsidDel="00000000" w:rsidR="00000000" w:rsidRPr="00000000">
        <w:rPr>
          <w:b w:val="1"/>
          <w:bCs w:val="1"/>
          <w:color w:val="1b1b1c"/>
          <w:sz w:val="24"/>
          <w:szCs w:val="24"/>
          <w:rtl w:val="0"/>
        </w:rPr>
        <w:t xml:space="preserve">Critical Engagement with Rashi:</w:t>
      </w:r>
      <w:r w:rsidDel="00000000" w:rsidR="00000000" w:rsidRPr="00000000">
        <w:rPr>
          <w:color w:val="1b1b1c"/>
          <w:sz w:val="24"/>
          <w:szCs w:val="24"/>
          <w:rtl w:val="0"/>
        </w:rPr>
        <w:t xml:space="preserve"> While maintaining the utmost respect for Rashi's foundation, Rabbi Moses frequently proposed alternative readings that he believed were more logically consistent with the broader Talmudic corpus.[1, 2, 3]</w:t>
      </w:r>
    </w:p>
    <w:p w:rsidR="00000000" w:rsidDel="00000000" w:rsidP="00000000" w:rsidRDefault="00000000" w:rsidRPr="00000000" w14:paraId="0000002F">
      <w:pPr>
        <w:shd w:fill="ffffff" w:val="clear"/>
        <w:rPr>
          <w:b w:val="1"/>
          <w:bCs w:val="1"/>
          <w:color w:val="1b1b1c"/>
          <w:sz w:val="21"/>
          <w:szCs w:val="21"/>
        </w:rPr>
      </w:pPr>
      <w:r w:rsidDel="00000000" w:rsidR="00000000" w:rsidRPr="00000000">
        <w:rPr>
          <w:b w:val="1"/>
          <w:bCs w:val="1"/>
          <w:color w:val="1b1b1c"/>
          <w:sz w:val="21"/>
          <w:szCs w:val="21"/>
          <w:rtl w:val="0"/>
        </w:rPr>
        <w:t xml:space="preserve">Glosses on the Rif and the Impact of 1242</w:t>
      </w:r>
    </w:p>
    <w:p w:rsidR="00000000" w:rsidDel="00000000" w:rsidP="00000000" w:rsidRDefault="00000000" w:rsidRPr="00000000" w14:paraId="00000030">
      <w:pPr>
        <w:shd w:fill="ffffff" w:val="clear"/>
        <w:rPr>
          <w:color w:val="1b1b1c"/>
          <w:sz w:val="24"/>
          <w:szCs w:val="24"/>
        </w:rPr>
      </w:pPr>
      <w:r w:rsidDel="00000000" w:rsidR="00000000" w:rsidRPr="00000000">
        <w:rPr>
          <w:color w:val="1b1b1c"/>
          <w:sz w:val="24"/>
          <w:szCs w:val="24"/>
          <w:rtl w:val="0"/>
        </w:rPr>
        <w:t xml:space="preserve">A unique aspect of Rabbi Moses's scholarship was his practice of writing his innovations on the margins of a copy of the </w:t>
      </w:r>
      <w:r w:rsidDel="00000000" w:rsidR="00000000" w:rsidRPr="00000000">
        <w:rPr>
          <w:i w:val="1"/>
          <w:iCs w:val="1"/>
          <w:color w:val="1b1b1c"/>
          <w:sz w:val="24"/>
          <w:szCs w:val="24"/>
          <w:rtl w:val="0"/>
        </w:rPr>
        <w:t xml:space="preserve">Halakhot</w:t>
      </w:r>
      <w:r w:rsidDel="00000000" w:rsidR="00000000" w:rsidRPr="00000000">
        <w:rPr>
          <w:color w:val="1b1b1c"/>
          <w:sz w:val="24"/>
          <w:szCs w:val="24"/>
          <w:rtl w:val="0"/>
        </w:rPr>
        <w:t xml:space="preserve"> of Rabbi Isaac Alfasi (the Rif).[2, 4, 6, 9] This was not merely a matter of convenience; it was a strategic reaction to the burning of the Talmud. When copies of the full Gemara were being seized and burned by the ecclesiastical authorities in France, the condensed legal codes of the Rif often escaped the same level of scrutiny. By attaching their Tosafist dialectic to the margins of the Rif, the Evreux scholars ensured that the "soul" of the French academy—its analytical method—would survive alongside the "body" of the practical law.[2, 4]</w:t>
      </w:r>
    </w:p>
    <w:p w:rsidR="00000000" w:rsidDel="00000000" w:rsidP="00000000" w:rsidRDefault="00000000" w:rsidRPr="00000000" w14:paraId="00000031">
      <w:pPr>
        <w:shd w:fill="ffffff" w:val="clear"/>
        <w:rPr>
          <w:b w:val="1"/>
          <w:bCs w:val="1"/>
          <w:color w:val="1b1b1c"/>
          <w:sz w:val="21"/>
          <w:szCs w:val="21"/>
        </w:rPr>
      </w:pPr>
      <w:r w:rsidDel="00000000" w:rsidR="00000000" w:rsidRPr="00000000">
        <w:rPr>
          <w:b w:val="1"/>
          <w:bCs w:val="1"/>
          <w:color w:val="1b1b1c"/>
          <w:sz w:val="21"/>
          <w:szCs w:val="21"/>
          <w:rtl w:val="0"/>
        </w:rPr>
        <w:t xml:space="preserve">The Siddur and Liturgical Rulings</w:t>
      </w:r>
    </w:p>
    <w:p w:rsidR="00000000" w:rsidDel="00000000" w:rsidP="00000000" w:rsidRDefault="00000000" w:rsidRPr="00000000" w14:paraId="00000032">
      <w:pPr>
        <w:shd w:fill="ffffff" w:val="clear"/>
        <w:rPr>
          <w:color w:val="1b1b1c"/>
          <w:sz w:val="24"/>
          <w:szCs w:val="24"/>
        </w:rPr>
      </w:pPr>
      <w:r w:rsidDel="00000000" w:rsidR="00000000" w:rsidRPr="00000000">
        <w:rPr>
          <w:color w:val="1b1b1c"/>
          <w:sz w:val="24"/>
          <w:szCs w:val="24"/>
          <w:rtl w:val="0"/>
        </w:rPr>
        <w:t xml:space="preserve">Rabbi Moses was also the author of a </w:t>
      </w:r>
      <w:r w:rsidDel="00000000" w:rsidR="00000000" w:rsidRPr="00000000">
        <w:rPr>
          <w:i w:val="1"/>
          <w:iCs w:val="1"/>
          <w:color w:val="1b1b1c"/>
          <w:sz w:val="24"/>
          <w:szCs w:val="24"/>
          <w:rtl w:val="0"/>
        </w:rPr>
        <w:t xml:space="preserve">Siddur</w:t>
      </w:r>
      <w:r w:rsidDel="00000000" w:rsidR="00000000" w:rsidRPr="00000000">
        <w:rPr>
          <w:color w:val="1b1b1c"/>
          <w:sz w:val="24"/>
          <w:szCs w:val="24"/>
          <w:rtl w:val="0"/>
        </w:rPr>
        <w:t xml:space="preserve"> (prayer book), a fact noted in major later works such as the </w:t>
      </w:r>
      <w:r w:rsidDel="00000000" w:rsidR="00000000" w:rsidRPr="00000000">
        <w:rPr>
          <w:i w:val="1"/>
          <w:iCs w:val="1"/>
          <w:color w:val="1b1b1c"/>
          <w:sz w:val="24"/>
          <w:szCs w:val="24"/>
          <w:rtl w:val="0"/>
        </w:rPr>
        <w:t xml:space="preserve">Sefer Mitzvot Katan</w:t>
      </w:r>
      <w:r w:rsidDel="00000000" w:rsidR="00000000" w:rsidRPr="00000000">
        <w:rPr>
          <w:color w:val="1b1b1c"/>
          <w:sz w:val="24"/>
          <w:szCs w:val="24"/>
          <w:rtl w:val="0"/>
        </w:rPr>
        <w:t xml:space="preserve"> (Semaḳ).[5, 6, 9] In the thirteenth century, a </w:t>
      </w:r>
      <w:r w:rsidDel="00000000" w:rsidR="00000000" w:rsidRPr="00000000">
        <w:rPr>
          <w:i w:val="1"/>
          <w:iCs w:val="1"/>
          <w:color w:val="1b1b1c"/>
          <w:sz w:val="24"/>
          <w:szCs w:val="24"/>
          <w:rtl w:val="0"/>
        </w:rPr>
        <w:t xml:space="preserve">Siddur</w:t>
      </w:r>
      <w:r w:rsidDel="00000000" w:rsidR="00000000" w:rsidRPr="00000000">
        <w:rPr>
          <w:color w:val="1b1b1c"/>
          <w:sz w:val="24"/>
          <w:szCs w:val="24"/>
          <w:rtl w:val="0"/>
        </w:rPr>
        <w:t xml:space="preserve"> was far more than a book of prayers; it was a comprehensive guide to the laws of daily living, synagogue ritual, and the theological significance of the liturgy. The fact that a leading dialectician like Rabbi Moses felt it necessary to author a </w:t>
      </w:r>
      <w:r w:rsidDel="00000000" w:rsidR="00000000" w:rsidRPr="00000000">
        <w:rPr>
          <w:i w:val="1"/>
          <w:iCs w:val="1"/>
          <w:color w:val="1b1b1c"/>
          <w:sz w:val="24"/>
          <w:szCs w:val="24"/>
          <w:rtl w:val="0"/>
        </w:rPr>
        <w:t xml:space="preserve">Siddur</w:t>
      </w:r>
      <w:r w:rsidDel="00000000" w:rsidR="00000000" w:rsidRPr="00000000">
        <w:rPr>
          <w:color w:val="1b1b1c"/>
          <w:sz w:val="24"/>
          <w:szCs w:val="24"/>
          <w:rtl w:val="0"/>
        </w:rPr>
        <w:t xml:space="preserve"> indicates that the Evreux school was deeply concerned with the intersection of high Talmudic theory and the lived religious experience of the average Jew.[5, 9] His son, Rabbi Chaim, continued this liturgical legacy, further cementing the family's influence on the Ashkenazic prayer rite.[5]</w:t>
      </w:r>
    </w:p>
    <w:p w:rsidR="00000000" w:rsidDel="00000000" w:rsidP="00000000" w:rsidRDefault="00000000" w:rsidRPr="00000000" w14:paraId="00000033">
      <w:pPr>
        <w:shd w:fill="ffffff" w:val="clear"/>
        <w:rPr>
          <w:b w:val="1"/>
          <w:bCs w:val="1"/>
          <w:color w:val="1b1b1c"/>
          <w:sz w:val="21"/>
          <w:szCs w:val="21"/>
        </w:rPr>
      </w:pPr>
      <w:r w:rsidDel="00000000" w:rsidR="00000000" w:rsidRPr="00000000">
        <w:rPr>
          <w:b w:val="1"/>
          <w:bCs w:val="1"/>
          <w:color w:val="1b1b1c"/>
          <w:sz w:val="21"/>
          <w:szCs w:val="21"/>
          <w:rtl w:val="0"/>
        </w:rPr>
        <w:t xml:space="preserve">The Specific Impact of Evreux on the Talmudic Canon</w:t>
      </w:r>
    </w:p>
    <w:p w:rsidR="00000000" w:rsidDel="00000000" w:rsidP="00000000" w:rsidRDefault="00000000" w:rsidRPr="00000000" w14:paraId="00000034">
      <w:pPr>
        <w:shd w:fill="ffffff" w:val="clear"/>
        <w:rPr>
          <w:color w:val="1b1b1c"/>
          <w:sz w:val="24"/>
          <w:szCs w:val="24"/>
        </w:rPr>
      </w:pPr>
      <w:r w:rsidDel="00000000" w:rsidR="00000000" w:rsidRPr="00000000">
        <w:rPr>
          <w:color w:val="1b1b1c"/>
          <w:sz w:val="24"/>
          <w:szCs w:val="24"/>
          <w:rtl w:val="0"/>
        </w:rPr>
        <w:t xml:space="preserve">The teachings of Rabbi Moses and his brothers did not remain isolated in Normandy. They were integrated into the very fabric of the printed Talmud through the work of later redactors.</w:t>
      </w:r>
    </w:p>
    <w:p w:rsidR="00000000" w:rsidDel="00000000" w:rsidP="00000000" w:rsidRDefault="00000000" w:rsidRPr="00000000" w14:paraId="00000035">
      <w:pPr>
        <w:shd w:fill="ffffff" w:val="clear"/>
        <w:rPr>
          <w:b w:val="1"/>
          <w:bCs w:val="1"/>
          <w:color w:val="1b1b1c"/>
          <w:sz w:val="21"/>
          <w:szCs w:val="21"/>
        </w:rPr>
      </w:pPr>
      <w:r w:rsidDel="00000000" w:rsidR="00000000" w:rsidRPr="00000000">
        <w:rPr>
          <w:b w:val="1"/>
          <w:bCs w:val="1"/>
          <w:color w:val="1b1b1c"/>
          <w:sz w:val="21"/>
          <w:szCs w:val="21"/>
          <w:rtl w:val="0"/>
        </w:rPr>
        <w:t xml:space="preserve">The Redaction Process and the Touques Connection</w:t>
      </w:r>
    </w:p>
    <w:p w:rsidR="00000000" w:rsidDel="00000000" w:rsidP="00000000" w:rsidRDefault="00000000" w:rsidRPr="00000000" w14:paraId="00000036">
      <w:pPr>
        <w:shd w:fill="ffffff" w:val="clear"/>
        <w:rPr>
          <w:color w:val="1b1b1c"/>
          <w:sz w:val="24"/>
          <w:szCs w:val="24"/>
        </w:rPr>
      </w:pPr>
      <w:r w:rsidDel="00000000" w:rsidR="00000000" w:rsidRPr="00000000">
        <w:rPr>
          <w:color w:val="1b1b1c"/>
          <w:sz w:val="24"/>
          <w:szCs w:val="24"/>
          <w:rtl w:val="0"/>
        </w:rPr>
        <w:t xml:space="preserve">The "standard" Tosafot found in the Vilna edition of the Shas are not a single, original work but a composite creation known as "Tosafot Touques".[3, 4] Rabbi Eliezer of Touques, who lived in the second half of the thirteenth century, acted as the primary editor of this project. His methodology involved taking the massive </w:t>
      </w:r>
      <w:r w:rsidDel="00000000" w:rsidR="00000000" w:rsidRPr="00000000">
        <w:rPr>
          <w:i w:val="1"/>
          <w:iCs w:val="1"/>
          <w:color w:val="1b1b1c"/>
          <w:sz w:val="24"/>
          <w:szCs w:val="24"/>
          <w:rtl w:val="0"/>
        </w:rPr>
        <w:t xml:space="preserve">Tosafot of Sens</w:t>
      </w:r>
      <w:r w:rsidDel="00000000" w:rsidR="00000000" w:rsidRPr="00000000">
        <w:rPr>
          <w:color w:val="1b1b1c"/>
          <w:sz w:val="24"/>
          <w:szCs w:val="24"/>
          <w:rtl w:val="0"/>
        </w:rPr>
        <w:t xml:space="preserve"> and refining them with the sharp, concise insights from the </w:t>
      </w:r>
      <w:r w:rsidDel="00000000" w:rsidR="00000000" w:rsidRPr="00000000">
        <w:rPr>
          <w:i w:val="1"/>
          <w:iCs w:val="1"/>
          <w:color w:val="1b1b1c"/>
          <w:sz w:val="24"/>
          <w:szCs w:val="24"/>
          <w:rtl w:val="0"/>
        </w:rPr>
        <w:t xml:space="preserve">Tosafot of Evreux</w:t>
      </w:r>
      <w:r w:rsidDel="00000000" w:rsidR="00000000" w:rsidRPr="00000000">
        <w:rPr>
          <w:color w:val="1b1b1c"/>
          <w:sz w:val="24"/>
          <w:szCs w:val="24"/>
          <w:rtl w:val="0"/>
        </w:rPr>
        <w:t xml:space="preserve">.[3, 4, 5]</w:t>
      </w:r>
    </w:p>
    <w:tbl>
      <w:tblPr>
        <w:tblStyle w:val="Table2"/>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315"/>
        <w:gridCol w:w="6830"/>
        <w:tblGridChange w:id="0">
          <w:tblGrid>
            <w:gridCol w:w="2015"/>
            <w:gridCol w:w="2315"/>
            <w:gridCol w:w="683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b w:val="1"/>
                <w:bCs w:val="1"/>
                <w:color w:val="1b1b1c"/>
                <w:sz w:val="24"/>
                <w:szCs w:val="24"/>
              </w:rPr>
            </w:pPr>
            <w:r w:rsidDel="00000000" w:rsidR="00000000" w:rsidRPr="00000000">
              <w:rPr>
                <w:b w:val="1"/>
                <w:bCs w:val="1"/>
                <w:color w:val="1b1b1c"/>
                <w:sz w:val="24"/>
                <w:szCs w:val="24"/>
                <w:rtl w:val="0"/>
              </w:rPr>
              <w:t xml:space="preserve">Tractate Category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b w:val="1"/>
                <w:bCs w:val="1"/>
                <w:color w:val="1b1b1c"/>
                <w:sz w:val="24"/>
                <w:szCs w:val="24"/>
              </w:rPr>
            </w:pPr>
            <w:r w:rsidDel="00000000" w:rsidR="00000000" w:rsidRPr="00000000">
              <w:rPr>
                <w:b w:val="1"/>
                <w:bCs w:val="1"/>
                <w:color w:val="1b1b1c"/>
                <w:sz w:val="24"/>
                <w:szCs w:val="24"/>
                <w:rtl w:val="0"/>
              </w:rPr>
              <w:t xml:space="preserve">Level of Evreux Influence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b w:val="1"/>
                <w:bCs w:val="1"/>
                <w:color w:val="1b1b1c"/>
                <w:sz w:val="24"/>
                <w:szCs w:val="24"/>
              </w:rPr>
            </w:pPr>
            <w:r w:rsidDel="00000000" w:rsidR="00000000" w:rsidRPr="00000000">
              <w:rPr>
                <w:b w:val="1"/>
                <w:bCs w:val="1"/>
                <w:color w:val="1b1b1c"/>
                <w:sz w:val="24"/>
                <w:szCs w:val="24"/>
                <w:rtl w:val="0"/>
              </w:rPr>
              <w:t xml:space="preserve">Mechanism of Preservation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b w:val="1"/>
                <w:bCs w:val="1"/>
                <w:color w:val="1b1b1c"/>
                <w:sz w:val="24"/>
                <w:szCs w:val="24"/>
              </w:rPr>
            </w:pPr>
            <w:r w:rsidDel="00000000" w:rsidR="00000000" w:rsidRPr="00000000">
              <w:rPr>
                <w:b w:val="1"/>
                <w:bCs w:val="1"/>
                <w:color w:val="1b1b1c"/>
                <w:sz w:val="24"/>
                <w:szCs w:val="24"/>
                <w:rtl w:val="0"/>
              </w:rPr>
              <w:t xml:space="preserve">Seder Kodashim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color w:val="1b1b1c"/>
                <w:sz w:val="24"/>
                <w:szCs w:val="24"/>
              </w:rPr>
            </w:pPr>
            <w:r w:rsidDel="00000000" w:rsidR="00000000" w:rsidRPr="00000000">
              <w:rPr>
                <w:color w:val="1b1b1c"/>
                <w:sz w:val="24"/>
                <w:szCs w:val="24"/>
                <w:rtl w:val="0"/>
              </w:rPr>
              <w:t xml:space="preserve">Extremely High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color w:val="1b1b1c"/>
                <w:sz w:val="24"/>
                <w:szCs w:val="24"/>
              </w:rPr>
            </w:pPr>
            <w:r w:rsidDel="00000000" w:rsidR="00000000" w:rsidRPr="00000000">
              <w:rPr>
                <w:color w:val="1b1b1c"/>
                <w:sz w:val="24"/>
                <w:szCs w:val="24"/>
                <w:rtl w:val="0"/>
              </w:rPr>
              <w:t xml:space="preserve">Significant portions preserved in the </w:t>
            </w:r>
            <w:r w:rsidDel="00000000" w:rsidR="00000000" w:rsidRPr="00000000">
              <w:rPr>
                <w:i w:val="1"/>
                <w:iCs w:val="1"/>
                <w:color w:val="1b1b1c"/>
                <w:sz w:val="24"/>
                <w:szCs w:val="24"/>
                <w:rtl w:val="0"/>
              </w:rPr>
              <w:t xml:space="preserve">Shiṭṭah Mekubbetzet</w:t>
            </w:r>
            <w:r w:rsidDel="00000000" w:rsidR="00000000" w:rsidRPr="00000000">
              <w:rPr>
                <w:color w:val="1b1b1c"/>
                <w:sz w:val="24"/>
                <w:szCs w:val="24"/>
                <w:rtl w:val="0"/>
              </w:rPr>
              <w:t xml:space="preserve"> by R. Bezalel Ashkenazi.[5,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b w:val="1"/>
                <w:bCs w:val="1"/>
                <w:color w:val="1b1b1c"/>
                <w:sz w:val="24"/>
                <w:szCs w:val="24"/>
              </w:rPr>
            </w:pPr>
            <w:r w:rsidDel="00000000" w:rsidR="00000000" w:rsidRPr="00000000">
              <w:rPr>
                <w:b w:val="1"/>
                <w:bCs w:val="1"/>
                <w:color w:val="1b1b1c"/>
                <w:sz w:val="24"/>
                <w:szCs w:val="24"/>
                <w:rtl w:val="0"/>
              </w:rPr>
              <w:t xml:space="preserve">Tractate Sotah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color w:val="1b1b1c"/>
                <w:sz w:val="24"/>
                <w:szCs w:val="24"/>
              </w:rPr>
            </w:pPr>
            <w:r w:rsidDel="00000000" w:rsidR="00000000" w:rsidRPr="00000000">
              <w:rPr>
                <w:color w:val="1b1b1c"/>
                <w:sz w:val="24"/>
                <w:szCs w:val="24"/>
                <w:rtl w:val="0"/>
              </w:rPr>
              <w:t xml:space="preserve">Complete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color w:val="1b1b1c"/>
                <w:sz w:val="24"/>
                <w:szCs w:val="24"/>
              </w:rPr>
            </w:pPr>
            <w:r w:rsidDel="00000000" w:rsidR="00000000" w:rsidRPr="00000000">
              <w:rPr>
                <w:color w:val="1b1b1c"/>
                <w:sz w:val="24"/>
                <w:szCs w:val="24"/>
                <w:rtl w:val="0"/>
              </w:rPr>
              <w:t xml:space="preserve">Originally misattributed to R. Samson of Sens in the Vilna Shas; now recognized as pure Evreux Tosafot.[12, 13]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b w:val="1"/>
                <w:bCs w:val="1"/>
                <w:color w:val="1b1b1c"/>
                <w:sz w:val="24"/>
                <w:szCs w:val="24"/>
              </w:rPr>
            </w:pPr>
            <w:r w:rsidDel="00000000" w:rsidR="00000000" w:rsidRPr="00000000">
              <w:rPr>
                <w:b w:val="1"/>
                <w:bCs w:val="1"/>
                <w:color w:val="1b1b1c"/>
                <w:sz w:val="24"/>
                <w:szCs w:val="24"/>
                <w:rtl w:val="0"/>
              </w:rPr>
              <w:t xml:space="preserve">Tractate Hagigah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color w:val="1b1b1c"/>
                <w:sz w:val="24"/>
                <w:szCs w:val="24"/>
              </w:rPr>
            </w:pPr>
            <w:r w:rsidDel="00000000" w:rsidR="00000000" w:rsidRPr="00000000">
              <w:rPr>
                <w:color w:val="1b1b1c"/>
                <w:sz w:val="24"/>
                <w:szCs w:val="24"/>
                <w:rtl w:val="0"/>
              </w:rPr>
              <w:t xml:space="preserve">High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color w:val="1b1b1c"/>
                <w:sz w:val="24"/>
                <w:szCs w:val="24"/>
              </w:rPr>
            </w:pPr>
            <w:r w:rsidDel="00000000" w:rsidR="00000000" w:rsidRPr="00000000">
              <w:rPr>
                <w:color w:val="1b1b1c"/>
                <w:sz w:val="24"/>
                <w:szCs w:val="24"/>
                <w:rtl w:val="0"/>
              </w:rPr>
              <w:t xml:space="preserve">Many authorities attribute the printed Tosafot on this tractate directly to R. Moses of Evreux.[5]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b w:val="1"/>
                <w:bCs w:val="1"/>
                <w:color w:val="1b1b1c"/>
                <w:sz w:val="24"/>
                <w:szCs w:val="24"/>
              </w:rPr>
            </w:pPr>
            <w:r w:rsidDel="00000000" w:rsidR="00000000" w:rsidRPr="00000000">
              <w:rPr>
                <w:b w:val="1"/>
                <w:bCs w:val="1"/>
                <w:color w:val="1b1b1c"/>
                <w:sz w:val="24"/>
                <w:szCs w:val="24"/>
                <w:rtl w:val="0"/>
              </w:rPr>
              <w:t xml:space="preserve">Tractate Kiddushin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color w:val="1b1b1c"/>
                <w:sz w:val="24"/>
                <w:szCs w:val="24"/>
              </w:rPr>
            </w:pPr>
            <w:r w:rsidDel="00000000" w:rsidR="00000000" w:rsidRPr="00000000">
              <w:rPr>
                <w:color w:val="1b1b1c"/>
                <w:sz w:val="24"/>
                <w:szCs w:val="24"/>
                <w:rtl w:val="0"/>
              </w:rPr>
              <w:t xml:space="preserve">High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color w:val="1b1b1c"/>
                <w:sz w:val="24"/>
                <w:szCs w:val="24"/>
              </w:rPr>
            </w:pPr>
            <w:r w:rsidDel="00000000" w:rsidR="00000000" w:rsidRPr="00000000">
              <w:rPr>
                <w:color w:val="1b1b1c"/>
                <w:sz w:val="24"/>
                <w:szCs w:val="24"/>
                <w:rtl w:val="0"/>
              </w:rPr>
              <w:t xml:space="preserve">Edited by a student of R. Isaac of Evreux using the school's core "Shiṭṭah".[3, 10]</w:t>
            </w:r>
          </w:p>
        </w:tc>
      </w:tr>
    </w:tbl>
    <w:p w:rsidR="00000000" w:rsidDel="00000000" w:rsidP="00000000" w:rsidRDefault="00000000" w:rsidRPr="00000000" w14:paraId="00000046">
      <w:pPr>
        <w:shd w:fill="ffffff" w:val="clear"/>
        <w:rPr>
          <w:color w:val="1b1b1c"/>
          <w:sz w:val="24"/>
          <w:szCs w:val="24"/>
        </w:rPr>
      </w:pPr>
      <w:r w:rsidDel="00000000" w:rsidR="00000000" w:rsidRPr="00000000">
        <w:rPr>
          <w:color w:val="1b1b1c"/>
          <w:sz w:val="24"/>
          <w:szCs w:val="24"/>
          <w:rtl w:val="0"/>
        </w:rPr>
        <w:t xml:space="preserve">The presence of the Evreux methodology is especially prominent in </w:t>
      </w:r>
      <w:r w:rsidDel="00000000" w:rsidR="00000000" w:rsidRPr="00000000">
        <w:rPr>
          <w:i w:val="1"/>
          <w:iCs w:val="1"/>
          <w:color w:val="1b1b1c"/>
          <w:sz w:val="24"/>
          <w:szCs w:val="24"/>
          <w:rtl w:val="0"/>
        </w:rPr>
        <w:t xml:space="preserve">Seder Kodashim</w:t>
      </w:r>
      <w:r w:rsidDel="00000000" w:rsidR="00000000" w:rsidRPr="00000000">
        <w:rPr>
          <w:color w:val="1b1b1c"/>
          <w:sz w:val="24"/>
          <w:szCs w:val="24"/>
          <w:rtl w:val="0"/>
        </w:rPr>
        <w:t xml:space="preserve"> (Sacred Things). Because these tractates deal with the highly technical and theoretical laws of the Temple service, they were the perfect playground for the Evreux school's method of logical "distinctions" and "two laws".[5, 10] The "Shiṭṭah Mekubbetzet" serves as a vital repository for these teachings, preserving the "Shiṭṭah of Evreux" on tractates where the main printed Tosafot followed a different school.[8]</w:t>
      </w:r>
    </w:p>
    <w:p w:rsidR="00000000" w:rsidDel="00000000" w:rsidP="00000000" w:rsidRDefault="00000000" w:rsidRPr="00000000" w14:paraId="00000047">
      <w:pPr>
        <w:shd w:fill="ffffff" w:val="clear"/>
        <w:rPr>
          <w:b w:val="1"/>
          <w:bCs w:val="1"/>
          <w:color w:val="1b1b1c"/>
          <w:sz w:val="21"/>
          <w:szCs w:val="21"/>
        </w:rPr>
      </w:pPr>
      <w:r w:rsidDel="00000000" w:rsidR="00000000" w:rsidRPr="00000000">
        <w:rPr>
          <w:b w:val="1"/>
          <w:bCs w:val="1"/>
          <w:color w:val="1b1b1c"/>
          <w:sz w:val="21"/>
          <w:szCs w:val="21"/>
          <w:rtl w:val="0"/>
        </w:rPr>
        <w:t xml:space="preserve">Ethical and Pedagogical Influence: The Link to Rabbi Jonah Gerondi</w:t>
      </w:r>
    </w:p>
    <w:p w:rsidR="00000000" w:rsidDel="00000000" w:rsidP="00000000" w:rsidRDefault="00000000" w:rsidRPr="00000000" w14:paraId="00000048">
      <w:pPr>
        <w:shd w:fill="ffffff" w:val="clear"/>
        <w:rPr>
          <w:color w:val="1b1b1c"/>
          <w:sz w:val="24"/>
          <w:szCs w:val="24"/>
        </w:rPr>
      </w:pPr>
      <w:r w:rsidDel="00000000" w:rsidR="00000000" w:rsidRPr="00000000">
        <w:rPr>
          <w:color w:val="1b1b1c"/>
          <w:sz w:val="24"/>
          <w:szCs w:val="24"/>
          <w:rtl w:val="0"/>
        </w:rPr>
        <w:t xml:space="preserve">Rabbi Moses of Evreux's legacy is not confined to legal dialectic; it also includes a significant ethical dimension. This is most clearly seen through his relationship with Rabbi Jonah Gerondi, the author of the foundational ethical work </w:t>
      </w:r>
      <w:r w:rsidDel="00000000" w:rsidR="00000000" w:rsidRPr="00000000">
        <w:rPr>
          <w:i w:val="1"/>
          <w:iCs w:val="1"/>
          <w:color w:val="1b1b1c"/>
          <w:sz w:val="24"/>
          <w:szCs w:val="24"/>
          <w:rtl w:val="0"/>
        </w:rPr>
        <w:t xml:space="preserve">Sha'arei Teshuvah</w:t>
      </w:r>
      <w:r w:rsidDel="00000000" w:rsidR="00000000" w:rsidRPr="00000000">
        <w:rPr>
          <w:color w:val="1b1b1c"/>
          <w:sz w:val="24"/>
          <w:szCs w:val="24"/>
          <w:rtl w:val="0"/>
        </w:rPr>
        <w:t xml:space="preserve"> (The Gates of Repentance).[5]</w:t>
      </w:r>
    </w:p>
    <w:p w:rsidR="00000000" w:rsidDel="00000000" w:rsidP="00000000" w:rsidRDefault="00000000" w:rsidRPr="00000000" w14:paraId="00000049">
      <w:pPr>
        <w:shd w:fill="ffffff" w:val="clear"/>
        <w:rPr>
          <w:color w:val="1b1b1c"/>
          <w:sz w:val="24"/>
          <w:szCs w:val="24"/>
        </w:rPr>
      </w:pPr>
      <w:r w:rsidDel="00000000" w:rsidR="00000000" w:rsidRPr="00000000">
        <w:rPr>
          <w:color w:val="1b1b1c"/>
          <w:sz w:val="24"/>
          <w:szCs w:val="24"/>
          <w:rtl w:val="0"/>
        </w:rPr>
        <w:t xml:space="preserve">Rabbi Jonah traveled from Spain to France specifically to study at the academy of Rabbi Moses.[5] This "intellectual pilgrimage" highlights the preeminent status of the Evreux school in the thirteenth century. It is highly probable that the rigorous, text-focused methodology of Rabbi Moses influenced Rabbi Jonah's later approach to </w:t>
      </w:r>
      <w:r w:rsidDel="00000000" w:rsidR="00000000" w:rsidRPr="00000000">
        <w:rPr>
          <w:i w:val="1"/>
          <w:iCs w:val="1"/>
          <w:color w:val="1b1b1c"/>
          <w:sz w:val="24"/>
          <w:szCs w:val="24"/>
          <w:rtl w:val="0"/>
        </w:rPr>
        <w:t xml:space="preserve">Mussar</w:t>
      </w:r>
      <w:r w:rsidDel="00000000" w:rsidR="00000000" w:rsidRPr="00000000">
        <w:rPr>
          <w:color w:val="1b1b1c"/>
          <w:sz w:val="24"/>
          <w:szCs w:val="24"/>
          <w:rtl w:val="0"/>
        </w:rPr>
        <w:t xml:space="preserve"> (ethics). In the same way that the "Shiṭṭah of Evreux" required the student to dissect the Gemara with surgical precision, Rabbi Jonah’s ethical works require the individual to dissect their own soul with the same uncompromising logic.[5]</w:t>
      </w:r>
    </w:p>
    <w:p w:rsidR="00000000" w:rsidDel="00000000" w:rsidP="00000000" w:rsidRDefault="00000000" w:rsidRPr="00000000" w14:paraId="0000004A">
      <w:pPr>
        <w:shd w:fill="ffffff" w:val="clear"/>
        <w:rPr>
          <w:color w:val="1b1b1c"/>
          <w:sz w:val="24"/>
          <w:szCs w:val="24"/>
        </w:rPr>
      </w:pPr>
      <w:r w:rsidDel="00000000" w:rsidR="00000000" w:rsidRPr="00000000">
        <w:rPr>
          <w:color w:val="1b1b1c"/>
          <w:sz w:val="24"/>
          <w:szCs w:val="24"/>
          <w:rtl w:val="0"/>
        </w:rPr>
        <w:t xml:space="preserve">Furthermore, the mention of Rabbi Moses's involvement in "Chassidut" (pietism) in early sources suggests that the Evreux school was a nexus where the analytical "French" tradition met the mystical and pietistic "German" tradition (Chassidei Ashkenaz).[5] This synthesis created a holistic model of the "Talmid Chacham" (scholar) who was simultaneously a master of the dialectic and a paragon of ethical self-discipline.</w:t>
      </w:r>
    </w:p>
    <w:p w:rsidR="00000000" w:rsidDel="00000000" w:rsidP="00000000" w:rsidRDefault="00000000" w:rsidRPr="00000000" w14:paraId="0000004B">
      <w:pPr>
        <w:shd w:fill="ffffff" w:val="clear"/>
        <w:rPr>
          <w:b w:val="1"/>
          <w:bCs w:val="1"/>
          <w:color w:val="1b1b1c"/>
          <w:sz w:val="21"/>
          <w:szCs w:val="21"/>
        </w:rPr>
      </w:pPr>
      <w:r w:rsidDel="00000000" w:rsidR="00000000" w:rsidRPr="00000000">
        <w:rPr>
          <w:b w:val="1"/>
          <w:bCs w:val="1"/>
          <w:color w:val="1b1b1c"/>
          <w:sz w:val="21"/>
          <w:szCs w:val="21"/>
          <w:rtl w:val="0"/>
        </w:rPr>
        <w:t xml:space="preserve">Educational Genealogy and the Transmission of Knowledge</w:t>
      </w:r>
    </w:p>
    <w:p w:rsidR="00000000" w:rsidDel="00000000" w:rsidP="00000000" w:rsidRDefault="00000000" w:rsidRPr="00000000" w14:paraId="0000004C">
      <w:pPr>
        <w:shd w:fill="ffffff" w:val="clear"/>
        <w:rPr>
          <w:color w:val="1b1b1c"/>
          <w:sz w:val="24"/>
          <w:szCs w:val="24"/>
        </w:rPr>
      </w:pPr>
      <w:r w:rsidDel="00000000" w:rsidR="00000000" w:rsidRPr="00000000">
        <w:rPr>
          <w:color w:val="1b1b1c"/>
          <w:sz w:val="24"/>
          <w:szCs w:val="24"/>
          <w:rtl w:val="0"/>
        </w:rPr>
        <w:t xml:space="preserve">The influence of Rabbi Moses can be traced through a direct line of students who became the leading lights of the next generation. This genealogy demonstrates how the Evreux school's emphasis on student autonomy actually fostered a more robust and interconnected scholarly network.</w:t>
      </w:r>
    </w:p>
    <w:p w:rsidR="00000000" w:rsidDel="00000000" w:rsidP="00000000" w:rsidRDefault="00000000" w:rsidRPr="00000000" w14:paraId="0000004D">
      <w:pPr>
        <w:shd w:fill="ffffff" w:val="clear"/>
        <w:rPr>
          <w:b w:val="1"/>
          <w:bCs w:val="1"/>
          <w:color w:val="1b1b1c"/>
          <w:sz w:val="21"/>
          <w:szCs w:val="21"/>
        </w:rPr>
      </w:pPr>
      <w:r w:rsidDel="00000000" w:rsidR="00000000" w:rsidRPr="00000000">
        <w:rPr>
          <w:b w:val="1"/>
          <w:bCs w:val="1"/>
          <w:color w:val="1b1b1c"/>
          <w:sz w:val="21"/>
          <w:szCs w:val="21"/>
          <w:rtl w:val="0"/>
        </w:rPr>
        <w:t xml:space="preserve">Prominent Students and Their Contributions</w:t>
      </w:r>
    </w:p>
    <w:tbl>
      <w:tblPr>
        <w:tblStyle w:val="Table3"/>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2735"/>
        <w:gridCol w:w="6290"/>
        <w:tblGridChange w:id="0">
          <w:tblGrid>
            <w:gridCol w:w="2135"/>
            <w:gridCol w:w="2735"/>
            <w:gridCol w:w="629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b w:val="1"/>
                <w:bCs w:val="1"/>
                <w:color w:val="1b1b1c"/>
                <w:sz w:val="24"/>
                <w:szCs w:val="24"/>
              </w:rPr>
            </w:pPr>
            <w:r w:rsidDel="00000000" w:rsidR="00000000" w:rsidRPr="00000000">
              <w:rPr>
                <w:b w:val="1"/>
                <w:bCs w:val="1"/>
                <w:color w:val="1b1b1c"/>
                <w:sz w:val="24"/>
                <w:szCs w:val="24"/>
                <w:rtl w:val="0"/>
              </w:rPr>
              <w:t xml:space="preserve">Student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b w:val="1"/>
                <w:bCs w:val="1"/>
                <w:color w:val="1b1b1c"/>
                <w:sz w:val="24"/>
                <w:szCs w:val="24"/>
              </w:rPr>
            </w:pPr>
            <w:r w:rsidDel="00000000" w:rsidR="00000000" w:rsidRPr="00000000">
              <w:rPr>
                <w:b w:val="1"/>
                <w:bCs w:val="1"/>
                <w:color w:val="1b1b1c"/>
                <w:sz w:val="24"/>
                <w:szCs w:val="24"/>
                <w:rtl w:val="0"/>
              </w:rPr>
              <w:t xml:space="preserve">Relationship</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b w:val="1"/>
                <w:bCs w:val="1"/>
                <w:color w:val="1b1b1c"/>
                <w:sz w:val="24"/>
                <w:szCs w:val="24"/>
              </w:rPr>
            </w:pPr>
            <w:r w:rsidDel="00000000" w:rsidR="00000000" w:rsidRPr="00000000">
              <w:rPr>
                <w:b w:val="1"/>
                <w:bCs w:val="1"/>
                <w:color w:val="1b1b1c"/>
                <w:sz w:val="24"/>
                <w:szCs w:val="24"/>
                <w:rtl w:val="0"/>
              </w:rPr>
              <w:t xml:space="preserve">Lasting Impact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b w:val="1"/>
                <w:bCs w:val="1"/>
                <w:color w:val="1b1b1c"/>
                <w:sz w:val="24"/>
                <w:szCs w:val="24"/>
              </w:rPr>
            </w:pPr>
            <w:r w:rsidDel="00000000" w:rsidR="00000000" w:rsidRPr="00000000">
              <w:rPr>
                <w:b w:val="1"/>
                <w:bCs w:val="1"/>
                <w:color w:val="1b1b1c"/>
                <w:sz w:val="24"/>
                <w:szCs w:val="24"/>
                <w:rtl w:val="0"/>
              </w:rPr>
              <w:t xml:space="preserve">Rabbi Jonah Gerondi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color w:val="1b1b1c"/>
                <w:sz w:val="24"/>
                <w:szCs w:val="24"/>
              </w:rPr>
            </w:pPr>
            <w:r w:rsidDel="00000000" w:rsidR="00000000" w:rsidRPr="00000000">
              <w:rPr>
                <w:color w:val="1b1b1c"/>
                <w:sz w:val="24"/>
                <w:szCs w:val="24"/>
                <w:rtl w:val="0"/>
              </w:rPr>
              <w:t xml:space="preserve">Direct Student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color w:val="1b1b1c"/>
                <w:sz w:val="24"/>
                <w:szCs w:val="24"/>
              </w:rPr>
            </w:pPr>
            <w:r w:rsidDel="00000000" w:rsidR="00000000" w:rsidRPr="00000000">
              <w:rPr>
                <w:color w:val="1b1b1c"/>
                <w:sz w:val="24"/>
                <w:szCs w:val="24"/>
                <w:rtl w:val="0"/>
              </w:rPr>
              <w:t xml:space="preserve">Author of </w:t>
            </w:r>
            <w:r w:rsidDel="00000000" w:rsidR="00000000" w:rsidRPr="00000000">
              <w:rPr>
                <w:i w:val="1"/>
                <w:iCs w:val="1"/>
                <w:color w:val="1b1b1c"/>
                <w:sz w:val="24"/>
                <w:szCs w:val="24"/>
                <w:rtl w:val="0"/>
              </w:rPr>
              <w:t xml:space="preserve">Sha'arei Teshuvah</w:t>
            </w:r>
            <w:r w:rsidDel="00000000" w:rsidR="00000000" w:rsidRPr="00000000">
              <w:rPr>
                <w:color w:val="1b1b1c"/>
                <w:sz w:val="24"/>
                <w:szCs w:val="24"/>
                <w:rtl w:val="0"/>
              </w:rPr>
              <w:t xml:space="preserve">; bridged French and Spanish scholarly traditions.[5]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b w:val="1"/>
                <w:bCs w:val="1"/>
                <w:color w:val="1b1b1c"/>
                <w:sz w:val="24"/>
                <w:szCs w:val="24"/>
              </w:rPr>
            </w:pPr>
            <w:r w:rsidDel="00000000" w:rsidR="00000000" w:rsidRPr="00000000">
              <w:rPr>
                <w:b w:val="1"/>
                <w:bCs w:val="1"/>
                <w:color w:val="1b1b1c"/>
                <w:sz w:val="24"/>
                <w:szCs w:val="24"/>
                <w:rtl w:val="0"/>
              </w:rPr>
              <w:t xml:space="preserve">Rabbi Perez of Corbeil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color w:val="1b1b1c"/>
                <w:sz w:val="24"/>
                <w:szCs w:val="24"/>
              </w:rPr>
            </w:pPr>
            <w:r w:rsidDel="00000000" w:rsidR="00000000" w:rsidRPr="00000000">
              <w:rPr>
                <w:color w:val="1b1b1c"/>
                <w:sz w:val="24"/>
                <w:szCs w:val="24"/>
                <w:rtl w:val="0"/>
              </w:rPr>
              <w:t xml:space="preserve">Student of R. Isaac of Evreux</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color w:val="1b1b1c"/>
                <w:sz w:val="24"/>
                <w:szCs w:val="24"/>
              </w:rPr>
            </w:pPr>
            <w:r w:rsidDel="00000000" w:rsidR="00000000" w:rsidRPr="00000000">
              <w:rPr>
                <w:color w:val="1b1b1c"/>
                <w:sz w:val="24"/>
                <w:szCs w:val="24"/>
                <w:rtl w:val="0"/>
              </w:rPr>
              <w:t xml:space="preserve">One of the most active later Tosafists; author of influential </w:t>
            </w:r>
            <w:r w:rsidDel="00000000" w:rsidR="00000000" w:rsidRPr="00000000">
              <w:rPr>
                <w:i w:val="1"/>
                <w:iCs w:val="1"/>
                <w:color w:val="1b1b1c"/>
                <w:sz w:val="24"/>
                <w:szCs w:val="24"/>
                <w:rtl w:val="0"/>
              </w:rPr>
              <w:t xml:space="preserve">Gilyonot</w:t>
            </w:r>
            <w:r w:rsidDel="00000000" w:rsidR="00000000" w:rsidRPr="00000000">
              <w:rPr>
                <w:color w:val="1b1b1c"/>
                <w:sz w:val="24"/>
                <w:szCs w:val="24"/>
                <w:rtl w:val="0"/>
              </w:rPr>
              <w:t xml:space="preserve"> (marginal notes).[4,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b w:val="1"/>
                <w:bCs w:val="1"/>
                <w:color w:val="1b1b1c"/>
                <w:sz w:val="24"/>
                <w:szCs w:val="24"/>
              </w:rPr>
            </w:pPr>
            <w:r w:rsidDel="00000000" w:rsidR="00000000" w:rsidRPr="00000000">
              <w:rPr>
                <w:b w:val="1"/>
                <w:bCs w:val="1"/>
                <w:color w:val="1b1b1c"/>
                <w:sz w:val="24"/>
                <w:szCs w:val="24"/>
                <w:rtl w:val="0"/>
              </w:rPr>
              <w:t xml:space="preserve">Rabbi Isaac of Corbeil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color w:val="1b1b1c"/>
                <w:sz w:val="24"/>
                <w:szCs w:val="24"/>
              </w:rPr>
            </w:pPr>
            <w:r w:rsidDel="00000000" w:rsidR="00000000" w:rsidRPr="00000000">
              <w:rPr>
                <w:color w:val="1b1b1c"/>
                <w:sz w:val="24"/>
                <w:szCs w:val="24"/>
                <w:rtl w:val="0"/>
              </w:rPr>
              <w:t xml:space="preserve">Student of R. Isaac of Evreux</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color w:val="1b1b1c"/>
                <w:sz w:val="24"/>
                <w:szCs w:val="24"/>
              </w:rPr>
            </w:pPr>
            <w:r w:rsidDel="00000000" w:rsidR="00000000" w:rsidRPr="00000000">
              <w:rPr>
                <w:color w:val="1b1b1c"/>
                <w:sz w:val="24"/>
                <w:szCs w:val="24"/>
                <w:rtl w:val="0"/>
              </w:rPr>
              <w:t xml:space="preserve">Author of the </w:t>
            </w:r>
            <w:r w:rsidDel="00000000" w:rsidR="00000000" w:rsidRPr="00000000">
              <w:rPr>
                <w:i w:val="1"/>
                <w:iCs w:val="1"/>
                <w:color w:val="1b1b1c"/>
                <w:sz w:val="24"/>
                <w:szCs w:val="24"/>
                <w:rtl w:val="0"/>
              </w:rPr>
              <w:t xml:space="preserve">Sefer Mitzvot Katan</w:t>
            </w:r>
            <w:r w:rsidDel="00000000" w:rsidR="00000000" w:rsidRPr="00000000">
              <w:rPr>
                <w:color w:val="1b1b1c"/>
                <w:sz w:val="24"/>
                <w:szCs w:val="24"/>
                <w:rtl w:val="0"/>
              </w:rPr>
              <w:t xml:space="preserve"> (Semaḳ), which frequently cites R. Moses of Evreux.[9, 10]</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b w:val="1"/>
                <w:bCs w:val="1"/>
                <w:color w:val="1b1b1c"/>
                <w:sz w:val="24"/>
                <w:szCs w:val="24"/>
              </w:rPr>
            </w:pPr>
            <w:r w:rsidDel="00000000" w:rsidR="00000000" w:rsidRPr="00000000">
              <w:rPr>
                <w:b w:val="1"/>
                <w:bCs w:val="1"/>
                <w:color w:val="1b1b1c"/>
                <w:sz w:val="24"/>
                <w:szCs w:val="24"/>
                <w:rtl w:val="0"/>
              </w:rPr>
              <w:t xml:space="preserve">Rabbi Eliezer of Touques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color w:val="1b1b1c"/>
                <w:sz w:val="24"/>
                <w:szCs w:val="24"/>
              </w:rPr>
            </w:pPr>
            <w:r w:rsidDel="00000000" w:rsidR="00000000" w:rsidRPr="00000000">
              <w:rPr>
                <w:color w:val="1b1b1c"/>
                <w:sz w:val="24"/>
                <w:szCs w:val="24"/>
                <w:rtl w:val="0"/>
              </w:rPr>
              <w:t xml:space="preserve">Likely Student/Successor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color w:val="1b1b1c"/>
                <w:sz w:val="24"/>
                <w:szCs w:val="24"/>
              </w:rPr>
            </w:pPr>
            <w:r w:rsidDel="00000000" w:rsidR="00000000" w:rsidRPr="00000000">
              <w:rPr>
                <w:color w:val="1b1b1c"/>
                <w:sz w:val="24"/>
                <w:szCs w:val="24"/>
                <w:rtl w:val="0"/>
              </w:rPr>
              <w:t xml:space="preserve">The final redactor of the "Tosafot Shelannu" that define the printed Talmud.[2, 4, 5]</w:t>
            </w:r>
          </w:p>
        </w:tc>
      </w:tr>
    </w:tbl>
    <w:p w:rsidR="00000000" w:rsidDel="00000000" w:rsidP="00000000" w:rsidRDefault="00000000" w:rsidRPr="00000000" w14:paraId="0000005D">
      <w:pPr>
        <w:shd w:fill="ffffff" w:val="clear"/>
        <w:rPr>
          <w:color w:val="1b1b1c"/>
          <w:sz w:val="24"/>
          <w:szCs w:val="24"/>
        </w:rPr>
      </w:pPr>
      <w:r w:rsidDel="00000000" w:rsidR="00000000" w:rsidRPr="00000000">
        <w:rPr>
          <w:color w:val="1b1b1c"/>
          <w:sz w:val="24"/>
          <w:szCs w:val="24"/>
          <w:rtl w:val="0"/>
        </w:rPr>
        <w:t xml:space="preserve">This lineage shows that the Evreux school acted as a primary "feeder" for the later codifiers of Ashkenazic law. The shift from the complex, argumentative style of the Tosafot to the structured legal codes of the late thirteenth and fourteenth centuries was made possible by the "distilling" process begun by Rabbi Moses and his brothers.[1, 2]</w:t>
      </w:r>
    </w:p>
    <w:p w:rsidR="00000000" w:rsidDel="00000000" w:rsidP="00000000" w:rsidRDefault="00000000" w:rsidRPr="00000000" w14:paraId="0000005E">
      <w:pPr>
        <w:shd w:fill="ffffff" w:val="clear"/>
        <w:rPr>
          <w:b w:val="1"/>
          <w:bCs w:val="1"/>
          <w:color w:val="1b1b1c"/>
          <w:sz w:val="21"/>
          <w:szCs w:val="21"/>
        </w:rPr>
      </w:pPr>
      <w:r w:rsidDel="00000000" w:rsidR="00000000" w:rsidRPr="00000000">
        <w:rPr>
          <w:b w:val="1"/>
          <w:bCs w:val="1"/>
          <w:color w:val="1b1b1c"/>
          <w:sz w:val="21"/>
          <w:szCs w:val="21"/>
          <w:rtl w:val="0"/>
        </w:rPr>
        <w:t xml:space="preserve">Philosophical Underpinnings of the Evreux Method</w:t>
      </w:r>
    </w:p>
    <w:p w:rsidR="00000000" w:rsidDel="00000000" w:rsidP="00000000" w:rsidRDefault="00000000" w:rsidRPr="00000000" w14:paraId="0000005F">
      <w:pPr>
        <w:shd w:fill="ffffff" w:val="clear"/>
        <w:rPr>
          <w:color w:val="1b1b1c"/>
          <w:sz w:val="24"/>
          <w:szCs w:val="24"/>
        </w:rPr>
      </w:pPr>
      <w:r w:rsidDel="00000000" w:rsidR="00000000" w:rsidRPr="00000000">
        <w:rPr>
          <w:color w:val="1b1b1c"/>
          <w:sz w:val="24"/>
          <w:szCs w:val="24"/>
          <w:rtl w:val="0"/>
        </w:rPr>
        <w:t xml:space="preserve">The "Shiṭṭah of Evreux" was not merely a set of rules for study but was grounded in a specific theology of the Oral Law. Rabbi Moses and his circle operated under the assumption that the Talmud is an internally consistent, perfect revelation.[3] Every apparent contradiction was viewed not as a flaw in the text, but as an opportunity to reveal a deeper, more nuanced legal category.</w:t>
      </w:r>
    </w:p>
    <w:p w:rsidR="00000000" w:rsidDel="00000000" w:rsidP="00000000" w:rsidRDefault="00000000" w:rsidRPr="00000000" w14:paraId="00000060">
      <w:pPr>
        <w:shd w:fill="ffffff" w:val="clear"/>
        <w:rPr>
          <w:b w:val="1"/>
          <w:bCs w:val="1"/>
          <w:color w:val="1b1b1c"/>
          <w:sz w:val="21"/>
          <w:szCs w:val="21"/>
        </w:rPr>
      </w:pPr>
      <w:r w:rsidDel="00000000" w:rsidR="00000000" w:rsidRPr="00000000">
        <w:rPr>
          <w:b w:val="1"/>
          <w:bCs w:val="1"/>
          <w:color w:val="1b1b1c"/>
          <w:sz w:val="21"/>
          <w:szCs w:val="21"/>
          <w:rtl w:val="0"/>
        </w:rPr>
        <w:t xml:space="preserve">The Mechanics of "Chilukim" (Distinctions)</w:t>
      </w:r>
    </w:p>
    <w:p w:rsidR="00000000" w:rsidDel="00000000" w:rsidP="00000000" w:rsidRDefault="00000000" w:rsidRPr="00000000" w14:paraId="00000061">
      <w:pPr>
        <w:shd w:fill="ffffff" w:val="clear"/>
        <w:rPr>
          <w:color w:val="1b1b1c"/>
          <w:sz w:val="24"/>
          <w:szCs w:val="24"/>
        </w:rPr>
      </w:pPr>
      <w:r w:rsidDel="00000000" w:rsidR="00000000" w:rsidRPr="00000000">
        <w:rPr>
          <w:color w:val="1b1b1c"/>
          <w:sz w:val="24"/>
          <w:szCs w:val="24"/>
          <w:rtl w:val="0"/>
        </w:rPr>
        <w:t xml:space="preserve">A central tool in the Evreux arsenal was the "Chiluk" or distinction. When faced with two conflicting </w:t>
      </w:r>
      <w:r w:rsidDel="00000000" w:rsidR="00000000" w:rsidRPr="00000000">
        <w:rPr>
          <w:i w:val="1"/>
          <w:iCs w:val="1"/>
          <w:color w:val="1b1b1c"/>
          <w:sz w:val="24"/>
          <w:szCs w:val="24"/>
          <w:rtl w:val="0"/>
        </w:rPr>
        <w:t xml:space="preserve">sugyot</w:t>
      </w:r>
      <w:r w:rsidDel="00000000" w:rsidR="00000000" w:rsidRPr="00000000">
        <w:rPr>
          <w:color w:val="1b1b1c"/>
          <w:sz w:val="24"/>
          <w:szCs w:val="24"/>
          <w:rtl w:val="0"/>
        </w:rPr>
        <w:t xml:space="preserve"> (Talmudic passages), the Evreux method would not simply choose one over the other. Instead, it would posit that each passage refers to a slightly different legal reality.[1]</w:t>
      </w:r>
    </w:p>
    <w:p w:rsidR="00000000" w:rsidDel="00000000" w:rsidP="00000000" w:rsidRDefault="00000000" w:rsidRPr="00000000" w14:paraId="00000062">
      <w:pPr>
        <w:numPr>
          <w:ilvl w:val="0"/>
          <w:numId w:val="1"/>
        </w:numPr>
        <w:spacing w:after="0" w:afterAutospacing="0" w:lineRule="auto"/>
        <w:ind w:left="720" w:hanging="360"/>
        <w:rPr>
          <w:sz w:val="24"/>
          <w:szCs w:val="24"/>
        </w:rPr>
      </w:pPr>
      <w:r w:rsidDel="00000000" w:rsidR="00000000" w:rsidRPr="00000000">
        <w:rPr>
          <w:b w:val="1"/>
          <w:bCs w:val="1"/>
          <w:color w:val="1b1b1c"/>
          <w:sz w:val="24"/>
          <w:szCs w:val="24"/>
          <w:rtl w:val="0"/>
        </w:rPr>
        <w:t xml:space="preserve">Case A:</w:t>
      </w:r>
      <w:r w:rsidDel="00000000" w:rsidR="00000000" w:rsidRPr="00000000">
        <w:rPr>
          <w:color w:val="1b1b1c"/>
          <w:sz w:val="24"/>
          <w:szCs w:val="24"/>
          <w:rtl w:val="0"/>
        </w:rPr>
        <w:t xml:space="preserve"> The law applies when the intent is X.</w:t>
      </w:r>
    </w:p>
    <w:p w:rsidR="00000000" w:rsidDel="00000000" w:rsidP="00000000" w:rsidRDefault="00000000" w:rsidRPr="00000000" w14:paraId="00000063">
      <w:pPr>
        <w:numPr>
          <w:ilvl w:val="0"/>
          <w:numId w:val="1"/>
        </w:numPr>
        <w:spacing w:after="180" w:lineRule="auto"/>
        <w:ind w:left="720" w:hanging="360"/>
        <w:rPr>
          <w:sz w:val="24"/>
          <w:szCs w:val="24"/>
        </w:rPr>
      </w:pPr>
      <w:r w:rsidDel="00000000" w:rsidR="00000000" w:rsidRPr="00000000">
        <w:rPr>
          <w:b w:val="1"/>
          <w:bCs w:val="1"/>
          <w:color w:val="1b1b1c"/>
          <w:sz w:val="24"/>
          <w:szCs w:val="24"/>
          <w:rtl w:val="0"/>
        </w:rPr>
        <w:t xml:space="preserve">Case B:</w:t>
      </w:r>
      <w:r w:rsidDel="00000000" w:rsidR="00000000" w:rsidRPr="00000000">
        <w:rPr>
          <w:color w:val="1b1b1c"/>
          <w:sz w:val="24"/>
          <w:szCs w:val="24"/>
          <w:rtl w:val="0"/>
        </w:rPr>
        <w:t xml:space="preserve"> The law applies when the intent is Y.</w:t>
      </w:r>
    </w:p>
    <w:p w:rsidR="00000000" w:rsidDel="00000000" w:rsidP="00000000" w:rsidRDefault="00000000" w:rsidRPr="00000000" w14:paraId="00000064">
      <w:pPr>
        <w:shd w:fill="ffffff" w:val="clear"/>
        <w:rPr>
          <w:color w:val="1b1b1c"/>
          <w:sz w:val="24"/>
          <w:szCs w:val="24"/>
        </w:rPr>
      </w:pPr>
      <w:r w:rsidDel="00000000" w:rsidR="00000000" w:rsidRPr="00000000">
        <w:rPr>
          <w:color w:val="1b1b1c"/>
          <w:sz w:val="24"/>
          <w:szCs w:val="24"/>
          <w:rtl w:val="0"/>
        </w:rPr>
        <w:t xml:space="preserve">By creating these sub-categories, the Evreux brothers were able to preserve the validity of both passages. This method of "narrowing" or "qualifying" the law (</w:t>
      </w:r>
      <w:r w:rsidDel="00000000" w:rsidR="00000000" w:rsidRPr="00000000">
        <w:rPr>
          <w:i w:val="1"/>
          <w:iCs w:val="1"/>
          <w:color w:val="1b1b1c"/>
          <w:sz w:val="24"/>
          <w:szCs w:val="24"/>
          <w:rtl w:val="0"/>
        </w:rPr>
        <w:t xml:space="preserve">okimta</w:t>
      </w:r>
      <w:r w:rsidDel="00000000" w:rsidR="00000000" w:rsidRPr="00000000">
        <w:rPr>
          <w:color w:val="1b1b1c"/>
          <w:sz w:val="24"/>
          <w:szCs w:val="24"/>
          <w:rtl w:val="0"/>
        </w:rPr>
        <w:t xml:space="preserve">) was elevated to an art form in Evreux.[3] It required the student to look beyond the surface level of the text and identify the underlying principles (</w:t>
      </w:r>
      <w:r w:rsidDel="00000000" w:rsidR="00000000" w:rsidRPr="00000000">
        <w:rPr>
          <w:i w:val="1"/>
          <w:iCs w:val="1"/>
          <w:color w:val="1b1b1c"/>
          <w:sz w:val="24"/>
          <w:szCs w:val="24"/>
          <w:rtl w:val="0"/>
        </w:rPr>
        <w:t xml:space="preserve">sevarot</w:t>
      </w:r>
      <w:r w:rsidDel="00000000" w:rsidR="00000000" w:rsidRPr="00000000">
        <w:rPr>
          <w:color w:val="1b1b1c"/>
          <w:sz w:val="24"/>
          <w:szCs w:val="24"/>
          <w:rtl w:val="0"/>
        </w:rPr>
        <w:t xml:space="preserve">) that governed each case. This focus on "underlying principles" is what makes their work so enduring; it provided a framework for solving new legal problems that were not explicitly mentioned in the Talmud.</w:t>
      </w:r>
    </w:p>
    <w:p w:rsidR="00000000" w:rsidDel="00000000" w:rsidP="00000000" w:rsidRDefault="00000000" w:rsidRPr="00000000" w14:paraId="00000065">
      <w:pPr>
        <w:shd w:fill="ffffff" w:val="clear"/>
        <w:rPr>
          <w:b w:val="1"/>
          <w:bCs w:val="1"/>
          <w:color w:val="1b1b1c"/>
          <w:sz w:val="21"/>
          <w:szCs w:val="21"/>
        </w:rPr>
      </w:pPr>
      <w:r w:rsidDel="00000000" w:rsidR="00000000" w:rsidRPr="00000000">
        <w:rPr>
          <w:b w:val="1"/>
          <w:bCs w:val="1"/>
          <w:color w:val="1b1b1c"/>
          <w:sz w:val="21"/>
          <w:szCs w:val="21"/>
          <w:rtl w:val="0"/>
        </w:rPr>
        <w:t xml:space="preserve">The Role of Logic and "Sevarah"</w:t>
      </w:r>
    </w:p>
    <w:p w:rsidR="00000000" w:rsidDel="00000000" w:rsidP="00000000" w:rsidRDefault="00000000" w:rsidRPr="00000000" w14:paraId="00000066">
      <w:pPr>
        <w:shd w:fill="ffffff" w:val="clear"/>
        <w:rPr>
          <w:color w:val="1b1b1c"/>
          <w:sz w:val="24"/>
          <w:szCs w:val="24"/>
        </w:rPr>
      </w:pPr>
      <w:r w:rsidDel="00000000" w:rsidR="00000000" w:rsidRPr="00000000">
        <w:rPr>
          <w:color w:val="1b1b1c"/>
          <w:sz w:val="24"/>
          <w:szCs w:val="24"/>
          <w:rtl w:val="0"/>
        </w:rPr>
        <w:t xml:space="preserve">For Rabbi Moses, "Sevarah" (logical reasoning) was not a human addition to the Torah but was itself a source of divine truth. This is why he felt empowered to contradict his teachers and even the established interpretations of Rashi if they failed the test of logical consistency.[2, 8] The "cleverness of heart" that he demanded from his students was the ability to use pure reason to harmonize the disparate parts of the Oral Law.[8] This intellectualism became the hallmark of the French school and was later criticized by some German scholars who preferred a more tradition-bound, local approach.</w:t>
      </w:r>
    </w:p>
    <w:p w:rsidR="00000000" w:rsidDel="00000000" w:rsidP="00000000" w:rsidRDefault="00000000" w:rsidRPr="00000000" w14:paraId="00000067">
      <w:pPr>
        <w:shd w:fill="ffffff" w:val="clear"/>
        <w:rPr>
          <w:b w:val="1"/>
          <w:bCs w:val="1"/>
          <w:color w:val="1b1b1c"/>
          <w:sz w:val="21"/>
          <w:szCs w:val="21"/>
        </w:rPr>
      </w:pPr>
      <w:r w:rsidDel="00000000" w:rsidR="00000000" w:rsidRPr="00000000">
        <w:rPr>
          <w:b w:val="1"/>
          <w:bCs w:val="1"/>
          <w:color w:val="1b1b1c"/>
          <w:sz w:val="21"/>
          <w:szCs w:val="21"/>
          <w:rtl w:val="0"/>
        </w:rPr>
        <w:t xml:space="preserve">The Geographical Reach and Social Context of Normandy</w:t>
      </w:r>
    </w:p>
    <w:p w:rsidR="00000000" w:rsidDel="00000000" w:rsidP="00000000" w:rsidRDefault="00000000" w:rsidRPr="00000000" w14:paraId="00000068">
      <w:pPr>
        <w:shd w:fill="ffffff" w:val="clear"/>
        <w:rPr>
          <w:color w:val="1b1b1c"/>
          <w:sz w:val="24"/>
          <w:szCs w:val="24"/>
        </w:rPr>
      </w:pPr>
      <w:r w:rsidDel="00000000" w:rsidR="00000000" w:rsidRPr="00000000">
        <w:rPr>
          <w:color w:val="1b1b1c"/>
          <w:sz w:val="24"/>
          <w:szCs w:val="24"/>
          <w:rtl w:val="0"/>
        </w:rPr>
        <w:t xml:space="preserve">The choice of Evreux as a center for this intellectual revolution was significant. Normandy in the thirteenth century was a crossroads of cultures, and the Jewish community there was part of a larger Norman-French scholarly world.[5, 6] The relative distance from the central authority in Paris may have allowed Rabbi Moses and his brothers the freedom to develop their radical views on student autonomy.[8]</w:t>
      </w:r>
    </w:p>
    <w:p w:rsidR="00000000" w:rsidDel="00000000" w:rsidP="00000000" w:rsidRDefault="00000000" w:rsidRPr="00000000" w14:paraId="00000069">
      <w:pPr>
        <w:shd w:fill="ffffff" w:val="clear"/>
        <w:rPr>
          <w:color w:val="1b1b1c"/>
          <w:sz w:val="24"/>
          <w:szCs w:val="24"/>
        </w:rPr>
      </w:pPr>
      <w:r w:rsidDel="00000000" w:rsidR="00000000" w:rsidRPr="00000000">
        <w:rPr>
          <w:color w:val="1b1b1c"/>
          <w:sz w:val="24"/>
          <w:szCs w:val="24"/>
          <w:rtl w:val="0"/>
        </w:rPr>
        <w:t xml:space="preserve">Furthermore, the connection to Montpellier indicates that Rabbi Moses was part of an international "Republic of Letters".[5] Students from Spain, who were often more exposed to philosophy and the sciences, were drawn to his academy for its rigorous logical training. This cross-pollination helped to temper the occasionally dry dialectic of the French school with the broader philosophical horizons of the Spanish Golden Age, a synthesis that would eventually bear fruit in the works of the </w:t>
      </w:r>
      <w:r w:rsidDel="00000000" w:rsidR="00000000" w:rsidRPr="00000000">
        <w:rPr>
          <w:i w:val="1"/>
          <w:iCs w:val="1"/>
          <w:color w:val="1b1b1c"/>
          <w:sz w:val="24"/>
          <w:szCs w:val="24"/>
          <w:rtl w:val="0"/>
        </w:rPr>
        <w:t xml:space="preserve">Rishonim</w:t>
      </w:r>
      <w:r w:rsidDel="00000000" w:rsidR="00000000" w:rsidRPr="00000000">
        <w:rPr>
          <w:color w:val="1b1b1c"/>
          <w:sz w:val="24"/>
          <w:szCs w:val="24"/>
          <w:rtl w:val="0"/>
        </w:rPr>
        <w:t xml:space="preserve"> of the fourteenth century.</w:t>
      </w:r>
    </w:p>
    <w:p w:rsidR="00000000" w:rsidDel="00000000" w:rsidP="00000000" w:rsidRDefault="00000000" w:rsidRPr="00000000" w14:paraId="0000006A">
      <w:pPr>
        <w:shd w:fill="ffffff" w:val="clear"/>
        <w:rPr>
          <w:b w:val="1"/>
          <w:bCs w:val="1"/>
          <w:color w:val="1b1b1c"/>
          <w:sz w:val="21"/>
          <w:szCs w:val="21"/>
        </w:rPr>
      </w:pPr>
      <w:r w:rsidDel="00000000" w:rsidR="00000000" w:rsidRPr="00000000">
        <w:rPr>
          <w:b w:val="1"/>
          <w:bCs w:val="1"/>
          <w:color w:val="1b1b1c"/>
          <w:sz w:val="21"/>
          <w:szCs w:val="21"/>
          <w:rtl w:val="0"/>
        </w:rPr>
        <w:t xml:space="preserve">The Siddur and the Synthesis of Halakhah and Daily Life</w:t>
      </w:r>
    </w:p>
    <w:p w:rsidR="00000000" w:rsidDel="00000000" w:rsidP="00000000" w:rsidRDefault="00000000" w:rsidRPr="00000000" w14:paraId="0000006B">
      <w:pPr>
        <w:shd w:fill="ffffff" w:val="clear"/>
        <w:rPr>
          <w:color w:val="1b1b1c"/>
          <w:sz w:val="24"/>
          <w:szCs w:val="24"/>
        </w:rPr>
      </w:pPr>
      <w:r w:rsidDel="00000000" w:rsidR="00000000" w:rsidRPr="00000000">
        <w:rPr>
          <w:color w:val="1b1b1c"/>
          <w:sz w:val="24"/>
          <w:szCs w:val="24"/>
          <w:rtl w:val="0"/>
        </w:rPr>
        <w:t xml:space="preserve">The authorship of a </w:t>
      </w:r>
      <w:r w:rsidDel="00000000" w:rsidR="00000000" w:rsidRPr="00000000">
        <w:rPr>
          <w:i w:val="1"/>
          <w:iCs w:val="1"/>
          <w:color w:val="1b1b1c"/>
          <w:sz w:val="24"/>
          <w:szCs w:val="24"/>
          <w:rtl w:val="0"/>
        </w:rPr>
        <w:t xml:space="preserve">Siddur</w:t>
      </w:r>
      <w:r w:rsidDel="00000000" w:rsidR="00000000" w:rsidRPr="00000000">
        <w:rPr>
          <w:color w:val="1b1b1c"/>
          <w:sz w:val="24"/>
          <w:szCs w:val="24"/>
          <w:rtl w:val="0"/>
        </w:rPr>
        <w:t xml:space="preserve"> by Rabbi Moses of Evreux is a crucial piece of the puzzle of his life. In the medieval period, the prayer rite was a primary site of legal and theological struggle. Different communities had different customs (</w:t>
      </w:r>
      <w:r w:rsidDel="00000000" w:rsidR="00000000" w:rsidRPr="00000000">
        <w:rPr>
          <w:i w:val="1"/>
          <w:iCs w:val="1"/>
          <w:color w:val="1b1b1c"/>
          <w:sz w:val="24"/>
          <w:szCs w:val="24"/>
          <w:rtl w:val="0"/>
        </w:rPr>
        <w:t xml:space="preserve">minhagim</w:t>
      </w:r>
      <w:r w:rsidDel="00000000" w:rsidR="00000000" w:rsidRPr="00000000">
        <w:rPr>
          <w:color w:val="1b1b1c"/>
          <w:sz w:val="24"/>
          <w:szCs w:val="24"/>
          <w:rtl w:val="0"/>
        </w:rPr>
        <w:t xml:space="preserve">), and the Tosafists played a major role in standardizing these rituals based on Talmudic principles.[3, 9]</w:t>
      </w:r>
    </w:p>
    <w:p w:rsidR="00000000" w:rsidDel="00000000" w:rsidP="00000000" w:rsidRDefault="00000000" w:rsidRPr="00000000" w14:paraId="0000006C">
      <w:pPr>
        <w:shd w:fill="ffffff" w:val="clear"/>
        <w:rPr>
          <w:color w:val="1b1b1c"/>
          <w:sz w:val="24"/>
          <w:szCs w:val="24"/>
        </w:rPr>
      </w:pPr>
      <w:r w:rsidDel="00000000" w:rsidR="00000000" w:rsidRPr="00000000">
        <w:rPr>
          <w:color w:val="1b1b1c"/>
          <w:sz w:val="24"/>
          <w:szCs w:val="24"/>
          <w:rtl w:val="0"/>
        </w:rPr>
        <w:t xml:space="preserve">Rabbi Moses's </w:t>
      </w:r>
      <w:r w:rsidDel="00000000" w:rsidR="00000000" w:rsidRPr="00000000">
        <w:rPr>
          <w:i w:val="1"/>
          <w:iCs w:val="1"/>
          <w:color w:val="1b1b1c"/>
          <w:sz w:val="24"/>
          <w:szCs w:val="24"/>
          <w:rtl w:val="0"/>
        </w:rPr>
        <w:t xml:space="preserve">Siddur</w:t>
      </w:r>
      <w:r w:rsidDel="00000000" w:rsidR="00000000" w:rsidRPr="00000000">
        <w:rPr>
          <w:color w:val="1b1b1c"/>
          <w:sz w:val="24"/>
          <w:szCs w:val="24"/>
          <w:rtl w:val="0"/>
        </w:rPr>
        <w:t xml:space="preserve"> likely served several functions:</w:t>
      </w:r>
    </w:p>
    <w:p w:rsidR="00000000" w:rsidDel="00000000" w:rsidP="00000000" w:rsidRDefault="00000000" w:rsidRPr="00000000" w14:paraId="0000006D">
      <w:pPr>
        <w:numPr>
          <w:ilvl w:val="0"/>
          <w:numId w:val="3"/>
        </w:numPr>
        <w:spacing w:after="0" w:afterAutospacing="0" w:lineRule="auto"/>
        <w:ind w:left="720" w:hanging="360"/>
        <w:rPr>
          <w:sz w:val="24"/>
          <w:szCs w:val="24"/>
        </w:rPr>
      </w:pPr>
      <w:r w:rsidDel="00000000" w:rsidR="00000000" w:rsidRPr="00000000">
        <w:rPr>
          <w:b w:val="1"/>
          <w:bCs w:val="1"/>
          <w:color w:val="1b1b1c"/>
          <w:sz w:val="24"/>
          <w:szCs w:val="24"/>
          <w:rtl w:val="0"/>
        </w:rPr>
        <w:t xml:space="preserve">Legal Codification:</w:t>
      </w:r>
      <w:r w:rsidDel="00000000" w:rsidR="00000000" w:rsidRPr="00000000">
        <w:rPr>
          <w:color w:val="1b1b1c"/>
          <w:sz w:val="24"/>
          <w:szCs w:val="24"/>
          <w:rtl w:val="0"/>
        </w:rPr>
        <w:t xml:space="preserve"> It provided the practical halakhic rulings for daily, Sabbath, and festival prayers, drawing from his own "Shiṭṭah".[9]</w:t>
      </w:r>
    </w:p>
    <w:p w:rsidR="00000000" w:rsidDel="00000000" w:rsidP="00000000" w:rsidRDefault="00000000" w:rsidRPr="00000000" w14:paraId="0000006E">
      <w:pPr>
        <w:numPr>
          <w:ilvl w:val="0"/>
          <w:numId w:val="3"/>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Theological Framing:</w:t>
      </w:r>
      <w:r w:rsidDel="00000000" w:rsidR="00000000" w:rsidRPr="00000000">
        <w:rPr>
          <w:color w:val="1b1b1c"/>
          <w:sz w:val="24"/>
          <w:szCs w:val="24"/>
          <w:rtl w:val="0"/>
        </w:rPr>
        <w:t xml:space="preserve"> It used the liturgy as a vehicle for teaching core Jewish beliefs, possibly incorporating some of the pietistic ideas he shared with the "Chassidei Ashkenaz".[8]</w:t>
      </w:r>
    </w:p>
    <w:p w:rsidR="00000000" w:rsidDel="00000000" w:rsidP="00000000" w:rsidRDefault="00000000" w:rsidRPr="00000000" w14:paraId="0000006F">
      <w:pPr>
        <w:numPr>
          <w:ilvl w:val="0"/>
          <w:numId w:val="3"/>
        </w:numPr>
        <w:spacing w:after="180" w:lineRule="auto"/>
        <w:ind w:left="720" w:hanging="360"/>
        <w:rPr>
          <w:sz w:val="24"/>
          <w:szCs w:val="24"/>
        </w:rPr>
      </w:pPr>
      <w:r w:rsidDel="00000000" w:rsidR="00000000" w:rsidRPr="00000000">
        <w:rPr>
          <w:b w:val="1"/>
          <w:bCs w:val="1"/>
          <w:color w:val="1b1b1c"/>
          <w:sz w:val="24"/>
          <w:szCs w:val="24"/>
          <w:rtl w:val="0"/>
        </w:rPr>
        <w:t xml:space="preserve">Preservation of Custom:</w:t>
      </w:r>
      <w:r w:rsidDel="00000000" w:rsidR="00000000" w:rsidRPr="00000000">
        <w:rPr>
          <w:color w:val="1b1b1c"/>
          <w:sz w:val="24"/>
          <w:szCs w:val="24"/>
          <w:rtl w:val="0"/>
        </w:rPr>
        <w:t xml:space="preserve"> It recorded the unique traditions of the Norman Jewish community, ensuring their survival even as the community faced increasing pressure from the French crown.</w:t>
      </w:r>
    </w:p>
    <w:p w:rsidR="00000000" w:rsidDel="00000000" w:rsidP="00000000" w:rsidRDefault="00000000" w:rsidRPr="00000000" w14:paraId="00000070">
      <w:pPr>
        <w:shd w:fill="ffffff" w:val="clear"/>
        <w:rPr>
          <w:color w:val="1b1b1c"/>
          <w:sz w:val="24"/>
          <w:szCs w:val="24"/>
        </w:rPr>
      </w:pPr>
      <w:r w:rsidDel="00000000" w:rsidR="00000000" w:rsidRPr="00000000">
        <w:rPr>
          <w:color w:val="1b1b1c"/>
          <w:sz w:val="24"/>
          <w:szCs w:val="24"/>
          <w:rtl w:val="0"/>
        </w:rPr>
        <w:t xml:space="preserve">The citation of this </w:t>
      </w:r>
      <w:r w:rsidDel="00000000" w:rsidR="00000000" w:rsidRPr="00000000">
        <w:rPr>
          <w:i w:val="1"/>
          <w:iCs w:val="1"/>
          <w:color w:val="1b1b1c"/>
          <w:sz w:val="24"/>
          <w:szCs w:val="24"/>
          <w:rtl w:val="0"/>
        </w:rPr>
        <w:t xml:space="preserve">Siddur</w:t>
      </w:r>
      <w:r w:rsidDel="00000000" w:rsidR="00000000" w:rsidRPr="00000000">
        <w:rPr>
          <w:color w:val="1b1b1c"/>
          <w:sz w:val="24"/>
          <w:szCs w:val="24"/>
          <w:rtl w:val="0"/>
        </w:rPr>
        <w:t xml:space="preserve"> by Rabbi Isaac of Corbeil in the </w:t>
      </w:r>
      <w:r w:rsidDel="00000000" w:rsidR="00000000" w:rsidRPr="00000000">
        <w:rPr>
          <w:i w:val="1"/>
          <w:iCs w:val="1"/>
          <w:color w:val="1b1b1c"/>
          <w:sz w:val="24"/>
          <w:szCs w:val="24"/>
          <w:rtl w:val="0"/>
        </w:rPr>
        <w:t xml:space="preserve">Sefer Mitzvot Katan</w:t>
      </w:r>
      <w:r w:rsidDel="00000000" w:rsidR="00000000" w:rsidRPr="00000000">
        <w:rPr>
          <w:color w:val="1b1b1c"/>
          <w:sz w:val="24"/>
          <w:szCs w:val="24"/>
          <w:rtl w:val="0"/>
        </w:rPr>
        <w:t xml:space="preserve"> (Semaḳ) is a testament to its authoritative status.[9] The Semaḳ was designed to be a practical, popular code of law for the average person; the fact that it relies on Rabbi Moses shows that his influence was not restricted to the elite world of the Yeshiva but permeated the religious life of the entire community.</w:t>
      </w:r>
    </w:p>
    <w:p w:rsidR="00000000" w:rsidDel="00000000" w:rsidP="00000000" w:rsidRDefault="00000000" w:rsidRPr="00000000" w14:paraId="00000071">
      <w:pPr>
        <w:shd w:fill="ffffff" w:val="clear"/>
        <w:rPr>
          <w:b w:val="1"/>
          <w:bCs w:val="1"/>
          <w:color w:val="1b1b1c"/>
          <w:sz w:val="21"/>
          <w:szCs w:val="21"/>
        </w:rPr>
      </w:pPr>
      <w:r w:rsidDel="00000000" w:rsidR="00000000" w:rsidRPr="00000000">
        <w:rPr>
          <w:b w:val="1"/>
          <w:bCs w:val="1"/>
          <w:color w:val="1b1b1c"/>
          <w:sz w:val="21"/>
          <w:szCs w:val="21"/>
          <w:rtl w:val="0"/>
        </w:rPr>
        <w:t xml:space="preserve">Conclusion: The Resilience of the Textual Tradition</w:t>
      </w:r>
    </w:p>
    <w:p w:rsidR="00000000" w:rsidDel="00000000" w:rsidP="00000000" w:rsidRDefault="00000000" w:rsidRPr="00000000" w14:paraId="00000072">
      <w:pPr>
        <w:shd w:fill="ffffff" w:val="clear"/>
        <w:rPr>
          <w:color w:val="1b1b1c"/>
          <w:sz w:val="24"/>
          <w:szCs w:val="24"/>
        </w:rPr>
      </w:pPr>
      <w:r w:rsidDel="00000000" w:rsidR="00000000" w:rsidRPr="00000000">
        <w:rPr>
          <w:color w:val="1b1b1c"/>
          <w:sz w:val="24"/>
          <w:szCs w:val="24"/>
          <w:rtl w:val="0"/>
        </w:rPr>
        <w:t xml:space="preserve">The life and work of Rabbi Moses of Evreux represent a defining moment in the history of the Jewish intellect. In an era of physical destruction and the loss of living authority, he and his brothers pivoted the entire tradition toward the written word.[4, 6, 8] By declaring that "the books are our teachers," they created a resilient, decentralized model of learning that could withstand the persecutions of the medieval period.[6]</w:t>
      </w:r>
    </w:p>
    <w:p w:rsidR="00000000" w:rsidDel="00000000" w:rsidP="00000000" w:rsidRDefault="00000000" w:rsidRPr="00000000" w14:paraId="00000073">
      <w:pPr>
        <w:shd w:fill="ffffff" w:val="clear"/>
        <w:rPr>
          <w:color w:val="1b1b1c"/>
          <w:sz w:val="24"/>
          <w:szCs w:val="24"/>
        </w:rPr>
      </w:pPr>
      <w:r w:rsidDel="00000000" w:rsidR="00000000" w:rsidRPr="00000000">
        <w:rPr>
          <w:color w:val="1b1b1c"/>
          <w:sz w:val="24"/>
          <w:szCs w:val="24"/>
          <w:rtl w:val="0"/>
        </w:rPr>
        <w:t xml:space="preserve">Their "Shiṭṭah of Evreux"—characterized by its extreme logical precision, its brevity, and its uncompromising demand for intellectual autonomy—provided the foundation for the next several centuries of Talmudic study.[2, 11] Whether through the printed Tosafot in the Vilna Shas, the margin notes on the Rif, or the ethical teachings of his student Rabbi Jonah Gerondi, the voice of Rabbi Moses of Evreux continues to speak from every page of the Talmud.[3, 4, 5]</w:t>
      </w:r>
    </w:p>
    <w:p w:rsidR="00000000" w:rsidDel="00000000" w:rsidP="00000000" w:rsidRDefault="00000000" w:rsidRPr="00000000" w14:paraId="00000074">
      <w:pPr>
        <w:shd w:fill="ffffff" w:val="clear"/>
        <w:rPr>
          <w:color w:val="1b1b1c"/>
          <w:sz w:val="24"/>
          <w:szCs w:val="24"/>
        </w:rPr>
      </w:pPr>
      <w:r w:rsidDel="00000000" w:rsidR="00000000" w:rsidRPr="00000000">
        <w:rPr>
          <w:color w:val="1b1b1c"/>
          <w:sz w:val="24"/>
          <w:szCs w:val="24"/>
          <w:rtl w:val="0"/>
        </w:rPr>
        <w:t xml:space="preserve">The legacy of the Evreux school is a reminder that the true strength of a tradition lies not in its physical institutions, but in the analytical tools it provides its followers to engage directly with the sources of truth. Rabbi Moses did not just teach his students </w:t>
      </w:r>
      <w:r w:rsidDel="00000000" w:rsidR="00000000" w:rsidRPr="00000000">
        <w:rPr>
          <w:i w:val="1"/>
          <w:iCs w:val="1"/>
          <w:color w:val="1b1b1c"/>
          <w:sz w:val="24"/>
          <w:szCs w:val="24"/>
          <w:rtl w:val="0"/>
        </w:rPr>
        <w:t xml:space="preserve">what</w:t>
      </w:r>
      <w:r w:rsidDel="00000000" w:rsidR="00000000" w:rsidRPr="00000000">
        <w:rPr>
          <w:color w:val="1b1b1c"/>
          <w:sz w:val="24"/>
          <w:szCs w:val="24"/>
          <w:rtl w:val="0"/>
        </w:rPr>
        <w:t xml:space="preserve"> to think; he taught them </w:t>
      </w:r>
      <w:r w:rsidDel="00000000" w:rsidR="00000000" w:rsidRPr="00000000">
        <w:rPr>
          <w:i w:val="1"/>
          <w:iCs w:val="1"/>
          <w:color w:val="1b1b1c"/>
          <w:sz w:val="24"/>
          <w:szCs w:val="24"/>
          <w:rtl w:val="0"/>
        </w:rPr>
        <w:t xml:space="preserve">how</w:t>
      </w:r>
      <w:r w:rsidDel="00000000" w:rsidR="00000000" w:rsidRPr="00000000">
        <w:rPr>
          <w:color w:val="1b1b1c"/>
          <w:sz w:val="24"/>
          <w:szCs w:val="24"/>
          <w:rtl w:val="0"/>
        </w:rPr>
        <w:t xml:space="preserve"> to think, ensuring that the flame of the Oral Law would continue to burn even when the libraries that housed it were reduced to ash.</w:t>
      </w:r>
    </w:p>
    <w:p w:rsidR="00000000" w:rsidDel="00000000" w:rsidP="00000000" w:rsidRDefault="00000000" w:rsidRPr="00000000" w14:paraId="00000075">
      <w:pPr>
        <w:shd w:fill="ffffff" w:val="clear"/>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76">
      <w:pPr>
        <w:numPr>
          <w:ilvl w:val="0"/>
          <w:numId w:val="5"/>
        </w:numPr>
        <w:spacing w:after="0" w:afterAutospacing="0" w:lineRule="auto"/>
        <w:ind w:left="720" w:hanging="360"/>
        <w:rPr>
          <w:sz w:val="24"/>
          <w:szCs w:val="24"/>
        </w:rPr>
      </w:pPr>
      <w:r w:rsidDel="00000000" w:rsidR="00000000" w:rsidRPr="00000000">
        <w:rPr>
          <w:color w:val="1b1b1c"/>
          <w:sz w:val="24"/>
          <w:szCs w:val="24"/>
          <w:rtl w:val="0"/>
        </w:rPr>
        <w:t xml:space="preserve">Tosafot | Encyclopedia.com, </w:t>
      </w:r>
      <w:hyperlink r:id="rId6">
        <w:r w:rsidDel="00000000" w:rsidR="00000000" w:rsidRPr="00000000">
          <w:rPr>
            <w:color w:val="4259ff"/>
            <w:sz w:val="24"/>
            <w:szCs w:val="24"/>
            <w:u w:val="single"/>
            <w:rtl w:val="0"/>
          </w:rPr>
          <w:t xml:space="preserve">https://www.encyclopedia.com/religion/encyclopedias-almanacs-transcripts-and-maps/tosafot</w:t>
        </w:r>
      </w:hyperlink>
      <w:r w:rsidDel="00000000" w:rsidR="00000000" w:rsidRPr="00000000">
        <w:rPr>
          <w:rtl w:val="0"/>
        </w:rPr>
      </w:r>
    </w:p>
    <w:p w:rsidR="00000000" w:rsidDel="00000000" w:rsidP="00000000" w:rsidRDefault="00000000" w:rsidRPr="00000000" w14:paraId="00000077">
      <w:pPr>
        <w:numPr>
          <w:ilvl w:val="0"/>
          <w:numId w:val="5"/>
        </w:numPr>
        <w:spacing w:after="0" w:afterAutospacing="0" w:lineRule="auto"/>
        <w:ind w:left="720" w:hanging="360"/>
        <w:rPr>
          <w:sz w:val="24"/>
          <w:szCs w:val="24"/>
        </w:rPr>
      </w:pPr>
      <w:r w:rsidDel="00000000" w:rsidR="00000000" w:rsidRPr="00000000">
        <w:rPr>
          <w:color w:val="1b1b1c"/>
          <w:sz w:val="24"/>
          <w:szCs w:val="24"/>
          <w:rtl w:val="0"/>
        </w:rPr>
        <w:t xml:space="preserve">TOSAFOT - JewishEncyclopedia.com, </w:t>
      </w:r>
      <w:hyperlink r:id="rId7">
        <w:r w:rsidDel="00000000" w:rsidR="00000000" w:rsidRPr="00000000">
          <w:rPr>
            <w:color w:val="4259ff"/>
            <w:sz w:val="24"/>
            <w:szCs w:val="24"/>
            <w:u w:val="single"/>
            <w:rtl w:val="0"/>
          </w:rPr>
          <w:t xml:space="preserve">https://www.jewishencyclopedia.com/articles/14457-tosafot</w:t>
        </w:r>
      </w:hyperlink>
      <w:r w:rsidDel="00000000" w:rsidR="00000000" w:rsidRPr="00000000">
        <w:rPr>
          <w:rtl w:val="0"/>
        </w:rPr>
      </w:r>
    </w:p>
    <w:p w:rsidR="00000000" w:rsidDel="00000000" w:rsidP="00000000" w:rsidRDefault="00000000" w:rsidRPr="00000000" w14:paraId="00000078">
      <w:pPr>
        <w:numPr>
          <w:ilvl w:val="0"/>
          <w:numId w:val="5"/>
        </w:numPr>
        <w:spacing w:after="0" w:afterAutospacing="0" w:lineRule="auto"/>
        <w:ind w:left="720" w:hanging="360"/>
        <w:rPr>
          <w:sz w:val="24"/>
          <w:szCs w:val="24"/>
        </w:rPr>
      </w:pPr>
      <w:r w:rsidDel="00000000" w:rsidR="00000000" w:rsidRPr="00000000">
        <w:rPr>
          <w:color w:val="1b1b1c"/>
          <w:sz w:val="24"/>
          <w:szCs w:val="24"/>
          <w:rtl w:val="1"/>
        </w:rPr>
        <w:t xml:space="preserve">תוספות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8">
        <w:r w:rsidDel="00000000" w:rsidR="00000000" w:rsidRPr="00000000">
          <w:rPr>
            <w:color w:val="4259ff"/>
            <w:sz w:val="24"/>
            <w:szCs w:val="24"/>
            <w:u w:val="single"/>
            <w:rtl w:val="0"/>
          </w:rPr>
          <w:t xml:space="preserve">https://he.wikipedia.org/wiki/%D7%AA%D7%95%D7%A1%D7%A4%D7%95%D7%AA</w:t>
        </w:r>
      </w:hyperlink>
      <w:r w:rsidDel="00000000" w:rsidR="00000000" w:rsidRPr="00000000">
        <w:rPr>
          <w:rtl w:val="0"/>
        </w:rPr>
      </w:r>
    </w:p>
    <w:p w:rsidR="00000000" w:rsidDel="00000000" w:rsidP="00000000" w:rsidRDefault="00000000" w:rsidRPr="00000000" w14:paraId="00000079">
      <w:pPr>
        <w:numPr>
          <w:ilvl w:val="0"/>
          <w:numId w:val="5"/>
        </w:numPr>
        <w:spacing w:after="0" w:afterAutospacing="0" w:lineRule="auto"/>
        <w:ind w:left="720" w:hanging="360"/>
        <w:rPr>
          <w:sz w:val="24"/>
          <w:szCs w:val="24"/>
        </w:rPr>
      </w:pPr>
      <w:r w:rsidDel="00000000" w:rsidR="00000000" w:rsidRPr="00000000">
        <w:rPr>
          <w:color w:val="1b1b1c"/>
          <w:sz w:val="24"/>
          <w:szCs w:val="24"/>
          <w:rtl w:val="0"/>
        </w:rPr>
        <w:t xml:space="preserve">Tosafot - Wikipedia, </w:t>
      </w:r>
      <w:hyperlink r:id="rId9">
        <w:r w:rsidDel="00000000" w:rsidR="00000000" w:rsidRPr="00000000">
          <w:rPr>
            <w:color w:val="4259ff"/>
            <w:sz w:val="24"/>
            <w:szCs w:val="24"/>
            <w:u w:val="single"/>
            <w:rtl w:val="0"/>
          </w:rPr>
          <w:t xml:space="preserve">https://en.wikipedia.org/wiki/Tosafot</w:t>
        </w:r>
      </w:hyperlink>
      <w:r w:rsidDel="00000000" w:rsidR="00000000" w:rsidRPr="00000000">
        <w:rPr>
          <w:rtl w:val="0"/>
        </w:rPr>
      </w:r>
    </w:p>
    <w:p w:rsidR="00000000" w:rsidDel="00000000" w:rsidP="00000000" w:rsidRDefault="00000000" w:rsidRPr="00000000" w14:paraId="0000007A">
      <w:pPr>
        <w:numPr>
          <w:ilvl w:val="0"/>
          <w:numId w:val="5"/>
        </w:numPr>
        <w:spacing w:after="0" w:afterAutospacing="0" w:lineRule="auto"/>
        <w:ind w:left="720" w:hanging="360"/>
        <w:rPr>
          <w:sz w:val="24"/>
          <w:szCs w:val="24"/>
        </w:rPr>
      </w:pPr>
      <w:r w:rsidDel="00000000" w:rsidR="00000000" w:rsidRPr="00000000">
        <w:rPr>
          <w:color w:val="1b1b1c"/>
          <w:sz w:val="24"/>
          <w:szCs w:val="24"/>
          <w:rtl w:val="1"/>
        </w:rPr>
        <w:t xml:space="preserve">משה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מאיוורא</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10">
        <w:r w:rsidDel="00000000" w:rsidR="00000000" w:rsidRPr="00000000">
          <w:rPr>
            <w:color w:val="4259ff"/>
            <w:sz w:val="24"/>
            <w:szCs w:val="24"/>
            <w:u w:val="single"/>
            <w:rtl w:val="0"/>
          </w:rPr>
          <w:t xml:space="preserve">https://he.wikipedia.org/wiki/%D7%9E%D7%A9%D7%94_%D7%9E%D7%90%D7%99%D7%95%D7%95%D7%A8%D7%90</w:t>
        </w:r>
      </w:hyperlink>
      <w:r w:rsidDel="00000000" w:rsidR="00000000" w:rsidRPr="00000000">
        <w:rPr>
          <w:rtl w:val="0"/>
        </w:rPr>
      </w:r>
    </w:p>
    <w:p w:rsidR="00000000" w:rsidDel="00000000" w:rsidP="00000000" w:rsidRDefault="00000000" w:rsidRPr="00000000" w14:paraId="0000007B">
      <w:pPr>
        <w:numPr>
          <w:ilvl w:val="0"/>
          <w:numId w:val="5"/>
        </w:numPr>
        <w:spacing w:after="0" w:afterAutospacing="0" w:lineRule="auto"/>
        <w:ind w:left="720" w:hanging="360"/>
        <w:rPr>
          <w:sz w:val="24"/>
          <w:szCs w:val="24"/>
        </w:rPr>
      </w:pPr>
      <w:r w:rsidDel="00000000" w:rsidR="00000000" w:rsidRPr="00000000">
        <w:rPr>
          <w:color w:val="1b1b1c"/>
          <w:sz w:val="24"/>
          <w:szCs w:val="24"/>
          <w:rtl w:val="0"/>
        </w:rPr>
        <w:t xml:space="preserve">Moses of Évreux - Wikipedia, </w:t>
      </w:r>
      <w:hyperlink r:id="rId11">
        <w:r w:rsidDel="00000000" w:rsidR="00000000" w:rsidRPr="00000000">
          <w:rPr>
            <w:color w:val="4259ff"/>
            <w:sz w:val="24"/>
            <w:szCs w:val="24"/>
            <w:u w:val="single"/>
            <w:rtl w:val="0"/>
          </w:rPr>
          <w:t xml:space="preserve">https://en.wikipedia.org/wiki/Moses_of_%C3%89vreux</w:t>
        </w:r>
      </w:hyperlink>
      <w:r w:rsidDel="00000000" w:rsidR="00000000" w:rsidRPr="00000000">
        <w:rPr>
          <w:rtl w:val="0"/>
        </w:rPr>
      </w:r>
    </w:p>
    <w:p w:rsidR="00000000" w:rsidDel="00000000" w:rsidP="00000000" w:rsidRDefault="00000000" w:rsidRPr="00000000" w14:paraId="0000007C">
      <w:pPr>
        <w:numPr>
          <w:ilvl w:val="0"/>
          <w:numId w:val="5"/>
        </w:numPr>
        <w:spacing w:after="0" w:afterAutospacing="0" w:lineRule="auto"/>
        <w:ind w:left="720" w:hanging="360"/>
        <w:rPr>
          <w:sz w:val="24"/>
          <w:szCs w:val="24"/>
        </w:rPr>
      </w:pPr>
      <w:r w:rsidDel="00000000" w:rsidR="00000000" w:rsidRPr="00000000">
        <w:rPr>
          <w:color w:val="1b1b1c"/>
          <w:sz w:val="24"/>
          <w:szCs w:val="24"/>
          <w:rtl w:val="1"/>
        </w:rPr>
        <w:t xml:space="preserve">היצירה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התוספותית</w:t>
      </w:r>
      <w:r w:rsidDel="00000000" w:rsidR="00000000" w:rsidRPr="00000000">
        <w:rPr>
          <w:color w:val="1b1b1c"/>
          <w:sz w:val="24"/>
          <w:szCs w:val="24"/>
          <w:rtl w:val="0"/>
        </w:rPr>
        <w:t xml:space="preserve"> - </w:t>
      </w:r>
      <w:r w:rsidDel="00000000" w:rsidR="00000000" w:rsidRPr="00000000">
        <w:rPr>
          <w:color w:val="1b1b1c"/>
          <w:sz w:val="24"/>
          <w:szCs w:val="24"/>
          <w:rtl w:val="0"/>
        </w:rPr>
        <w:t xml:space="preserve">BeitChabad</w:t>
      </w:r>
      <w:r w:rsidDel="00000000" w:rsidR="00000000" w:rsidRPr="00000000">
        <w:rPr>
          <w:color w:val="1b1b1c"/>
          <w:sz w:val="24"/>
          <w:szCs w:val="24"/>
          <w:rtl w:val="0"/>
        </w:rPr>
        <w:t xml:space="preserve">.</w:t>
      </w:r>
      <w:r w:rsidDel="00000000" w:rsidR="00000000" w:rsidRPr="00000000">
        <w:rPr>
          <w:color w:val="1b1b1c"/>
          <w:sz w:val="24"/>
          <w:szCs w:val="24"/>
          <w:rtl w:val="0"/>
        </w:rPr>
        <w:t xml:space="preserve">com</w:t>
      </w:r>
      <w:r w:rsidDel="00000000" w:rsidR="00000000" w:rsidRPr="00000000">
        <w:rPr>
          <w:color w:val="1b1b1c"/>
          <w:sz w:val="24"/>
          <w:szCs w:val="24"/>
          <w:rtl w:val="0"/>
        </w:rPr>
        <w:t xml:space="preserve"> - </w:t>
      </w:r>
      <w:r w:rsidDel="00000000" w:rsidR="00000000" w:rsidRPr="00000000">
        <w:rPr>
          <w:color w:val="1b1b1c"/>
          <w:sz w:val="24"/>
          <w:szCs w:val="24"/>
          <w:rtl w:val="1"/>
        </w:rPr>
        <w:t xml:space="preserve">בית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חבד</w:t>
      </w:r>
      <w:r w:rsidDel="00000000" w:rsidR="00000000" w:rsidRPr="00000000">
        <w:rPr>
          <w:color w:val="1b1b1c"/>
          <w:sz w:val="24"/>
          <w:szCs w:val="24"/>
          <w:rtl w:val="0"/>
        </w:rPr>
        <w:t xml:space="preserve">, </w:t>
      </w:r>
      <w:hyperlink r:id="rId12">
        <w:r w:rsidDel="00000000" w:rsidR="00000000" w:rsidRPr="00000000">
          <w:rPr>
            <w:color w:val="4259ff"/>
            <w:sz w:val="24"/>
            <w:szCs w:val="24"/>
            <w:u w:val="single"/>
            <w:rtl w:val="0"/>
          </w:rPr>
          <w:t xml:space="preserve">https://he.chabad.org/library/article_cdo/aid/3206280/jewish/-.htm</w:t>
        </w:r>
      </w:hyperlink>
      <w:r w:rsidDel="00000000" w:rsidR="00000000" w:rsidRPr="00000000">
        <w:rPr>
          <w:rtl w:val="0"/>
        </w:rPr>
      </w:r>
    </w:p>
    <w:p w:rsidR="00000000" w:rsidDel="00000000" w:rsidP="00000000" w:rsidRDefault="00000000" w:rsidRPr="00000000" w14:paraId="0000007D">
      <w:pPr>
        <w:numPr>
          <w:ilvl w:val="0"/>
          <w:numId w:val="5"/>
        </w:numPr>
        <w:spacing w:after="0" w:afterAutospacing="0" w:lineRule="auto"/>
        <w:ind w:left="720" w:hanging="360"/>
        <w:rPr>
          <w:sz w:val="24"/>
          <w:szCs w:val="24"/>
        </w:rPr>
      </w:pPr>
      <w:r w:rsidDel="00000000" w:rsidR="00000000" w:rsidRPr="00000000">
        <w:rPr>
          <w:color w:val="1b1b1c"/>
          <w:sz w:val="24"/>
          <w:szCs w:val="24"/>
          <w:rtl w:val="1"/>
        </w:rPr>
        <w:t xml:space="preserve">תוספות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איוורא</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13">
        <w:r w:rsidDel="00000000" w:rsidR="00000000" w:rsidRPr="00000000">
          <w:rPr>
            <w:color w:val="4259ff"/>
            <w:sz w:val="24"/>
            <w:szCs w:val="24"/>
            <w:u w:val="single"/>
            <w:rtl w:val="0"/>
          </w:rPr>
          <w:t xml:space="preserve">https://he.wikipedia.org/wiki/%D7%AA%D7%95%D7%A1%D7%A4%D7%95%D7%AA_%D7%90%D7%99%D7%95%D7%95%D7%A8%D7%90</w:t>
        </w:r>
      </w:hyperlink>
      <w:r w:rsidDel="00000000" w:rsidR="00000000" w:rsidRPr="00000000">
        <w:rPr>
          <w:rtl w:val="0"/>
        </w:rPr>
      </w:r>
    </w:p>
    <w:p w:rsidR="00000000" w:rsidDel="00000000" w:rsidP="00000000" w:rsidRDefault="00000000" w:rsidRPr="00000000" w14:paraId="0000007E">
      <w:pPr>
        <w:numPr>
          <w:ilvl w:val="0"/>
          <w:numId w:val="5"/>
        </w:numPr>
        <w:spacing w:after="0" w:afterAutospacing="0" w:lineRule="auto"/>
        <w:ind w:left="720" w:hanging="360"/>
        <w:rPr>
          <w:sz w:val="24"/>
          <w:szCs w:val="24"/>
        </w:rPr>
      </w:pPr>
      <w:r w:rsidDel="00000000" w:rsidR="00000000" w:rsidRPr="00000000">
        <w:rPr>
          <w:color w:val="1b1b1c"/>
          <w:sz w:val="24"/>
          <w:szCs w:val="24"/>
          <w:rtl w:val="0"/>
        </w:rPr>
        <w:t xml:space="preserve">MOSES OF EVREUX - JewishEncyclopedia.com, </w:t>
      </w:r>
      <w:hyperlink r:id="rId14">
        <w:r w:rsidDel="00000000" w:rsidR="00000000" w:rsidRPr="00000000">
          <w:rPr>
            <w:color w:val="4259ff"/>
            <w:sz w:val="24"/>
            <w:szCs w:val="24"/>
            <w:u w:val="single"/>
            <w:rtl w:val="0"/>
          </w:rPr>
          <w:t xml:space="preserve">https://www.jewishencyclopedia.com/articles/11079-moses-of-evreux</w:t>
        </w:r>
      </w:hyperlink>
      <w:r w:rsidDel="00000000" w:rsidR="00000000" w:rsidRPr="00000000">
        <w:rPr>
          <w:rtl w:val="0"/>
        </w:rPr>
      </w:r>
    </w:p>
    <w:p w:rsidR="00000000" w:rsidDel="00000000" w:rsidP="00000000" w:rsidRDefault="00000000" w:rsidRPr="00000000" w14:paraId="0000007F">
      <w:pPr>
        <w:numPr>
          <w:ilvl w:val="0"/>
          <w:numId w:val="5"/>
        </w:numPr>
        <w:spacing w:after="0" w:afterAutospacing="0" w:lineRule="auto"/>
        <w:ind w:left="720" w:hanging="360"/>
        <w:rPr>
          <w:sz w:val="24"/>
          <w:szCs w:val="24"/>
        </w:rPr>
      </w:pPr>
      <w:r w:rsidDel="00000000" w:rsidR="00000000" w:rsidRPr="00000000">
        <w:rPr>
          <w:color w:val="1b1b1c"/>
          <w:sz w:val="24"/>
          <w:szCs w:val="24"/>
          <w:rtl w:val="1"/>
        </w:rPr>
        <w:t xml:space="preserve">יצחק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מאיוורא</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15">
        <w:r w:rsidDel="00000000" w:rsidR="00000000" w:rsidRPr="00000000">
          <w:rPr>
            <w:color w:val="4259ff"/>
            <w:sz w:val="24"/>
            <w:szCs w:val="24"/>
            <w:u w:val="single"/>
            <w:rtl w:val="0"/>
          </w:rPr>
          <w:t xml:space="preserve">https://he.wikipedia.org/wiki/%D7%99%D7%A6%D7%97%D7%A7_%D7%9E%D7%90%D7%99%D7%95%D7%95%D7%A8%D7%90</w:t>
        </w:r>
      </w:hyperlink>
      <w:r w:rsidDel="00000000" w:rsidR="00000000" w:rsidRPr="00000000">
        <w:rPr>
          <w:rtl w:val="0"/>
        </w:rPr>
      </w:r>
    </w:p>
    <w:p w:rsidR="00000000" w:rsidDel="00000000" w:rsidP="00000000" w:rsidRDefault="00000000" w:rsidRPr="00000000" w14:paraId="00000080">
      <w:pPr>
        <w:numPr>
          <w:ilvl w:val="0"/>
          <w:numId w:val="5"/>
        </w:numPr>
        <w:spacing w:after="0" w:afterAutospacing="0" w:lineRule="auto"/>
        <w:ind w:left="720" w:hanging="360"/>
        <w:rPr>
          <w:sz w:val="24"/>
          <w:szCs w:val="24"/>
        </w:rPr>
      </w:pPr>
      <w:r w:rsidDel="00000000" w:rsidR="00000000" w:rsidRPr="00000000">
        <w:rPr>
          <w:color w:val="1b1b1c"/>
          <w:sz w:val="24"/>
          <w:szCs w:val="24"/>
          <w:rtl w:val="1"/>
        </w:rPr>
        <w:t xml:space="preserve">בעלי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התוספות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הספרייה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הלאומית</w:t>
      </w:r>
      <w:r w:rsidDel="00000000" w:rsidR="00000000" w:rsidRPr="00000000">
        <w:rPr>
          <w:color w:val="1b1b1c"/>
          <w:sz w:val="24"/>
          <w:szCs w:val="24"/>
          <w:rtl w:val="0"/>
        </w:rPr>
        <w:t xml:space="preserve">, </w:t>
      </w:r>
      <w:hyperlink r:id="rId16">
        <w:r w:rsidDel="00000000" w:rsidR="00000000" w:rsidRPr="00000000">
          <w:rPr>
            <w:color w:val="4259ff"/>
            <w:sz w:val="24"/>
            <w:szCs w:val="24"/>
            <w:u w:val="single"/>
            <w:rtl w:val="0"/>
          </w:rPr>
          <w:t xml:space="preserve">https://www.nli.org.il/he/discover/judaism/figures/tosafists</w:t>
        </w:r>
      </w:hyperlink>
      <w:r w:rsidDel="00000000" w:rsidR="00000000" w:rsidRPr="00000000">
        <w:rPr>
          <w:rtl w:val="0"/>
        </w:rPr>
      </w:r>
    </w:p>
    <w:p w:rsidR="00000000" w:rsidDel="00000000" w:rsidP="00000000" w:rsidRDefault="00000000" w:rsidRPr="00000000" w14:paraId="00000081">
      <w:pPr>
        <w:numPr>
          <w:ilvl w:val="0"/>
          <w:numId w:val="5"/>
        </w:numPr>
        <w:spacing w:after="0" w:afterAutospacing="0" w:lineRule="auto"/>
        <w:ind w:left="720" w:hanging="360"/>
        <w:rPr>
          <w:sz w:val="24"/>
          <w:szCs w:val="24"/>
        </w:rPr>
      </w:pPr>
      <w:r w:rsidDel="00000000" w:rsidR="00000000" w:rsidRPr="00000000">
        <w:rPr>
          <w:color w:val="1b1b1c"/>
          <w:sz w:val="24"/>
          <w:szCs w:val="24"/>
          <w:rtl w:val="1"/>
        </w:rPr>
        <w:t xml:space="preserve">ש</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וילנא</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17">
        <w:r w:rsidDel="00000000" w:rsidR="00000000" w:rsidRPr="00000000">
          <w:rPr>
            <w:color w:val="4259ff"/>
            <w:sz w:val="24"/>
            <w:szCs w:val="24"/>
            <w:u w:val="single"/>
            <w:rtl w:val="0"/>
          </w:rPr>
          <w:t xml:space="preserve">https://he.wikipedia.org/wiki/%D7%A9%22%D7%A1_%D7%95%D7%99%D7%9C%D7%A0%D7%90</w:t>
        </w:r>
      </w:hyperlink>
      <w:r w:rsidDel="00000000" w:rsidR="00000000" w:rsidRPr="00000000">
        <w:rPr>
          <w:rtl w:val="0"/>
        </w:rPr>
      </w:r>
    </w:p>
    <w:p w:rsidR="00000000" w:rsidDel="00000000" w:rsidP="00000000" w:rsidRDefault="00000000" w:rsidRPr="00000000" w14:paraId="00000082">
      <w:pPr>
        <w:numPr>
          <w:ilvl w:val="0"/>
          <w:numId w:val="5"/>
        </w:numPr>
        <w:spacing w:after="180" w:lineRule="auto"/>
        <w:ind w:left="720" w:hanging="360"/>
        <w:rPr>
          <w:sz w:val="24"/>
          <w:szCs w:val="24"/>
        </w:rPr>
      </w:pPr>
      <w:r w:rsidDel="00000000" w:rsidR="00000000" w:rsidRPr="00000000">
        <w:rPr>
          <w:color w:val="1b1b1c"/>
          <w:sz w:val="24"/>
          <w:szCs w:val="24"/>
          <w:rtl w:val="1"/>
        </w:rPr>
        <w:t xml:space="preserve">תוספות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שאנץ</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ויקיטקסט</w:t>
      </w:r>
      <w:r w:rsidDel="00000000" w:rsidR="00000000" w:rsidRPr="00000000">
        <w:rPr>
          <w:color w:val="1b1b1c"/>
          <w:sz w:val="24"/>
          <w:szCs w:val="24"/>
          <w:rtl w:val="0"/>
        </w:rPr>
        <w:t xml:space="preserve">, </w:t>
      </w:r>
      <w:hyperlink r:id="rId18">
        <w:r w:rsidDel="00000000" w:rsidR="00000000" w:rsidRPr="00000000">
          <w:rPr>
            <w:color w:val="4259ff"/>
            <w:sz w:val="24"/>
            <w:szCs w:val="24"/>
            <w:u w:val="single"/>
            <w:rtl w:val="0"/>
          </w:rPr>
          <w:t xml:space="preserve">https://he.wikisource.org/wiki/%D7%AA%D7%95%D7%A1%D7%A4%D7%95%D7%AA_%D7%A9%D7%90%D7%A0%D7%A5</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Moses_of_%C3%89vreux" TargetMode="External"/><Relationship Id="rId10" Type="http://schemas.openxmlformats.org/officeDocument/2006/relationships/hyperlink" Target="https://he.wikipedia.org/wiki/%D7%9E%D7%A9%D7%94_%D7%9E%D7%90%D7%99%D7%95%D7%95%D7%A8%D7%90" TargetMode="External"/><Relationship Id="rId13" Type="http://schemas.openxmlformats.org/officeDocument/2006/relationships/hyperlink" Target="https://he.wikipedia.org/wiki/%D7%AA%D7%95%D7%A1%D7%A4%D7%95%D7%AA_%D7%90%D7%99%D7%95%D7%95%D7%A8%D7%90" TargetMode="External"/><Relationship Id="rId12" Type="http://schemas.openxmlformats.org/officeDocument/2006/relationships/hyperlink" Target="https://he.chabad.org/library/article_cdo/aid/3206280/jewish/-.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Tosafot" TargetMode="External"/><Relationship Id="rId15" Type="http://schemas.openxmlformats.org/officeDocument/2006/relationships/hyperlink" Target="https://he.wikipedia.org/wiki/%D7%99%D7%A6%D7%97%D7%A7_%D7%9E%D7%90%D7%99%D7%95%D7%95%D7%A8%D7%90" TargetMode="External"/><Relationship Id="rId14" Type="http://schemas.openxmlformats.org/officeDocument/2006/relationships/hyperlink" Target="https://www.jewishencyclopedia.com/articles/11079-moses-of-evreux" TargetMode="External"/><Relationship Id="rId17" Type="http://schemas.openxmlformats.org/officeDocument/2006/relationships/hyperlink" Target="https://he.wikipedia.org/wiki/%D7%A9%22%D7%A1_%D7%95%D7%99%D7%9C%D7%A0%D7%90" TargetMode="External"/><Relationship Id="rId16" Type="http://schemas.openxmlformats.org/officeDocument/2006/relationships/hyperlink" Target="https://www.nli.org.il/he/discover/judaism/figures/tosafists" TargetMode="External"/><Relationship Id="rId5" Type="http://schemas.openxmlformats.org/officeDocument/2006/relationships/styles" Target="styles.xml"/><Relationship Id="rId6" Type="http://schemas.openxmlformats.org/officeDocument/2006/relationships/hyperlink" Target="https://www.encyclopedia.com/religion/encyclopedias-almanacs-transcripts-and-maps/tosafot" TargetMode="External"/><Relationship Id="rId18" Type="http://schemas.openxmlformats.org/officeDocument/2006/relationships/hyperlink" Target="https://he.wikisource.org/wiki/%D7%AA%D7%95%D7%A1%D7%A4%D7%95%D7%AA_%D7%A9%D7%90%D7%A0%D7%A5" TargetMode="External"/><Relationship Id="rId7" Type="http://schemas.openxmlformats.org/officeDocument/2006/relationships/hyperlink" Target="https://www.jewishencyclopedia.com/articles/14457-tosafot" TargetMode="External"/><Relationship Id="rId8" Type="http://schemas.openxmlformats.org/officeDocument/2006/relationships/hyperlink" Target="https://he.wikipedia.org/wiki/%D7%AA%D7%95%D7%A1%D7%A4%D7%95%D7%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