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דיוקנו, פועלו ומשנתו התורנית של רבי אבהו: מנהיגות, הלכה, אגדה ופולמוס בקיסריה האמוראית</w:t>
      </w:r>
    </w:p>
    <w:p>
      <w:r>
        <w:t>תקופת האמוראים בארץ ישראל מתאפיינת בצמיחתם של מרכזים רוחניים והנהגתיים בעלי אופי ייחודי, אשר נדרשו להתמודד עם מציאות פוליטית, חברתית ודתית מורכבת [cite: 1, 2, 3]. בתוך מארג זה בולטת דמותו של רבי אבהו, מחכמי הדור השלישי לאמוראי ארץ ישראל (פעל בשלהי המאה השלישית וראשית המאה הרביעית לספירה, בקירוב בין השנים 279–320 לספירה) [cite: 1, 2, 4]. רבי אבהו עיצב דפוס מנהיגות רב-ממדי אשר שילב בין סמכות הלכתית עליונה, ראשות ישיבה, הנהגה מדינית דיפלומטית מול הקיסרות הרומית, יצירה אגדית וענפה, וניהול פולמוס נוקב מול הנצרות הקדומה [cite: 1, 2, 3, 5].</w:t>
      </w:r>
    </w:p>
    <w:p>
      <w:r>
        <w:t>במחקר ההיסטורי והתלמודי קיימת חשיבות ראשונה במעלה להבחין בין רבי אבהו הארץ-ישראלי, היושב בקיסריה, לבין רב אבהו (או רבבהו), אשר פעל במרכזים הבבליים בדור השלישי והשביעי [cite: 1, 6]. שיבושי נוסח בדפוסים ובכתבי יד הובילו לעיתים להחלפה בין הדמויות, אך ניתוח טקסטואלי והיסטורי מעמיד את רבי אבהו הארץ-ישראלי כדמות מפתח מרכזית המקשרת בין בית המדרש בטבריה לבין עולם המעשה והממשל בקיסריה [cite: 1, 6].</w:t>
      </w:r>
    </w:p>
    <w:p>
      <w:r>
        <w:t>מדד ביוגרפי והיסטורי | פרטי הדמות: רבי אבהו הארץ-ישראלי | פרטי הדמות: רב אבהו (רבבהו) הבבלי</w:t>
      </w:r>
    </w:p>
    <w:p>
      <w:r>
        <w:t>אזור וזירת פעילות | ארץ ישראל (טבריה ובעיקר קיסריה) [cite: 1, 4, 7] | בבל (ישיבות סורא ופומבדיתא) [cite: 6]</w:t>
      </w:r>
    </w:p>
    <w:p>
      <w:r>
        <w:t>תקופה ודור | הדור השלישי לאמוראים (מפנה המאות 3–4) [cite: 1, 4] | הדור השביעי לאמוראים (ערב תקופת הסבוראים) [cite: 6]</w:t>
      </w:r>
    </w:p>
    <w:p>
      <w:r>
        <w:t>תפקיד מרכזי | ראש ישיבת קיסריה, דיין יחיד ומנהיג מדיני [cite: 1, 2] | ראש כלה בישיבת פומבדיתא בראשות רפרם [cite: 6]</w:t>
      </w:r>
    </w:p>
    <w:p>
      <w:r>
        <w:t>רבותיו המובהקים | רבי יוחנן, ריש לקיש, רבי אלעזר בן פדת [cite: 1, 4] | רב אשי [cite: 6]</w:t>
      </w:r>
    </w:p>
    <w:p>
      <w:r>
        <w:t>עיסוק מרכזי נוסף | פולמוס בין-דתי, תקנות ציבור ודיפלומטיה רומית [cite: 1, 2, 3] | מסירת הלכות בטריפות ובסדר הלימוד הישיבתי [cite: 6]</w:t>
      </w:r>
    </w:p>
    <w:p>
      <w:r>
        <w:t>המרכז העירוני בקיסריה והזירה ההיסטורית-פוליטית</w:t>
      </w:r>
    </w:p>
    <w:p>
      <w:r>
        <w:t>החלטתו של רבי אבהו לקבוע את מושבו בקיסריה ולהקים בה בית מדרש מרכזי שינתה את המפה הרוחנית של ארץ ישראל בתקופת האמוראים [cite: 3, 7]. קיסריה שימשה באותה עת כבירת המחוז הרומאי, "פרובינקיה סוריה פלשתינה", והייתה מקום מושבו הקבוע של המושל הרומי (הפרוקונסול) [cite: 4, 7]. העיר הייתה מטרופולין הלניסטי-רומי סוער, מרכז מסחרי בינלאומי, וזירה שבה חיו אלו לצד אלו רומאים נכרים, שומרונים, וקהילה נוצרית משכילה שהלכה והתבססה [cite: 1, 3, 5].</w:t>
      </w:r>
    </w:p>
    <w:p>
      <w:r>
        <w:t>לצד המרכז התורני הוותיק בטבריה, התגבשה סביב רבי אבהו בקיסריה חבורת חכמים בעלת צביון ייחודי, המכונה בתלמוד הירושלמי בשם הקיבוצי "רבנן דקיסרין" [cite: 1, 4]. נוכחותו של מרכז תורני בעיר שוקקת זו אפשרה לרבי אבהו לפעול בשני מישורים מקבילים: עיצוב החיים ההלכתיים הפנימיים של הקהילה היהודית, ותיווך ישיר ומגן מול זרועות השלטון הקיסרי [cite: 1, 3].</w:t>
      </w:r>
    </w:p>
    <w:p>
      <w:r>
        <w:t>תקופת פעילותו של רבי אבהו בקיסריה חפפה לצמיחה דרמטית של המרכז התיאולוגי הנוצרי בעיר [cite: 3, 5]. באותם ימים ממש פעל בקיסריה התיאולוג הנוצרי אוריגנס, אשר חיבר בה את ה"הקספלה", ולאחריו הבישוף אוסביוס מקיסריה, אבי ההיסטוריוגרפיה הכנסייתית [cite: 3, 5]. התלכדות זמנים ומקומות זו הפכה את קיסריה למוקד של התנגשות רעיונית ופילוסופית בין היהדות לנצרות הקדומה [cite: 3, 5]. נוכחותו של מנהיג בעל אופקים רחבים, שליטה בשפה היוונית ובקיאות במקרא כרבי אבהו, הייתה חיונית לשימור חוסנה הדתי והרעיוני של הקהילה [cite: 1, 3, 4].</w:t>
      </w:r>
    </w:p>
    <w:p>
      <w:r>
        <w:t>מדינאות, הנהגה ציבורית ויחסים עם השלטון הרומי</w:t>
      </w:r>
    </w:p>
    <w:p>
      <w:r>
        <w:t>רבי אבהו נהנה ממעמד ייחודי בקרב הממשל הרומי, אשר חָלַק לו כבוד רב והכיר בסמכותו [cite: 1, 7]. התלמוד מתאר את קרבתו ל"בי קֵיסָר" (חצר המושל בקיסריה) ואת קבלת הפנים המכובדת לה זכה בצאתו ובבואו [cite: 1, 7]. מעמד זה הוענק לו בזכות חכמתו, עושרו, הופעתו המרשימה ויכולתו לנהל דיאלוג בשפת המלכות ובגינוני החצר [cite: 1, 4, 7].</w:t>
      </w:r>
    </w:p>
    <w:p>
      <w:r>
        <w:t>סמכותו המדינית שירתה באופן ישיר את הכלל [cite: 1, 2]. רבי אבהו ניצל את מעמדו כדי להשתדל לטובת בני עמו, לבטל גזרות ולהגן על זכויות היהודים [cite: 1, 4]. חכמי דורו, ובהם ראשי ישיבת טבריה רבי אמי ורבי אסי, אף שהיו מבוגרים ממנו, רחשו לו כבוד מפליג [cite: 1, 4, 7]. בשל חשיבותו המכרעת מול השלטון, נמנעו חכמים מלהתעמת עימו בפומבי או לסתור את דבריו בנושאים מסוימים, מתוך הבנה שפגיעה במעמדו עלולה להזיק לכלל הישוב [cite: 7].</w:t>
      </w:r>
    </w:p>
    <w:p>
      <w:r>
        <w:t>לצד ייצוג הממשל, שימש רבי אבהו כסמכות הביצועית והמשפטית העליונה בקיסריה [cite: 1, 2, 4]. הוא פעל כמפקח ומארגן של חיי המסחר העירוניים, השגיח על תקינות המידות והמשקלות בשוק, וקבע כללים בדבר כשרות מוצרי מזון ויינות [cite: 2, 3]. בתחום המשפט האזרחי נהג לשבת ולדון כדיין יחיד, מתוקף האמון המוחלט שרחשו לו הציבור והשלטונות כאחד [cite: 1, 4]. במסגרת תפקידו המנהיגותי יצא למסעות בקהילות שונות בארץ ישראל ומחוצה לה, ובהן לוד, טבריה, ארבל, בצרה שבבבל ואלכסנדריה שבמצרים, לשם חיזוק הקשרים הקהילתיים והוראת הלכה [cite: 1, 2].</w:t>
      </w:r>
    </w:p>
    <w:p>
      <w:r>
        <w:t>היצירה ההלכתית והתקנות הציבוריות</w:t>
      </w:r>
    </w:p>
    <w:p>
      <w:r>
        <w:t>משנתו ההלכתית של רבי אבהו מתאפיינת בשילוב בין נאמנות מוחלטת למסורת רבותיו – ובראשם רבי יוחנן, שמפיו מסר מאות שמועות – לבין העזה ויוזמה בתקנת תקנות ציבוריות הנדרשות לפי תנאי הזמן [cite: 1, 2, 4].</w:t>
      </w:r>
    </w:p>
    <w:p>
      <w:r>
        <w:t>אחת מתקנותיו המפורסמות והמשפיעות ביותר, הנהוגה בכל תפוצות ישראל עד ימינו, היא הסדרת סדר תקיעות השופר בראש השנה [cite: 1, 4]. בעקבות ספק שהתעורר לגבי מהות קול ה"תרועה" האמור בתורה – האם הוא קול גניחה ויבבה (שברים), קול יללה רצופה (תרועה), או שילוב של שניהם (שברים-תרועה) – התקין רבי אבהו בקיסריה את הסדר המקיף את כל האפשרויות: שלוש סדרות של תקיעה-שברים-תרועה-תקיעה (תשר"ת), שלוש סדרות של תקיעה-שברים-תקיעה (תש"ת), ושלוש סדרות של תקיעה-תרועה-תקיעה (תר"ת) [cite: 1]. תקנה זו איחדה את מנהג הקהילות ופתרה מבוכה הלכתית קדומה [cite: 1].</w:t>
      </w:r>
    </w:p>
    <w:p>
      <w:r>
        <w:t>התפתחות הלכתית-היסטורית משמעותית נוספת בהובלת רבי אבהו, יחד עם חבריו רבי אמי ורבי אסי, הייתה שינוי המעמד המשפטי של השומרונים (הכותים) [cite: 8]. בעוד שבדורות קודמים נחשבו השומרונים במצבים רבים כגרי אריות שמקפידים על חלק מהמצוות, החליטו בית דינו של רבי אבהו וחבריו, בעקבות חקירה ודרישה במנהגיהם וחשש לעבודה זרה, לגזור עליהם הרחקה מוחלטת [cite: 8]. בית הדין קבע כי עשאום כעובדי כוכבים גמורים, וכתוצאה מכך נאסרו פת כותים, יינם, חמצם ומוצריהם איסור מוחלט, צעד שבירר והבדיל את תחומי הקהילה היהודית [cite: 8].</w:t>
      </w:r>
    </w:p>
    <w:p>
      <w:r>
        <w:t>בנוסף, רבי אבהו הפגין פתיחות מבוקרת לתרבות וללשון היוונית, כמתבקש ממעמדו בקיסריה ההלניסטית [cite: 1, 4]. על בסיס מימרת רבו, רבי יוחנן, התיר ללמד את בנותיו יוונית, בטענה שהשפה היוונית משמשת להן כ"תכשיט" [cite: 1, 4]. עמדה זו עוררה מחלוקת מצד חכמים אחרים, אך היא משקפת את תפיסתו, שראה בלשון הכללית כלי שרת למנהיגות ייצוגית ולנוי ציבורי, מבלי להתפשר על מקורות הדת וההלכה [cite: 1, 4].</w:t>
      </w:r>
    </w:p>
    <w:p>
      <w:r>
        <w:t>הדרשנות, האגדה והעולם ההגותי</w:t>
      </w:r>
    </w:p>
    <w:p>
      <w:r>
        <w:t>לצד מעמדו כפוסק הלכה, קנה רבי אבהו את עיקר פרסומו העממי כבעל אגדה פורה וכדרשן מוכשר [cite: 1, 4]. דרשותיו משכו המוני מאזינים, והתלמוד מציג את יכולתו לקרב את הלבבות בדברי אגדה ונחמה [cite: 1, 4].</w:t>
      </w:r>
    </w:p>
    <w:p>
      <w:r>
        <w:t>את ההבדל בין דרכו הדרשנית לבין הפלפול ההלכתי המורכב המחיש רבי אבהו באירוע שבו דרש באגדה לצד רבי חייא בר אבא שדרש בהלכה [cite: 1, 4]. כשהניחו הכל את רבי חייא בר אבא והלכו לשמוע את רבי אבהו, חלשה דעתו של רבי חייא [cite: 1, 4]. רבי אבהו פייסו במשל מעמיק, שבו המשיל את ההלכה לאבנים טובות שרק יחידי סגולה קופצים עליהן, ואת האגדה למיני סדקית (כלי בית וקישוטים זולים) הנזקקים לכל נפש [cite: 1, 4]. תגובה זו מעידה על תפיסתו את האגדה לא כהתנשאות אינטלקטואלית, אלא כמענה נפשי ועממי נחוץ לציבור [cite: 1, 4].</w:t>
      </w:r>
    </w:p>
    <w:p>
      <w:r>
        <w:t>בתחום הקוסמולוגי והמחשבתי ניסח רבי אבהו מאמר מדרשי בעל השפעה עצומה: "מלמד שהיה הקדוש ברוך הוא בורא עולמות ומחריבן, עד שברא את אלו, אמר: דין הניין לי, יתהון לא הניין לי" [cite: 9, 10]. מאמר זה שימש יסוד לדיונים פילוסופיים וקבליים לאורך הדורות [cite: 11]. במישור המוסרי והקיומי, ניתוח המאמר מלמד על תפיסה שלפיה ה"כישלון" והניסיון הראשוני אינם מקריים, אלא מהווים חלק מובנה מתהליך התיקון והבנייה [cite: 11]. תפיסה זו מעניקה לאדם מסגרת רעיונית להתמודדות עם נפילות, מתוך הבנה שכל הצלחה ועלייה רוחנית נשענות על התמודדות עם שלבים קודמים שלא צלחו [cite: 11].</w:t>
      </w:r>
    </w:p>
    <w:p>
      <w:r>
        <w:t>תפיסתו המוסרית מודגשת בשורה של מימרות המציבות את ענוות האדם וטהרת לבו במרכז:</w:t>
      </w:r>
    </w:p>
    <w:p>
      <w:r>
        <w:t>התפיסה כי מקום שבעלי תשובה עומדים – צדיקים גמורים אינם עומדים, מעניקה יתרון רוחני למי שהתמודד עם החטא והתגבר עליו [cite: 1, 2, 4].</w:t>
      </w:r>
    </w:p>
    <w:p>
      <w:r>
        <w:t>ההדרכה כי לעולם יהא אדם מן הנרדפין ולא מן הרודפים, מעמידה את אי-הנקמה והסבלנות כערך עליון [cite: 1, 4].</w:t>
      </w:r>
    </w:p>
    <w:p>
      <w:r>
        <w:t>הקביעה כי אין העולם מתקיים אלא בשביל מי שמשים עצמו כמי שאינו, מסכמת את יחסו לביטול הגאווה [cite: 1, 4].</w:t>
      </w:r>
    </w:p>
    <w:p>
      <w:r>
        <w:t>תפיסה זו באה לידי ביטוי מעשי בסיפורו של "פנטקקה" בתלמוד הירושלמי [cite: 12]. בעת עצירת גשמים נחשף בחלומו של רבי אבהו אדם שפל מעמד שעסק בעבודות נמוכות בתיאטרון, אך נהג במידת חסד יוצאת דופן כאשר מכר את כל רכושו כדי להציל אישה זרה מלהידרדר לזנות ולפדות את בעלה מהכלא [cite: 12]. רבי אבהו הכיר בכך שתפילתו של אדם זה לגשמים היא שתתקבל, ובכך העמיד את הלב הטהור והחסד המעשי מעל ייחוס ומעמד דתי פורמלי [cite: 12].</w:t>
      </w:r>
    </w:p>
    <w:p>
      <w:r>
        <w:t>הפולמוס הבין-דתי מול הנצרות הקדומה</w:t>
      </w:r>
    </w:p>
    <w:p>
      <w:r>
        <w:t>מיקומו של רבי אבהו בקיסריה הציב אותו בחזית הוויכוח התיאולוגי מול המינים והנוצרים הקדומים [cite: 1, 3, 5]. השכלתו הרחבה, שליטתו בלשון היוונית ובקיאותו במקרא איפשרו לו לעמוד כסנגור של אמונת הייחוד [cite: 1, 3, 4].</w:t>
      </w:r>
    </w:p>
    <w:p>
      <w:r>
        <w:t>רבי אבהו ניסח דרשות נוקבות המכוונות ישירות נגד דוגמת השילוש וטענות האלוהות של הנצרות [cite: 1, 4]. מול תפיסת השילוש דרש את הפסוק "אני ראשון ואני אחרון": "אני ראשון – שאין לי אב; ואני אחרון – שאין לי אח; ומבלעדי אין אלהים – שאין לי בן" [cite: 1, 4]. דרשה זו מפרקת בלשון מקראית קצרה את התיאולוגיה הנוצרית בדבר אב ובן [cite: 1, 4].</w:t>
      </w:r>
    </w:p>
    <w:p>
      <w:r>
        <w:t>מול טענות ההתגשמות בבשר ודם והעלייה לשמים דרש בירושלמי: "אם יאמר לך אדם 'אל אני' – מכזב הוא; 'בן אדם אני' – סופו לתהות בו; 'שאני עולה לשמים' – ההוא אמר ולא יקימנה" [cite: 1, 4, 13, 14]. דרשה זו שללה באופן ישיר את ההאלהה של בשר ודם [cite: 1, 4, 13, 14].</w:t>
      </w:r>
    </w:p>
    <w:p>
      <w:r>
        <w:t>הפולמוס לא נותר בזירה העיונית בלבד [cite: 1]. התלמוד מספר על איבה עמוקה שרכשו לו חלק מהמינים, עד שבמסגרת טיפול רפואי ניסה "יעקב מינאה" להרעילו באמצעות סם מסוכן [cite: 1]. המזימה נחשפה על ידי תלמידי רבי יוחנן ורבי אבהו ניצל, אירוע המלמד על גודל הסכנה שליוותה את מנהיגותו [cite: 1].</w:t>
      </w:r>
    </w:p>
    <w:p>
      <w:r>
        <w:t>דמותו האנושית, מידותיו, יחסיו המשפחתיים ופטירתו</w:t>
      </w:r>
    </w:p>
    <w:p>
      <w:r>
        <w:t>לצד תקיפותו בפולמוס ומעמדו הרם מול השלטון, מתואר רבי אבהו כסמל של ענווה ואצילות נפש [cite: 1, 4, 7].</w:t>
      </w:r>
    </w:p>
    <w:p>
      <w:r>
        <w:t>ענוותנותו בלטה כאשר ביקשו חכמים למנותו לראש הישיבה [cite: 7]. כשראה את רבי אבא מדרום, שהיה שקוע בחובות כבדים, ויתר רבי אבהו על המינוי והמליץ עליו, כדי שרבי אבא יזכה בכבוד ובפרנסה ויכול להתפרק מחובותיו [cite: 7]. כמו כן, כאשר פגעה אשתו של מתורגמנו בכבודו ואמרה לאשתו של רבי אבהו שבעלה אינו זקוק לתורתו, הגיב רבי אבהו בשלווה ואמר: "ומאי נפקא ליך מינה? מיני ומניה יתקלס עילאה" (מה זה משנה? בין ממני ובין ממנו – העיקר שיתפאר שמו של הבורא) [cite: 4, 7].</w:t>
      </w:r>
    </w:p>
    <w:p>
      <w:r>
        <w:t>בתלמוד מתואר רבי אבהו כבעל הדרת פנים ויופי יוצא דופן, המשולב בגבורה פיזית [cite: 1, 7]. בעת שקרסה רצפת בית המרחץ תחתיו, הצליח להיאחז ביד אחת בעמוד שיש ובזרועו השנייה למלוק ולהעלות את שני משמשיו, ובכך הציל את חייהם [cite: 1, 7].</w:t>
      </w:r>
    </w:p>
    <w:p>
      <w:r>
        <w:t>בחיי המשפחה גידל בנים שהיו לתלמידי חכמים [cite: 1, 4]. בנו אבימי הגיע למדרגת אמורא והובא כדוגמה מופתית לקיום מצוות כיבוד אב [cite: 1, 4, 7]. בנו חנינא נשלח ללמוד בטבריה, וכששמע רבי אבהו שהוא משקיע את עיקר זמנו בקבורת מתים, שלח לו מכתב נוקב: "המבלי אין קברים בקיסרין שלחתיך לטבריה?" – אמירה המדגישה את עליונות תלמוד התורה [cite: 1, 4, 15]. במקורות נזכרים גם בניו אביי, רבי זעירא, רבי חנינא ורבי שמעון [cite: 4].</w:t>
      </w:r>
    </w:p>
    <w:p>
      <w:r>
        <w:t>כשחלה רבי אבהו ונטה למות, הראו לו מן השמים את חלקו המזומן לו בעולם הבא – י"ג נהרות של אפרסמון טהור [cite: 1, 4]. כששאל למי כל אלה וענו לו שהם עבורו, קרא על עצמו בענווה את הפסוק: "ואני אמרתי לריק יגעתי, לתהו והבל כחי כליתי, אכן משפטי את ה' ופעלתי את אלהי" [cite: 1, 4]. בעת פטירתו תואר האבל הכבד בקיסריה בביטוי המטאפורי: "כי נח נפשיה דרבי אבהו – אחיתו עמודי דקיסרי דמעי" (כשנחה נפשו של רבי אבהו – הורידו עמודי השיש של קיסריה דמעות) [cite: 1, 2]. המסורת מייחסת את מקום קבורתו לכוכי קבורה עתיקים הסמוכים לחוף הים בקיסריה [cite: 4, 16].</w:t>
      </w:r>
    </w:p>
    <w:p>
      <w:r>
        <w:t>מסקנות</w:t>
      </w:r>
    </w:p>
    <w:p>
      <w:r>
        <w:t>דמותו של רבי אבהו מציגה דגם ייחודי של מנהיגות אמוראית המשלבת סמכות תורנית, יוזמה הלכתית ומעורבות מדינית עמוקה [cite: 1, 2, 7]. פועלו בקיסריה הוכיח כי בית המדרש יכול להתקיים ולהשפיע גם בלב מטרופולין הלניסטי-רומי מורכב, תוך ניהול דיאלוג עם השלטון והגנה על גבולות האמונה [cite: 1, 3, 5].</w:t>
      </w:r>
    </w:p>
    <w:p>
      <w:r>
        <w:t>תקנותיו ההלכתיות, ובראשן סדר תקיעת שופר, יחד עם מאמריו באגדה ובמוסר, נותרו נכסי צאן ברזל של המסורת היהודית [cite: 1, 4]. שילוב המידות של ענווה יתרה, אצילות אנושית ופתיחות מבוקרת לתרבות הכללית, מעמידים את רבי אבהו כאחת הדמויות המרכזיות והמופתיות בתולדות תורה שבעל פה [cite: 1, 4, 7].</w:t>
      </w:r>
    </w:p>
    <w:p>
      <w:r>
        <w:t>מקורות</w:t>
      </w:r>
    </w:p>
    <w:p>
      <w:r>
        <w:t>1. רבי אבהו – ויקישיבה, https://www.yeshiva.org.il/wiki/index.php/רבי_אבהו</w:t>
      </w:r>
    </w:p>
    <w:p>
      <w:r>
        <w:t>2. אבהו - מטח, https://school.kotar.cet.ac.il/kotarapp/index/Chapter.aspx?nBookID=47256888&amp;nTocEntryID=47394897</w:t>
      </w:r>
    </w:p>
    <w:p>
      <w:r>
        <w:t>3. תולדות קיסריה בתקופה הרומית-ביזנטית - גילי חסקין, https://www.gilihaskin.com/תולדות-קיסריה-בתקופה-הרומית-ביזנטית/</w:t>
      </w:r>
    </w:p>
    <w:p>
      <w:r>
        <w:t>4. רבי אבהו - ויקיפדיה, https://he.wikipedia.org/wiki/רבי_אבהו</w:t>
      </w:r>
    </w:p>
    <w:p>
      <w:r>
        <w:t>5. אוסביוס מקיסריה - ויקיפדיה, https://he.wikipedia.org/wiki/אוסביוס_מקיסריה</w:t>
      </w:r>
    </w:p>
    <w:p>
      <w:r>
        <w:t>6. רב אבהו - ויקיפדיה, https://he.wikipedia.org/wiki/רב_אבהו</w:t>
      </w:r>
    </w:p>
    <w:p>
      <w:r>
        <w:t>7. רַ' אַבָּהוּ | מקורות מתוך ספריית ספריא, https://www.sefaria.org.il/topics/rabbi-abahu</w:t>
      </w:r>
    </w:p>
    <w:p>
      <w:r>
        <w:t>8. משנת ארץ ישראל על משנה ברכות, נספח א | האוסף של ספריא, https://www.sefaria.org.il/Mishnat_Eretz_Yisrael_on_Mishnah_Berakhot,_Appendix_1</w:t>
      </w:r>
    </w:p>
    <w:p>
      <w:r>
        <w:t>9. מדרש רבה - חומש בראשית - כל הספר, https://www.toratemetfreeware.com/online/f_01633_all.html</w:t>
      </w:r>
    </w:p>
    <w:p>
      <w:r>
        <w:t>10. בראשית רבה ג ז - ויקיטקסט, https://he.wikisource.org/wiki/בראשית_רבה_ג_ז</w:t>
      </w:r>
    </w:p>
    <w:p>
      <w:r>
        <w:t>11. "שהיה הקב"ה בורא עולמות ומחריבן" - לימוד יומי, https://limudyomi.com/שהיה-הקבה-בורא-עולמות-ומחריבן/</w:t>
      </w:r>
    </w:p>
    <w:p>
      <w:r>
        <w:t>12. היחיד שראוי להתפלל על הגשם ולהיענות – אגדה ה תענית פ"א ה"ד דף סד ע"ב - אגדות התלמוד הירושלמי, https://yaggada.haifa.ac.il/index.php?option=com_content&amp;view=article&amp;id=2494:112-46&amp;Itemid=1545</w:t>
      </w:r>
    </w:p>
    <w:p>
      <w:r>
        <w:t>13. ביאור:ירושלמי מאיר/מסכת תענית/פרק שני - ויקיטקסט, https://he.wikisource.org/wiki/ביאור:ירושלמי_מאיר/מסכת_תענית/פרק_שני</w:t>
      </w:r>
    </w:p>
    <w:p>
      <w:r>
        <w:t>14. ירושלמי תענית ב - ויקיטקסט, https://he.wikisource.org/wiki/ירושלמי_תענית_ב</w:t>
      </w:r>
    </w:p>
    <w:p>
      <w:r>
        <w:t>15. ירושלמי פאה א - ויקיטקסט, https://he.wikisource.org/wiki/ירושלמי_פאה_א</w:t>
      </w:r>
    </w:p>
    <w:p>
      <w:r>
        <w:t>16. קבר רבי אבהו ובנו - עמוד ענן, https://amudanan.co.il/w/P447754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