
<file path=[Content_Types].xml><?xml version="1.0" encoding="utf-8"?>
<Types xmlns="http://schemas.openxmlformats.org/package/2006/content-types">
  <Default ContentType="application/xml" Extension="xml"/>
  <Default ContentType="application/vnd.openxmlformats-officedocument.obfuscatedFont" Extension="odttf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body>
    <w:p w:rsidR="00000000" w:rsidDel="00000000" w:rsidP="00000000" w:rsidRDefault="00000000" w:rsidRPr="00000000" w14:paraId="00000001">
      <w:pPr>
        <w:bidi w:val="1"/>
        <w:rPr>
          <w:rFonts w:ascii="Times New Roman" w:cs="Times New Roman" w:eastAsia="Times New Roman" w:hAnsi="Times New Roman"/>
          <w:color w:val="1b1b1c"/>
          <w:sz w:val="33"/>
          <w:szCs w:val="33"/>
          <w:highlight w:val="white"/>
        </w:rPr>
      </w:pPr>
      <w:r w:rsidDel="00000000" w:rsidR="00000000" w:rsidRPr="00000000">
        <w:rPr>
          <w:rFonts w:ascii="Times New Roman" w:cs="Times New Roman" w:eastAsia="Times New Roman" w:hAnsi="Times New Roman"/>
          <w:color w:val="1b1b1c"/>
          <w:sz w:val="33"/>
          <w:szCs w:val="33"/>
          <w:highlight w:val="white"/>
          <w:rtl w:val="1"/>
        </w:rPr>
        <w:t xml:space="preserve">ארכיטקטורה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33"/>
          <w:szCs w:val="33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33"/>
          <w:szCs w:val="33"/>
          <w:highlight w:val="white"/>
          <w:rtl w:val="1"/>
        </w:rPr>
        <w:t xml:space="preserve">של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33"/>
          <w:szCs w:val="33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33"/>
          <w:szCs w:val="33"/>
          <w:highlight w:val="white"/>
          <w:rtl w:val="1"/>
        </w:rPr>
        <w:t xml:space="preserve">תפילה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33"/>
          <w:szCs w:val="33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33"/>
          <w:szCs w:val="33"/>
          <w:highlight w:val="white"/>
          <w:rtl w:val="1"/>
        </w:rPr>
        <w:t xml:space="preserve">ונבואה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33"/>
          <w:szCs w:val="33"/>
          <w:highlight w:val="white"/>
          <w:rtl w:val="1"/>
        </w:rPr>
        <w:t xml:space="preserve">: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33"/>
          <w:szCs w:val="33"/>
          <w:highlight w:val="white"/>
          <w:rtl w:val="1"/>
        </w:rPr>
        <w:t xml:space="preserve">דמותה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33"/>
          <w:szCs w:val="33"/>
          <w:highlight w:val="white"/>
          <w:rtl w:val="1"/>
        </w:rPr>
        <w:t xml:space="preserve">,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33"/>
          <w:szCs w:val="33"/>
          <w:highlight w:val="white"/>
          <w:rtl w:val="1"/>
        </w:rPr>
        <w:t xml:space="preserve">פועלה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33"/>
          <w:szCs w:val="33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33"/>
          <w:szCs w:val="33"/>
          <w:highlight w:val="white"/>
          <w:rtl w:val="1"/>
        </w:rPr>
        <w:t xml:space="preserve">ומשנתה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33"/>
          <w:szCs w:val="33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33"/>
          <w:szCs w:val="33"/>
          <w:highlight w:val="white"/>
          <w:rtl w:val="1"/>
        </w:rPr>
        <w:t xml:space="preserve">התורנית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33"/>
          <w:szCs w:val="33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33"/>
          <w:szCs w:val="33"/>
          <w:highlight w:val="white"/>
          <w:rtl w:val="1"/>
        </w:rPr>
        <w:t xml:space="preserve">של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33"/>
          <w:szCs w:val="33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33"/>
          <w:szCs w:val="33"/>
          <w:highlight w:val="white"/>
          <w:rtl w:val="1"/>
        </w:rPr>
        <w:t xml:space="preserve">חנה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33"/>
          <w:szCs w:val="33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33"/>
          <w:szCs w:val="33"/>
          <w:highlight w:val="white"/>
          <w:rtl w:val="1"/>
        </w:rPr>
        <w:t xml:space="preserve">הנביאה</w:t>
      </w:r>
    </w:p>
    <w:p w:rsidR="00000000" w:rsidDel="00000000" w:rsidP="00000000" w:rsidRDefault="00000000" w:rsidRPr="00000000" w14:paraId="00000002">
      <w:pPr>
        <w:shd w:fill="edeffa" w:val="clear"/>
        <w:bidi w:val="1"/>
        <w:rPr>
          <w:rFonts w:ascii="Times New Roman" w:cs="Times New Roman" w:eastAsia="Times New Roman" w:hAnsi="Times New Roman"/>
          <w:color w:val="1b1b1c"/>
          <w:sz w:val="21"/>
          <w:szCs w:val="21"/>
          <w:highlight w:val="white"/>
        </w:rPr>
      </w:pPr>
      <w:r w:rsidDel="00000000" w:rsidR="00000000" w:rsidRPr="00000000">
        <w:rPr>
          <w:rFonts w:ascii="Times New Roman" w:cs="Times New Roman" w:eastAsia="Times New Roman" w:hAnsi="Times New Roman"/>
          <w:color w:val="1b1b1c"/>
          <w:sz w:val="21"/>
          <w:szCs w:val="21"/>
          <w:highlight w:val="white"/>
          <w:rtl w:val="0"/>
        </w:rPr>
        <w:t xml:space="preserve">Source guide</w:t>
      </w:r>
    </w:p>
    <w:p w:rsidR="00000000" w:rsidDel="00000000" w:rsidP="00000000" w:rsidRDefault="00000000" w:rsidRPr="00000000" w14:paraId="00000003">
      <w:pPr>
        <w:shd w:fill="edeffa" w:val="clear"/>
        <w:bidi w:val="1"/>
        <w:spacing w:after="160" w:lineRule="auto"/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</w:rPr>
      </w:pP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הטקסט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סוקר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את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דמותה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המכוננת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של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חנה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הנביאה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כצומת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רוחני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ולאומי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המעצב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את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המעבר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מעבודת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קורבנות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ממסדית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לעבודת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הלב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האינטימית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. 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דרך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ניתוח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קורות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חייה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, 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עמידתה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מול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עקרותה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והקשר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המורכב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עם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פנינה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ואלקנה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, 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המאמר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מדגיש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כיצד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חנה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התוותה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את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יסודות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ההלכה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והתפילה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היהודית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בדגש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על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כוונת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הלב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, 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הדיבור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החרישי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והתעוזה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מול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האל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. "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שירת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חנה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" 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מוצגת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לא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רק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כהודיה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אישית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, 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אלא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כנבואה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פוליטית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רחבה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המבשרת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על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רעיון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המלוכה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והמשיחיות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תוך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הדגשת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הריבונות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האלוהית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המשפילה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גאים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ומרימה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דלים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. 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בסופו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של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דבר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, 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המקור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מבקש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להראות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כיצד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הסובייקטיביות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הנשית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והיוזמה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הדתית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של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חנה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חוללו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מהפכה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תאולוגית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שהפכה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אותה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למודל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נצחי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של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מנהיגות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רוחנית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ואמונה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אקטיבית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.</w:t>
      </w:r>
    </w:p>
    <w:p w:rsidR="00000000" w:rsidDel="00000000" w:rsidP="00000000" w:rsidRDefault="00000000" w:rsidRPr="00000000" w14:paraId="00000004">
      <w:pPr>
        <w:bidi w:val="1"/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  <w:rtl w:val="1"/>
        </w:rPr>
        <w:t xml:space="preserve">ארכיטקטורה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  <w:rtl w:val="1"/>
        </w:rPr>
        <w:t xml:space="preserve">של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  <w:rtl w:val="1"/>
        </w:rPr>
        <w:t xml:space="preserve">תפילה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  <w:rtl w:val="1"/>
        </w:rPr>
        <w:t xml:space="preserve">ונבואה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  <w:rtl w:val="1"/>
        </w:rPr>
        <w:t xml:space="preserve">: 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  <w:rtl w:val="1"/>
        </w:rPr>
        <w:t xml:space="preserve">דמותה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  <w:rtl w:val="1"/>
        </w:rPr>
        <w:t xml:space="preserve">, 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  <w:rtl w:val="1"/>
        </w:rPr>
        <w:t xml:space="preserve">פועלה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  <w:rtl w:val="1"/>
        </w:rPr>
        <w:t xml:space="preserve">ומשנתה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  <w:rtl w:val="1"/>
        </w:rPr>
        <w:t xml:space="preserve">התורנית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  <w:rtl w:val="1"/>
        </w:rPr>
        <w:t xml:space="preserve">של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  <w:rtl w:val="1"/>
        </w:rPr>
        <w:t xml:space="preserve">חנה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  <w:rtl w:val="1"/>
        </w:rPr>
        <w:t xml:space="preserve">הנביאה</w:t>
      </w:r>
    </w:p>
    <w:p w:rsidR="00000000" w:rsidDel="00000000" w:rsidP="00000000" w:rsidRDefault="00000000" w:rsidRPr="00000000" w14:paraId="00000005">
      <w:pPr>
        <w:bidi w:val="1"/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</w:rPr>
      </w:pP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חנה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הנביאה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ניצבת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באחד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הצמתים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המכריעים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ביותר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בתולדות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עם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ישראל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,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בתקופת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הדמדומים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שבין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ימי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השופטים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לכינון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המלוכה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.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דמותה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,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כפי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שהיא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משתקפת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בספר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שמואל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ובדברי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חז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"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,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אינה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רק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דמות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מופת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אימהות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המיוחלת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לפרי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בטן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,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אלא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דמות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תאולוגית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ומשפטית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מכוננת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,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שחוללה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מהפכה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במבנה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הקשר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שבין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האדם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לאלוהיו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.[1, 2]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פועלה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חנה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חורג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מגבולות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הסיפור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האישי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;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היא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עיצבה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את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דפוס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התפילה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היהודי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לדורותיו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,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הניחה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את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היסודות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הרעיוניים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למלוכה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בישראל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,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והפכה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למקור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השראה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הלכתי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עבור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חכמי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התלמוד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.[3, 4, 5]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באמצעות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ניתוח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דמותה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ניתן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לעמוד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על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המעבר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מעבודת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קורבנות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ממסדית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לעבודת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הלב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האינטימית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,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ועל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הדינמיקה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שבין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ייאוש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פרטי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לחזון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לאומי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רחב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היקף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.[6, 7]</w:t>
      </w:r>
    </w:p>
    <w:p w:rsidR="00000000" w:rsidDel="00000000" w:rsidP="00000000" w:rsidRDefault="00000000" w:rsidRPr="00000000" w14:paraId="00000006">
      <w:pPr>
        <w:bidi w:val="1"/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  <w:rtl w:val="1"/>
        </w:rPr>
        <w:t xml:space="preserve">המבנה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  <w:rtl w:val="1"/>
        </w:rPr>
        <w:t xml:space="preserve">המשפחתי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  <w:rtl w:val="1"/>
        </w:rPr>
        <w:t xml:space="preserve">והרקע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  <w:rtl w:val="1"/>
        </w:rPr>
        <w:t xml:space="preserve">החברתי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  <w:rtl w:val="1"/>
        </w:rPr>
        <w:t xml:space="preserve">: 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  <w:rtl w:val="1"/>
        </w:rPr>
        <w:t xml:space="preserve">דואליות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  <w:rtl w:val="1"/>
        </w:rPr>
        <w:t xml:space="preserve">של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  <w:rtl w:val="1"/>
        </w:rPr>
        <w:t xml:space="preserve">אהבה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  <w:rtl w:val="1"/>
        </w:rPr>
        <w:t xml:space="preserve">ומצוקה</w:t>
      </w:r>
    </w:p>
    <w:p w:rsidR="00000000" w:rsidDel="00000000" w:rsidP="00000000" w:rsidRDefault="00000000" w:rsidRPr="00000000" w14:paraId="00000007">
      <w:pPr>
        <w:bidi w:val="1"/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</w:rPr>
      </w:pP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חנה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הייתה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אשתו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אלקנה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,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איש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צדיק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משבט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לוי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שהתגורר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ברמתיים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צופים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שבהר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אפרים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.[3, 8]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אלקנה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מתואר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במקורות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כדמות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מנהיגותית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שפעלה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להחייאת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מסורת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העלייה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לרגל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למשכן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שילה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בתקופה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רפיון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רוחני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.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בכל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שנה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היה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אלקנה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בוחר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מסלול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שונה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בעלייתו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לרגל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,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כדי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למשוך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אחריו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אנשים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נוספים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ולהפיץ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את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עבודת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'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בקרב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העם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.[9, 10]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בתוך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מציאות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זו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,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חנה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מילאה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תפקיד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מורכב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.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היא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הייתה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האישה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הראשונה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והאהובה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על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אלקנה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,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אך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עקרותה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הממושכת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הובילה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למבנה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משפחתי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פוליגמי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,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כאשר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אלקנה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נשא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את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פנינה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כאישה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שנייה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.[3, 11]</w:t>
      </w:r>
    </w:p>
    <w:p w:rsidR="00000000" w:rsidDel="00000000" w:rsidP="00000000" w:rsidRDefault="00000000" w:rsidRPr="00000000" w14:paraId="00000008">
      <w:pPr>
        <w:bidi w:val="1"/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</w:rPr>
      </w:pP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מערכת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היחסים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בין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חנה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לפנינה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מתוארת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כרצופה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במתחים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שזכו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לפרשנות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עמוקה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בחז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"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.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פנינה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,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שזכתה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לעשרה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בנים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ובנות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,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נהגה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להקניט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את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חנה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על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עקרותה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.[3]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המדרש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מציין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כי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חנה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היא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זו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שיזמה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את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נישואי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אלקנה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לפנינה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,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מתוך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רצון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להידמות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לשרה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אמנו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ובתקווה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שוויתור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זה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על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בלעדיותה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יעורר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רחמי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שמים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.[3, 10]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אולם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,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פנינה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הפכה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"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צרתה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"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במובן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העמוק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המילה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.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חז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"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מציעים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מבט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מורכב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על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התנהגותה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פנינה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: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מחד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,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היא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נהגה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באכזריות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כשהזכירה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לחנה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את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בדידותה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בשעות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היום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השונות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,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אך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מאידך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,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המדרש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טוען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כי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כוונתה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הייתה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"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לשם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שמים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" –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לדחוק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בחנה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עד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שתזעק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ותתפלל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בכל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לבה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,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כפי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שאכן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קרה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לבסוף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.[3, 8, 10]</w:t>
      </w:r>
    </w:p>
    <w:tbl>
      <w:tblPr>
        <w:tblStyle w:val="Table1"/>
        <w:bidiVisual w:val="1"/>
        <w:tblW w:w="9285.0" w:type="dxa"/>
        <w:jc w:val="left"/>
        <w:tblBorders>
          <w:top w:color="000000" w:space="0" w:sz="0" w:val="nil"/>
          <w:left w:color="000000" w:space="0" w:sz="0" w:val="nil"/>
          <w:bottom w:color="000000" w:space="0" w:sz="0" w:val="nil"/>
          <w:right w:color="000000" w:space="0" w:sz="0" w:val="nil"/>
          <w:insideH w:color="000000" w:space="0" w:sz="0" w:val="nil"/>
          <w:insideV w:color="000000" w:space="0" w:sz="0" w:val="nil"/>
        </w:tblBorders>
        <w:tblLayout w:type="fixed"/>
        <w:tblLook w:val="0600"/>
      </w:tblPr>
      <w:tblGrid>
        <w:gridCol w:w="2015"/>
        <w:gridCol w:w="3860"/>
        <w:gridCol w:w="3410"/>
        <w:tblGridChange w:id="0">
          <w:tblGrid>
            <w:gridCol w:w="2015"/>
            <w:gridCol w:w="3860"/>
            <w:gridCol w:w="3410"/>
          </w:tblGrid>
        </w:tblGridChange>
      </w:tblGrid>
      <w:tr>
        <w:trPr>
          <w:cantSplit w:val="0"/>
          <w:trHeight w:val="800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919191" w:space="0" w:sz="5" w:val="single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09">
            <w:pPr>
              <w:bidi w:val="1"/>
              <w:jc w:val="center"/>
              <w:rPr>
                <w:rFonts w:ascii="Times New Roman" w:cs="Times New Roman" w:eastAsia="Times New Roman" w:hAnsi="Times New Roman"/>
                <w:b w:val="1"/>
                <w:bCs w:val="1"/>
                <w:color w:val="1b1b1c"/>
                <w:sz w:val="24"/>
                <w:szCs w:val="24"/>
                <w:highlight w:val="white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color w:val="1b1b1c"/>
                <w:sz w:val="24"/>
                <w:szCs w:val="24"/>
                <w:highlight w:val="white"/>
                <w:rtl w:val="1"/>
              </w:rPr>
              <w:t xml:space="preserve">מאפיין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919191" w:space="0" w:sz="5" w:val="single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0A">
            <w:pPr>
              <w:bidi w:val="1"/>
              <w:jc w:val="center"/>
              <w:rPr>
                <w:rFonts w:ascii="Times New Roman" w:cs="Times New Roman" w:eastAsia="Times New Roman" w:hAnsi="Times New Roman"/>
                <w:b w:val="1"/>
                <w:bCs w:val="1"/>
                <w:color w:val="1b1b1c"/>
                <w:sz w:val="24"/>
                <w:szCs w:val="24"/>
                <w:highlight w:val="white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color w:val="1b1b1c"/>
                <w:sz w:val="24"/>
                <w:szCs w:val="24"/>
                <w:highlight w:val="white"/>
                <w:rtl w:val="1"/>
              </w:rPr>
              <w:t xml:space="preserve">חנה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919191" w:space="0" w:sz="5" w:val="single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0B">
            <w:pPr>
              <w:bidi w:val="1"/>
              <w:jc w:val="center"/>
              <w:rPr>
                <w:rFonts w:ascii="Times New Roman" w:cs="Times New Roman" w:eastAsia="Times New Roman" w:hAnsi="Times New Roman"/>
                <w:b w:val="1"/>
                <w:bCs w:val="1"/>
                <w:color w:val="1b1b1c"/>
                <w:sz w:val="24"/>
                <w:szCs w:val="24"/>
                <w:highlight w:val="white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color w:val="1b1b1c"/>
                <w:sz w:val="24"/>
                <w:szCs w:val="24"/>
                <w:highlight w:val="white"/>
                <w:rtl w:val="1"/>
              </w:rPr>
              <w:t xml:space="preserve">פנינה</w:t>
            </w:r>
          </w:p>
        </w:tc>
      </w:tr>
      <w:tr>
        <w:trPr>
          <w:cantSplit w:val="0"/>
          <w:trHeight w:val="815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dde1eb" w:space="0" w:sz="5" w:val="single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0C">
            <w:pPr>
              <w:bidi w:val="1"/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מעמד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משפחתי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dde1eb" w:space="0" w:sz="5" w:val="single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0D">
            <w:pPr>
              <w:bidi w:val="1"/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אישה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ראשונה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,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אהובה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("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כי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את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חנה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אהב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")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dde1eb" w:space="0" w:sz="5" w:val="single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0E">
            <w:pPr>
              <w:bidi w:val="1"/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אישה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שנייה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,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נשואה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לאחר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חנה</w:t>
            </w:r>
          </w:p>
        </w:tc>
      </w:tr>
      <w:tr>
        <w:trPr>
          <w:cantSplit w:val="0"/>
          <w:trHeight w:val="815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dde1eb" w:space="0" w:sz="5" w:val="single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0F">
            <w:pPr>
              <w:bidi w:val="1"/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מצב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פריון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dde1eb" w:space="0" w:sz="5" w:val="single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10">
            <w:pPr>
              <w:bidi w:val="1"/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עקרה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לאורך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שנים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("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וה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'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סגר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רחמה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")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dde1eb" w:space="0" w:sz="5" w:val="single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11">
            <w:pPr>
              <w:bidi w:val="1"/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אם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לילדים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רבים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(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עשרה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בנים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ובנות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)</w:t>
            </w:r>
          </w:p>
        </w:tc>
      </w:tr>
      <w:tr>
        <w:trPr>
          <w:cantSplit w:val="0"/>
          <w:trHeight w:val="815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dde1eb" w:space="0" w:sz="5" w:val="single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12">
            <w:pPr>
              <w:bidi w:val="1"/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תגובה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לעלייה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לרגל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dde1eb" w:space="0" w:sz="5" w:val="single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13">
            <w:pPr>
              <w:bidi w:val="1"/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בכי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,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צום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,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תפילה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חרישית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ונדר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dde1eb" w:space="0" w:sz="5" w:val="single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14">
            <w:pPr>
              <w:bidi w:val="1"/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שמחה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משפחתית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,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הקנטת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היריבה</w:t>
            </w:r>
          </w:p>
        </w:tc>
      </w:tr>
      <w:tr>
        <w:trPr>
          <w:cantSplit w:val="0"/>
          <w:trHeight w:val="815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dde1eb" w:space="0" w:sz="5" w:val="single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15">
            <w:pPr>
              <w:bidi w:val="1"/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ייצוג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סימבולי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dde1eb" w:space="0" w:sz="5" w:val="single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16">
            <w:pPr>
              <w:bidi w:val="1"/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עולם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התפילה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,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העומק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והנבואה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dde1eb" w:space="0" w:sz="5" w:val="single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17">
            <w:pPr>
              <w:bidi w:val="1"/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עולם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הטבע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,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הפריון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והביולוגיה</w:t>
            </w:r>
          </w:p>
        </w:tc>
      </w:tr>
      <w:tr>
        <w:trPr>
          <w:cantSplit w:val="0"/>
          <w:trHeight w:val="815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dde1eb" w:space="0" w:sz="5" w:val="single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18">
            <w:pPr>
              <w:bidi w:val="1"/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גורל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הילדים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dde1eb" w:space="0" w:sz="5" w:val="single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19">
            <w:pPr>
              <w:bidi w:val="1"/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ילדה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את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שמואל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ו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-5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ילדים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נוספים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dde1eb" w:space="0" w:sz="5" w:val="single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1A">
            <w:pPr>
              <w:bidi w:val="1"/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מיתת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בניה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עם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הולדת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ילדי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חנה</w:t>
            </w:r>
          </w:p>
        </w:tc>
      </w:tr>
    </w:tbl>
    <w:p w:rsidR="00000000" w:rsidDel="00000000" w:rsidP="00000000" w:rsidRDefault="00000000" w:rsidRPr="00000000" w14:paraId="0000001B">
      <w:pPr>
        <w:bidi w:val="1"/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</w:rPr>
      </w:pP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0"/>
        </w:rPr>
        <w:t xml:space="preserve">[3, 9, 10, 11]</w:t>
      </w:r>
    </w:p>
    <w:p w:rsidR="00000000" w:rsidDel="00000000" w:rsidP="00000000" w:rsidRDefault="00000000" w:rsidRPr="00000000" w14:paraId="0000001C">
      <w:pPr>
        <w:bidi w:val="1"/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</w:rPr>
      </w:pP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ניסיונות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הפיוס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אלקנה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כלפי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חנה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מדגישים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את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הפער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בין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אהבה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אנושית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לצורך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רוחני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-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קיומי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.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אלקנה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העניק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לחנה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"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מנה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אחת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אפיים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"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מהזבחים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,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מנה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מכובדת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שנועדה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להראות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את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חשיבותה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בעיניו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.[9, 11]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שאלתו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הרטורית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, "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הלא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אנכי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טוב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לך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מעשרה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בנים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?",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משקפת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את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חוסר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יכולתו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להבין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שהכאב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חנה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אינו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נובע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רק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מרצון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בחברה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או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במעמד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,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אלא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מייעוד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דתי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עמוק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: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הרצון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להוליד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המשכיות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שתוקדש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כולה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לעבודת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'.[7, 9]</w:t>
      </w:r>
    </w:p>
    <w:p w:rsidR="00000000" w:rsidDel="00000000" w:rsidP="00000000" w:rsidRDefault="00000000" w:rsidRPr="00000000" w14:paraId="0000001D">
      <w:pPr>
        <w:bidi w:val="1"/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  <w:rtl w:val="1"/>
        </w:rPr>
        <w:t xml:space="preserve">המהפכה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  <w:rtl w:val="1"/>
        </w:rPr>
        <w:t xml:space="preserve">בשילה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  <w:rtl w:val="1"/>
        </w:rPr>
        <w:t xml:space="preserve">: 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  <w:rtl w:val="1"/>
        </w:rPr>
        <w:t xml:space="preserve">התפילה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  <w:rtl w:val="1"/>
        </w:rPr>
        <w:t xml:space="preserve">כביטוי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  <w:rtl w:val="1"/>
        </w:rPr>
        <w:t xml:space="preserve">של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  <w:rtl w:val="1"/>
        </w:rPr>
        <w:t xml:space="preserve">סובייקטיביות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  <w:rtl w:val="1"/>
        </w:rPr>
        <w:t xml:space="preserve">וסמכות</w:t>
      </w:r>
    </w:p>
    <w:p w:rsidR="00000000" w:rsidDel="00000000" w:rsidP="00000000" w:rsidRDefault="00000000" w:rsidRPr="00000000" w14:paraId="0000001E">
      <w:pPr>
        <w:bidi w:val="1"/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</w:rPr>
      </w:pP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האירוע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המכונן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במשכן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שילה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מייצג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את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המעבר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המהפכני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מדת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קורבנות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ומבנים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דתיים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נוקשים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לדת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סובייקטיביות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ועבודה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שבלב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.[6, 12]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חנה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,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במרירות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נפשה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,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קמה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לאחר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האכילה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והשתייה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ופנתה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אל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היכל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'.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בעוד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שעבודת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'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המקובלת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באותה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עת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הייתה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פומבית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וקשורה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בטקסי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הקורבנות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שהובלו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על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ידי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הכוהנים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,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חנה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בחרה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בערוץ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תקשורת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ישיר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ופרטי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.[12, 13]</w:t>
      </w:r>
    </w:p>
    <w:p w:rsidR="00000000" w:rsidDel="00000000" w:rsidP="00000000" w:rsidRDefault="00000000" w:rsidRPr="00000000" w14:paraId="0000001F">
      <w:pPr>
        <w:bidi w:val="1"/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</w:rPr>
      </w:pP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הביטוי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"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וחנה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היא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מדברת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על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לבה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"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מהווה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את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הבסיס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לכל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תפיסת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התפילה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היהודית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המאוחרת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.[1, 2]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תפילתה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הייתה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חרישית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,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ללא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קול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,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דבר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שהיה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כה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חריג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בנוף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הדתי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שילה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עד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כי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עלי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הכהן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,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שצפה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מהצד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,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חשב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שהיא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שיכורה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.[2, 3]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עלי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,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כנציג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הממסד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הדתי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הישן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,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פירש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את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רטט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השפתיים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כביטוי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שכרות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פיזית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,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ולא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כהתעלות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רוחנית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.[1, 6]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תגובתה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חנה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לעלי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, "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לא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אדוני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...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ואשפוך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את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נפשי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לפני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'",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מהווה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אקט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הגדרה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עצמית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וסמכות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דתית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נשית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.[1, 14]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היא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הבהירה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לכהן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הגדול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כי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המרחב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הפנימי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האדם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עשוי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להיות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מקודש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ורב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עוצמה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לא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פחות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מהמרחב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הציבורי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המשכן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.[12]</w:t>
      </w:r>
    </w:p>
    <w:p w:rsidR="00000000" w:rsidDel="00000000" w:rsidP="00000000" w:rsidRDefault="00000000" w:rsidRPr="00000000" w14:paraId="00000020">
      <w:pPr>
        <w:bidi w:val="1"/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</w:rPr>
      </w:pP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הדיאלוג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בין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חנה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לעלי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אינו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רק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עימות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בין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יחיד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לממסד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,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אלא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רגע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למידה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והתפתחות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.[6]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עלי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,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לאחר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שהבין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את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טעותו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,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לא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רק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התנצל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אלא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הפך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למברך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: "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ואלוהי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ישראל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יתן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את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שלתך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".[1]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המעבר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חנה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מייאוש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("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ופניה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לא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היו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עוד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")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לאחר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קבלת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הברכה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מלמד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על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כוחה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האמונה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בדברי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נבואה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ועל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השינוי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הפסיכולוגי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העמוק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שתפילה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וברכה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יכולות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לחולל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.[9]</w:t>
      </w:r>
    </w:p>
    <w:p w:rsidR="00000000" w:rsidDel="00000000" w:rsidP="00000000" w:rsidRDefault="00000000" w:rsidRPr="00000000" w14:paraId="00000021">
      <w:pPr>
        <w:bidi w:val="1"/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  <w:rtl w:val="1"/>
        </w:rPr>
        <w:t xml:space="preserve">משנתה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  <w:rtl w:val="1"/>
        </w:rPr>
        <w:t xml:space="preserve">ההלכתית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  <w:rtl w:val="1"/>
        </w:rPr>
        <w:t xml:space="preserve">: 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  <w:rtl w:val="1"/>
        </w:rPr>
        <w:t xml:space="preserve">יסודות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  <w:rtl w:val="1"/>
        </w:rPr>
        <w:t xml:space="preserve">תפילת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  <w:rtl w:val="1"/>
        </w:rPr>
        <w:t xml:space="preserve">העמידה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  <w:rtl w:val="1"/>
        </w:rPr>
        <w:t xml:space="preserve"> (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  <w:rtl w:val="1"/>
        </w:rPr>
        <w:t xml:space="preserve">ברכות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  <w:rtl w:val="1"/>
        </w:rPr>
        <w:t xml:space="preserve">לא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  <w:rtl w:val="1"/>
        </w:rPr>
        <w:t xml:space="preserve">ע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  <w:rtl w:val="1"/>
        </w:rPr>
        <w:t xml:space="preserve">"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  <w:rtl w:val="1"/>
        </w:rPr>
        <w:t xml:space="preserve">א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  <w:rtl w:val="1"/>
        </w:rPr>
        <w:t xml:space="preserve">)</w:t>
      </w:r>
    </w:p>
    <w:p w:rsidR="00000000" w:rsidDel="00000000" w:rsidP="00000000" w:rsidRDefault="00000000" w:rsidRPr="00000000" w14:paraId="00000022">
      <w:pPr>
        <w:bidi w:val="1"/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</w:rPr>
      </w:pP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חכמי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התלמוד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ראו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בחנה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את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המקור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העליון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להלכות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תפילה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.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מסכת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ברכות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מרכזת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שורה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דינים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הנלמדים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מהתנהגותה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חנה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בשילה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,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דינים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המגדירים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עד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היום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את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האופן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שבו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יהודים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מתפללים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את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תפילת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העמידה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(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שמונה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עשרה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).[4, 10, 15]</w:t>
      </w:r>
    </w:p>
    <w:tbl>
      <w:tblPr>
        <w:tblStyle w:val="Table2"/>
        <w:bidiVisual w:val="1"/>
        <w:tblW w:w="11175.0" w:type="dxa"/>
        <w:jc w:val="left"/>
        <w:tblBorders>
          <w:top w:color="000000" w:space="0" w:sz="0" w:val="nil"/>
          <w:left w:color="000000" w:space="0" w:sz="0" w:val="nil"/>
          <w:bottom w:color="000000" w:space="0" w:sz="0" w:val="nil"/>
          <w:right w:color="000000" w:space="0" w:sz="0" w:val="nil"/>
          <w:insideH w:color="000000" w:space="0" w:sz="0" w:val="nil"/>
          <w:insideV w:color="000000" w:space="0" w:sz="0" w:val="nil"/>
        </w:tblBorders>
        <w:tblLayout w:type="fixed"/>
        <w:tblLook w:val="0600"/>
      </w:tblPr>
      <w:tblGrid>
        <w:gridCol w:w="2285"/>
        <w:gridCol w:w="2195"/>
        <w:gridCol w:w="6695"/>
        <w:tblGridChange w:id="0">
          <w:tblGrid>
            <w:gridCol w:w="2285"/>
            <w:gridCol w:w="2195"/>
            <w:gridCol w:w="6695"/>
          </w:tblGrid>
        </w:tblGridChange>
      </w:tblGrid>
      <w:tr>
        <w:trPr>
          <w:cantSplit w:val="0"/>
          <w:trHeight w:val="800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919191" w:space="0" w:sz="5" w:val="single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23">
            <w:pPr>
              <w:bidi w:val="1"/>
              <w:jc w:val="center"/>
              <w:rPr>
                <w:rFonts w:ascii="Times New Roman" w:cs="Times New Roman" w:eastAsia="Times New Roman" w:hAnsi="Times New Roman"/>
                <w:b w:val="1"/>
                <w:bCs w:val="1"/>
                <w:color w:val="1b1b1c"/>
                <w:sz w:val="24"/>
                <w:szCs w:val="24"/>
                <w:highlight w:val="white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color w:val="1b1b1c"/>
                <w:sz w:val="24"/>
                <w:szCs w:val="24"/>
                <w:highlight w:val="white"/>
                <w:rtl w:val="1"/>
              </w:rPr>
              <w:t xml:space="preserve">פסוק</w:t>
            </w: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color w:val="1b1b1c"/>
                <w:sz w:val="24"/>
                <w:szCs w:val="24"/>
                <w:highlight w:val="white"/>
                <w:rtl w:val="1"/>
              </w:rPr>
              <w:t xml:space="preserve">מקור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919191" w:space="0" w:sz="5" w:val="single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24">
            <w:pPr>
              <w:bidi w:val="1"/>
              <w:jc w:val="center"/>
              <w:rPr>
                <w:rFonts w:ascii="Times New Roman" w:cs="Times New Roman" w:eastAsia="Times New Roman" w:hAnsi="Times New Roman"/>
                <w:b w:val="1"/>
                <w:bCs w:val="1"/>
                <w:color w:val="1b1b1c"/>
                <w:sz w:val="24"/>
                <w:szCs w:val="24"/>
                <w:highlight w:val="white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color w:val="1b1b1c"/>
                <w:sz w:val="24"/>
                <w:szCs w:val="24"/>
                <w:highlight w:val="white"/>
                <w:rtl w:val="1"/>
              </w:rPr>
              <w:t xml:space="preserve">הלכה</w:t>
            </w: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color w:val="1b1b1c"/>
                <w:sz w:val="24"/>
                <w:szCs w:val="24"/>
                <w:highlight w:val="white"/>
                <w:rtl w:val="1"/>
              </w:rPr>
              <w:t xml:space="preserve">נלמדת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919191" w:space="0" w:sz="5" w:val="single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25">
            <w:pPr>
              <w:bidi w:val="1"/>
              <w:jc w:val="center"/>
              <w:rPr>
                <w:rFonts w:ascii="Times New Roman" w:cs="Times New Roman" w:eastAsia="Times New Roman" w:hAnsi="Times New Roman"/>
                <w:b w:val="1"/>
                <w:bCs w:val="1"/>
                <w:color w:val="1b1b1c"/>
                <w:sz w:val="24"/>
                <w:szCs w:val="24"/>
                <w:highlight w:val="white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color w:val="1b1b1c"/>
                <w:sz w:val="24"/>
                <w:szCs w:val="24"/>
                <w:highlight w:val="white"/>
                <w:rtl w:val="1"/>
              </w:rPr>
              <w:t xml:space="preserve">פירוט</w:t>
            </w: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color w:val="1b1b1c"/>
                <w:sz w:val="24"/>
                <w:szCs w:val="24"/>
                <w:highlight w:val="white"/>
                <w:rtl w:val="1"/>
              </w:rPr>
              <w:t xml:space="preserve">והסבר</w:t>
            </w:r>
          </w:p>
        </w:tc>
      </w:tr>
      <w:tr>
        <w:trPr>
          <w:cantSplit w:val="0"/>
          <w:trHeight w:val="815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dde1eb" w:space="0" w:sz="5" w:val="single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26">
            <w:pPr>
              <w:bidi w:val="1"/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</w:rPr>
            </w:pPr>
            <w:r w:rsidDel="00000000" w:rsidR="00000000" w:rsidRPr="00000000">
              <w:rPr>
                <w:rtl w:val="0"/>
              </w:rPr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"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מדברת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על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לבה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"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dde1eb" w:space="0" w:sz="5" w:val="single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27">
            <w:pPr>
              <w:bidi w:val="1"/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כוונת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הלב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dde1eb" w:space="0" w:sz="5" w:val="single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28">
            <w:pPr>
              <w:bidi w:val="1"/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המתפלל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צריך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לרכז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את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מחשבתו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וכוונתו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למילים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ולעמידה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לפני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המלך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.</w:t>
            </w:r>
          </w:p>
        </w:tc>
      </w:tr>
      <w:tr>
        <w:trPr>
          <w:cantSplit w:val="0"/>
          <w:trHeight w:val="815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dde1eb" w:space="0" w:sz="5" w:val="single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29">
            <w:pPr>
              <w:bidi w:val="1"/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</w:rPr>
            </w:pPr>
            <w:r w:rsidDel="00000000" w:rsidR="00000000" w:rsidRPr="00000000">
              <w:rPr>
                <w:rtl w:val="0"/>
              </w:rPr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"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רק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שפתיה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נעות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"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dde1eb" w:space="0" w:sz="5" w:val="single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2A">
            <w:pPr>
              <w:bidi w:val="1"/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חיתוך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שפתיים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dde1eb" w:space="0" w:sz="5" w:val="single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2B">
            <w:pPr>
              <w:bidi w:val="1"/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אין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להסתפק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בהרהור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;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יש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לבטא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את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המילים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בפה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ובשפתיים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באופן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פיזי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.</w:t>
            </w:r>
          </w:p>
        </w:tc>
      </w:tr>
      <w:tr>
        <w:trPr>
          <w:cantSplit w:val="0"/>
          <w:trHeight w:val="1175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dde1eb" w:space="0" w:sz="5" w:val="single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2C">
            <w:pPr>
              <w:bidi w:val="1"/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</w:rPr>
            </w:pPr>
            <w:r w:rsidDel="00000000" w:rsidR="00000000" w:rsidRPr="00000000">
              <w:rPr>
                <w:rtl w:val="0"/>
              </w:rPr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"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וקולה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לא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ישמע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"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dde1eb" w:space="0" w:sz="5" w:val="single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2D">
            <w:pPr>
              <w:bidi w:val="1"/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איסור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הגבהת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קול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dde1eb" w:space="0" w:sz="5" w:val="single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2E">
            <w:pPr>
              <w:bidi w:val="1"/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תפילת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עמידה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צריכה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להיאמר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בלחש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,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כדי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לשמור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על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אינטימיות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הדיבור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עם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האל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.</w:t>
            </w:r>
          </w:p>
        </w:tc>
      </w:tr>
      <w:tr>
        <w:trPr>
          <w:cantSplit w:val="0"/>
          <w:trHeight w:val="1175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dde1eb" w:space="0" w:sz="5" w:val="single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2F">
            <w:pPr>
              <w:bidi w:val="1"/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</w:rPr>
            </w:pPr>
            <w:r w:rsidDel="00000000" w:rsidR="00000000" w:rsidRPr="00000000">
              <w:rPr>
                <w:rtl w:val="0"/>
              </w:rPr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"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ויחשבה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עלי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לשכורה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"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dde1eb" w:space="0" w:sz="5" w:val="single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30">
            <w:pPr>
              <w:bidi w:val="1"/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איסור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תפילה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בשכרות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dde1eb" w:space="0" w:sz="5" w:val="single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31">
            <w:pPr>
              <w:bidi w:val="1"/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אדם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שיכור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אינו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רשאי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להתפלל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,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שכן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התפילה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דורשת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צלילות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דעת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וכובד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ראש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.</w:t>
            </w:r>
          </w:p>
        </w:tc>
      </w:tr>
      <w:tr>
        <w:trPr>
          <w:cantSplit w:val="0"/>
          <w:trHeight w:val="1175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dde1eb" w:space="0" w:sz="5" w:val="single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32">
            <w:pPr>
              <w:bidi w:val="1"/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</w:rPr>
            </w:pPr>
            <w:r w:rsidDel="00000000" w:rsidR="00000000" w:rsidRPr="00000000">
              <w:rPr>
                <w:rtl w:val="0"/>
              </w:rPr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"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אל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תתני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את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אמתך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..."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dde1eb" w:space="0" w:sz="5" w:val="single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33">
            <w:pPr>
              <w:bidi w:val="1"/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ניקוי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החשד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dde1eb" w:space="0" w:sz="5" w:val="single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34">
            <w:pPr>
              <w:bidi w:val="1"/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הנחשד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בדבר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שאין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בו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,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עליו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להוכיח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את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צדקתו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ולהסביר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את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מעשיו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.</w:t>
            </w:r>
          </w:p>
        </w:tc>
      </w:tr>
      <w:tr>
        <w:trPr>
          <w:cantSplit w:val="0"/>
          <w:trHeight w:val="815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dde1eb" w:space="0" w:sz="5" w:val="single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35">
            <w:pPr>
              <w:bidi w:val="1"/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</w:rPr>
            </w:pPr>
            <w:r w:rsidDel="00000000" w:rsidR="00000000" w:rsidRPr="00000000">
              <w:rPr>
                <w:rtl w:val="0"/>
              </w:rPr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"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לכי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לשלום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..."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dde1eb" w:space="0" w:sz="5" w:val="single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36">
            <w:pPr>
              <w:bidi w:val="1"/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ברכת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החושד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לשווא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dde1eb" w:space="0" w:sz="5" w:val="single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37">
            <w:pPr>
              <w:bidi w:val="1"/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אדם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שחשד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בחברו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בטעות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,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חייב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לפייסו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ולברכו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לאחר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שהתבררה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האמת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.</w:t>
            </w:r>
          </w:p>
        </w:tc>
      </w:tr>
      <w:tr>
        <w:trPr>
          <w:cantSplit w:val="0"/>
          <w:trHeight w:val="815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dde1eb" w:space="0" w:sz="5" w:val="single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38">
            <w:pPr>
              <w:bidi w:val="1"/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</w:rPr>
            </w:pPr>
            <w:r w:rsidDel="00000000" w:rsidR="00000000" w:rsidRPr="00000000">
              <w:rPr>
                <w:rtl w:val="0"/>
              </w:rPr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"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הניצבת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עמכה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בזה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"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dde1eb" w:space="0" w:sz="5" w:val="single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39">
            <w:pPr>
              <w:bidi w:val="1"/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עמידה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בתפילה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dde1eb" w:space="0" w:sz="5" w:val="single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3A">
            <w:pPr>
              <w:bidi w:val="1"/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המתפלל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חייב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לעמוד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,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ואסור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לשבת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בתוך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ד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'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אמות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של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אדם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המתפלל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.</w:t>
            </w:r>
          </w:p>
        </w:tc>
      </w:tr>
    </w:tbl>
    <w:p w:rsidR="00000000" w:rsidDel="00000000" w:rsidP="00000000" w:rsidRDefault="00000000" w:rsidRPr="00000000" w14:paraId="0000003B">
      <w:pPr>
        <w:bidi w:val="1"/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</w:rPr>
      </w:pP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0"/>
        </w:rPr>
        <w:t xml:space="preserve">[1, 4, 10, 15, 16]</w:t>
      </w:r>
    </w:p>
    <w:p w:rsidR="00000000" w:rsidDel="00000000" w:rsidP="00000000" w:rsidRDefault="00000000" w:rsidRPr="00000000" w14:paraId="0000003C">
      <w:pPr>
        <w:bidi w:val="1"/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</w:rPr>
      </w:pP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חנה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הנהיגה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גם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את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המושג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"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ריבוי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בתפילה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".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חז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"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דורשים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מהפסוק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"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והיה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כי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הרבתה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להתפלל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"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כי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כל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המרבה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בתפילה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נענה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.[8, 16]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אולם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,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קיימת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גם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דעה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המזהירה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כי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ריבוי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התפילה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וההתעקשות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חנה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הובילו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לכך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שימי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חייו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שמואל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קוצרו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,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שכן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היא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ביקשה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אותו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"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עד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עולם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",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וחמישים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שנה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(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חיי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לוי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)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נחשבו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"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עולם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".[8]</w:t>
      </w:r>
    </w:p>
    <w:p w:rsidR="00000000" w:rsidDel="00000000" w:rsidP="00000000" w:rsidRDefault="00000000" w:rsidRPr="00000000" w14:paraId="0000003D">
      <w:pPr>
        <w:bidi w:val="1"/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  <w:rtl w:val="1"/>
        </w:rPr>
        <w:t xml:space="preserve">תאולוגיה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  <w:rtl w:val="1"/>
        </w:rPr>
        <w:t xml:space="preserve">של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  <w:rtl w:val="1"/>
        </w:rPr>
        <w:t xml:space="preserve">התעוזה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  <w:rtl w:val="1"/>
        </w:rPr>
        <w:t xml:space="preserve">: "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  <w:rtl w:val="1"/>
        </w:rPr>
        <w:t xml:space="preserve">הטחת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  <w:rtl w:val="1"/>
        </w:rPr>
        <w:t xml:space="preserve">דברים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  <w:rtl w:val="1"/>
        </w:rPr>
        <w:t xml:space="preserve">כלפי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  <w:rtl w:val="1"/>
        </w:rPr>
        <w:t xml:space="preserve">מעלה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  <w:rtl w:val="1"/>
        </w:rPr>
        <w:t xml:space="preserve">"</w:t>
      </w:r>
    </w:p>
    <w:p w:rsidR="00000000" w:rsidDel="00000000" w:rsidP="00000000" w:rsidRDefault="00000000" w:rsidRPr="00000000" w14:paraId="0000003E">
      <w:pPr>
        <w:bidi w:val="1"/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</w:rPr>
      </w:pP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אחד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ההיבטים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המרתקים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במשנתה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חנה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הוא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תעוזתה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התאולוגית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.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חנה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היא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הדמות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הראשונה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במקרא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שפונה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לאלוהים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בשם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"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'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צבאות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".[2]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חז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"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מסבירים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כי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חנה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טענה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בפני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הבורא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: "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ריבונו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עולם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,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מכל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צבאי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צבאות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שבראת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בעולמך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,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קשה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בעיניך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לתת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בן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אחד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?".[17]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היא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השתמשה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במשל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למלך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שערך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סעודה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גדולה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,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ועני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אחד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בא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וביקש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פרוסה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קטנה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–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אין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זו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טרחה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למלך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להעניק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אותה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.[10, 17]</w:t>
      </w:r>
    </w:p>
    <w:p w:rsidR="00000000" w:rsidDel="00000000" w:rsidP="00000000" w:rsidRDefault="00000000" w:rsidRPr="00000000" w14:paraId="0000003F">
      <w:pPr>
        <w:bidi w:val="1"/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</w:rPr>
      </w:pP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חנה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לא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רק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ביקשה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חסד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,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אלא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הטיחה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דברים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כלפי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מעלה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במובן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דרישת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צדק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ביולוגי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ורוחני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.[2, 10]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היא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הצביעה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על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גופה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ושאלה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: "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למה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בראת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דדים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אלו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אם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לא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כדי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להניק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בהם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?".[10, 17]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טיעון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זה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מייצג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תפיסה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שבה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הטבע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עצמו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הוא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עדות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לרצון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הבורא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,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ואם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הבורא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יצר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כלים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(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גוף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האישה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),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עליו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לאפשר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להם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למלא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את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תפקידם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.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משנתה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חנה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מלמדת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כי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התפילה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אינה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רק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כניעה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,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אלא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לעיתים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התעקשות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ודרישה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המבוססת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על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הבנת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המערכת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האלוהית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.[2]</w:t>
      </w:r>
    </w:p>
    <w:p w:rsidR="00000000" w:rsidDel="00000000" w:rsidP="00000000" w:rsidRDefault="00000000" w:rsidRPr="00000000" w14:paraId="00000040">
      <w:pPr>
        <w:bidi w:val="1"/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</w:rPr>
      </w:pP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הבחנה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חשובה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נוספת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במשנתה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היא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בין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"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ברכה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"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"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תפילה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".[18]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בעוד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שברכה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היא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המשכת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שפע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קיים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(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כמו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"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בריכה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"),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התפילה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שואפת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ליצור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רצון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חדש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במציאות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אצל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הבורא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.[18]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חנה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ביקשה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שינוי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הטבע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ממש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–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שאישה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עקרה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תלד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,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ולא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סתם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ילד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,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אלא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"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זרע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אנשים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",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צדיק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המוקדש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'.[18, 19]</w:t>
      </w:r>
    </w:p>
    <w:p w:rsidR="00000000" w:rsidDel="00000000" w:rsidP="00000000" w:rsidRDefault="00000000" w:rsidRPr="00000000" w14:paraId="00000041">
      <w:pPr>
        <w:bidi w:val="1"/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  <w:rtl w:val="1"/>
        </w:rPr>
        <w:t xml:space="preserve">שירת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  <w:rtl w:val="1"/>
        </w:rPr>
        <w:t xml:space="preserve">חנה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  <w:rtl w:val="1"/>
        </w:rPr>
        <w:t xml:space="preserve">: 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  <w:rtl w:val="1"/>
        </w:rPr>
        <w:t xml:space="preserve">המניפסט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  <w:rtl w:val="1"/>
        </w:rPr>
        <w:t xml:space="preserve">של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  <w:rtl w:val="1"/>
        </w:rPr>
        <w:t xml:space="preserve">המהפכה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  <w:rtl w:val="1"/>
        </w:rPr>
        <w:t xml:space="preserve">האלוהית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  <w:rtl w:val="1"/>
        </w:rPr>
        <w:t xml:space="preserve">והמלוכה</w:t>
      </w:r>
    </w:p>
    <w:p w:rsidR="00000000" w:rsidDel="00000000" w:rsidP="00000000" w:rsidRDefault="00000000" w:rsidRPr="00000000" w14:paraId="00000042">
      <w:pPr>
        <w:bidi w:val="1"/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</w:rPr>
      </w:pP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לאחר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הולדת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שמואל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וקיום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נדרה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להביאו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למשכן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,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נושאת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חנה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את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"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שירת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חנה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" (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שמואל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א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'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פרק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').[20]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שירה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זו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אינה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רק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שיר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הודיה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אישי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על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לידת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בן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;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זוהי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נבואה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קוסמית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ולאומית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המניחה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את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היסודות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לכל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ספר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שמואל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ולתפיסת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המלוכה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בישראל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.[5, 21]</w:t>
      </w:r>
    </w:p>
    <w:p w:rsidR="00000000" w:rsidDel="00000000" w:rsidP="00000000" w:rsidRDefault="00000000" w:rsidRPr="00000000" w14:paraId="00000043">
      <w:pPr>
        <w:bidi w:val="1"/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  <w:rtl w:val="1"/>
        </w:rPr>
        <w:t xml:space="preserve">עקרון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  <w:rtl w:val="1"/>
        </w:rPr>
        <w:t xml:space="preserve">ההיפוך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  <w:rtl w:val="1"/>
        </w:rPr>
        <w:t xml:space="preserve"> (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  <w:rtl w:val="0"/>
        </w:rPr>
        <w:t xml:space="preserve">Reversal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  <w:rtl w:val="0"/>
        </w:rPr>
        <w:t xml:space="preserve">of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  <w:rtl w:val="0"/>
        </w:rPr>
        <w:t xml:space="preserve">Fortune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  <w:rtl w:val="1"/>
        </w:rPr>
        <w:t xml:space="preserve">)</w:t>
      </w:r>
    </w:p>
    <w:p w:rsidR="00000000" w:rsidDel="00000000" w:rsidP="00000000" w:rsidRDefault="00000000" w:rsidRPr="00000000" w14:paraId="00000044">
      <w:pPr>
        <w:bidi w:val="1"/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</w:rPr>
      </w:pP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לב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השירה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הוא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ההכרה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בריבונות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המוחלטת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אלוהים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המנהיג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את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העולם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באמצעות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תמורות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והיפוכים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.[5, 7, 21]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חנה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מתארת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עולם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שבו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הכוח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האנושי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הוא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אשליה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: "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קשת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גיבורים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חתים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ונכשלים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אזרו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חיל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".[20]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היא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מדברת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על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הצדק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האלוהי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המרומם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את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המוחלשים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ומשפיל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את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הגאוותנים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:</w:t>
      </w:r>
    </w:p>
    <w:p w:rsidR="00000000" w:rsidDel="00000000" w:rsidP="00000000" w:rsidRDefault="00000000" w:rsidRPr="00000000" w14:paraId="00000045">
      <w:pPr>
        <w:numPr>
          <w:ilvl w:val="0"/>
          <w:numId w:val="3"/>
        </w:numPr>
        <w:bidi w:val="1"/>
        <w:spacing w:after="0" w:afterAutospacing="0" w:lineRule="auto"/>
        <w:ind w:left="720" w:hanging="360"/>
        <w:rPr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4"/>
          <w:szCs w:val="24"/>
          <w:highlight w:val="white"/>
          <w:rtl w:val="1"/>
        </w:rPr>
        <w:t xml:space="preserve">רעב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4"/>
          <w:szCs w:val="24"/>
          <w:highlight w:val="white"/>
          <w:rtl w:val="1"/>
        </w:rPr>
        <w:t xml:space="preserve">ושובע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4"/>
          <w:szCs w:val="24"/>
          <w:highlight w:val="white"/>
          <w:rtl w:val="1"/>
        </w:rPr>
        <w:t xml:space="preserve">:</w:t>
      </w:r>
      <w:r w:rsidDel="00000000" w:rsidR="00000000" w:rsidRPr="00000000">
        <w:rPr>
          <w:rtl w:val="0"/>
        </w:rPr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"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שבעים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בלחם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נשכרו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ורעבים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חדלו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".[20]</w:t>
      </w:r>
    </w:p>
    <w:p w:rsidR="00000000" w:rsidDel="00000000" w:rsidP="00000000" w:rsidRDefault="00000000" w:rsidRPr="00000000" w14:paraId="00000046">
      <w:pPr>
        <w:numPr>
          <w:ilvl w:val="0"/>
          <w:numId w:val="3"/>
        </w:numPr>
        <w:bidi w:val="1"/>
        <w:spacing w:after="0" w:afterAutospacing="0" w:lineRule="auto"/>
        <w:ind w:left="720" w:hanging="360"/>
        <w:rPr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4"/>
          <w:szCs w:val="24"/>
          <w:highlight w:val="white"/>
          <w:rtl w:val="1"/>
        </w:rPr>
        <w:t xml:space="preserve">חיים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4"/>
          <w:szCs w:val="24"/>
          <w:highlight w:val="white"/>
          <w:rtl w:val="1"/>
        </w:rPr>
        <w:t xml:space="preserve">ומוות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4"/>
          <w:szCs w:val="24"/>
          <w:highlight w:val="white"/>
          <w:rtl w:val="1"/>
        </w:rPr>
        <w:t xml:space="preserve">:</w:t>
      </w:r>
      <w:r w:rsidDel="00000000" w:rsidR="00000000" w:rsidRPr="00000000">
        <w:rPr>
          <w:rtl w:val="0"/>
        </w:rPr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"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'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ממית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ומחיה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מוריד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שאול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ויעל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".[20]</w:t>
      </w:r>
    </w:p>
    <w:p w:rsidR="00000000" w:rsidDel="00000000" w:rsidP="00000000" w:rsidRDefault="00000000" w:rsidRPr="00000000" w14:paraId="00000047">
      <w:pPr>
        <w:numPr>
          <w:ilvl w:val="0"/>
          <w:numId w:val="3"/>
        </w:numPr>
        <w:bidi w:val="1"/>
        <w:spacing w:after="180" w:lineRule="auto"/>
        <w:ind w:left="720" w:hanging="360"/>
        <w:rPr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4"/>
          <w:szCs w:val="24"/>
          <w:highlight w:val="white"/>
          <w:rtl w:val="1"/>
        </w:rPr>
        <w:t xml:space="preserve">עושר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4"/>
          <w:szCs w:val="24"/>
          <w:highlight w:val="white"/>
          <w:rtl w:val="1"/>
        </w:rPr>
        <w:t xml:space="preserve">ועוני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4"/>
          <w:szCs w:val="24"/>
          <w:highlight w:val="white"/>
          <w:rtl w:val="1"/>
        </w:rPr>
        <w:t xml:space="preserve">:</w:t>
      </w:r>
      <w:r w:rsidDel="00000000" w:rsidR="00000000" w:rsidRPr="00000000">
        <w:rPr>
          <w:rtl w:val="0"/>
        </w:rPr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"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'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מוריש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ומעשיר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משפיל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אף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מרומם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".[20, 22]</w:t>
      </w:r>
    </w:p>
    <w:p w:rsidR="00000000" w:rsidDel="00000000" w:rsidP="00000000" w:rsidRDefault="00000000" w:rsidRPr="00000000" w14:paraId="00000048">
      <w:pPr>
        <w:bidi w:val="1"/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</w:rPr>
      </w:pP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הנבואה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חנה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מזהירה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את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בעלי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הכוח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("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אל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תרבו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תדברו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גבוהה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גבוהה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")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ומציעה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תקווה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לאלו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הנמצאים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"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אשפתות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".[20, 21]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היא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מלמדת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כי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ההיסטוריה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אינה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נקבעת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על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ידי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עוצמה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צבאית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או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כלכלית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,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אלא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על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ידי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"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אל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דעות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'"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השוקל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את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מעשי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בני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האדם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.[5, 20]</w:t>
      </w:r>
    </w:p>
    <w:p w:rsidR="00000000" w:rsidDel="00000000" w:rsidP="00000000" w:rsidRDefault="00000000" w:rsidRPr="00000000" w14:paraId="00000049">
      <w:pPr>
        <w:bidi w:val="1"/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  <w:rtl w:val="1"/>
        </w:rPr>
        <w:t xml:space="preserve">הבשורה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  <w:rtl w:val="1"/>
        </w:rPr>
        <w:t xml:space="preserve">המשיחית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  <w:rtl w:val="1"/>
        </w:rPr>
        <w:t xml:space="preserve">והמלוכה</w:t>
      </w:r>
    </w:p>
    <w:p w:rsidR="00000000" w:rsidDel="00000000" w:rsidP="00000000" w:rsidRDefault="00000000" w:rsidRPr="00000000" w14:paraId="0000004A">
      <w:pPr>
        <w:bidi w:val="1"/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</w:rPr>
      </w:pP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חנה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היא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הראשונה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שמתנבאת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על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מושג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המשיחיות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והמלוכה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במובנם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הלאומי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.[5, 23]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השירה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מסתיימת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במילים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: "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ויתן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עוז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למלכו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וירם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קרן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משיחו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".[20, 22]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בתקופה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שבה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לא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היה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מלך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בישראל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,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חנה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חזתה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את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הצורך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בהנהגה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ריכוזית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שתהיה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כפופה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לחוק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האלוהי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.[5]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חז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"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רואים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בשירה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זו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נבואה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מפורשת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על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שאול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ודוד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.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חנה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הבחינה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בין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משיחת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שאול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ויהוא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שנעשתה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"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פך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" (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כלי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שביר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,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המסמל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מלכות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זמנית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)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לבין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משיחת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דוד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ושלמה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שנעשתה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"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קרן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" (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כלי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חזק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ונצחי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).[24]</w:t>
      </w:r>
    </w:p>
    <w:tbl>
      <w:tblPr>
        <w:tblStyle w:val="Table3"/>
        <w:bidiVisual w:val="1"/>
        <w:tblW w:w="10290.0" w:type="dxa"/>
        <w:jc w:val="left"/>
        <w:tblBorders>
          <w:top w:color="000000" w:space="0" w:sz="0" w:val="nil"/>
          <w:left w:color="000000" w:space="0" w:sz="0" w:val="nil"/>
          <w:bottom w:color="000000" w:space="0" w:sz="0" w:val="nil"/>
          <w:right w:color="000000" w:space="0" w:sz="0" w:val="nil"/>
          <w:insideH w:color="000000" w:space="0" w:sz="0" w:val="nil"/>
          <w:insideV w:color="000000" w:space="0" w:sz="0" w:val="nil"/>
        </w:tblBorders>
        <w:tblLayout w:type="fixed"/>
        <w:tblLook w:val="0600"/>
      </w:tblPr>
      <w:tblGrid>
        <w:gridCol w:w="2060"/>
        <w:gridCol w:w="4025"/>
        <w:gridCol w:w="4205"/>
        <w:tblGridChange w:id="0">
          <w:tblGrid>
            <w:gridCol w:w="2060"/>
            <w:gridCol w:w="4025"/>
            <w:gridCol w:w="4205"/>
          </w:tblGrid>
        </w:tblGridChange>
      </w:tblGrid>
      <w:tr>
        <w:trPr>
          <w:cantSplit w:val="0"/>
          <w:trHeight w:val="800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919191" w:space="0" w:sz="5" w:val="single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4B">
            <w:pPr>
              <w:bidi w:val="1"/>
              <w:jc w:val="center"/>
              <w:rPr>
                <w:rFonts w:ascii="Times New Roman" w:cs="Times New Roman" w:eastAsia="Times New Roman" w:hAnsi="Times New Roman"/>
                <w:b w:val="1"/>
                <w:bCs w:val="1"/>
                <w:color w:val="1b1b1c"/>
                <w:sz w:val="24"/>
                <w:szCs w:val="24"/>
                <w:highlight w:val="white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color w:val="1b1b1c"/>
                <w:sz w:val="24"/>
                <w:szCs w:val="24"/>
                <w:highlight w:val="white"/>
                <w:rtl w:val="1"/>
              </w:rPr>
              <w:t xml:space="preserve">נושא</w:t>
            </w: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color w:val="1b1b1c"/>
                <w:sz w:val="24"/>
                <w:szCs w:val="24"/>
                <w:highlight w:val="white"/>
                <w:rtl w:val="1"/>
              </w:rPr>
              <w:t xml:space="preserve">בשירה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919191" w:space="0" w:sz="5" w:val="single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4C">
            <w:pPr>
              <w:bidi w:val="1"/>
              <w:jc w:val="center"/>
              <w:rPr>
                <w:rFonts w:ascii="Times New Roman" w:cs="Times New Roman" w:eastAsia="Times New Roman" w:hAnsi="Times New Roman"/>
                <w:b w:val="1"/>
                <w:bCs w:val="1"/>
                <w:color w:val="1b1b1c"/>
                <w:sz w:val="24"/>
                <w:szCs w:val="24"/>
                <w:highlight w:val="white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color w:val="1b1b1c"/>
                <w:sz w:val="24"/>
                <w:szCs w:val="24"/>
                <w:highlight w:val="white"/>
                <w:rtl w:val="1"/>
              </w:rPr>
              <w:t xml:space="preserve">תוכן</w:t>
            </w: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color w:val="1b1b1c"/>
                <w:sz w:val="24"/>
                <w:szCs w:val="24"/>
                <w:highlight w:val="white"/>
                <w:rtl w:val="1"/>
              </w:rPr>
              <w:t xml:space="preserve">הנבואה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919191" w:space="0" w:sz="5" w:val="single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4D">
            <w:pPr>
              <w:bidi w:val="1"/>
              <w:jc w:val="center"/>
              <w:rPr>
                <w:rFonts w:ascii="Times New Roman" w:cs="Times New Roman" w:eastAsia="Times New Roman" w:hAnsi="Times New Roman"/>
                <w:b w:val="1"/>
                <w:bCs w:val="1"/>
                <w:color w:val="1b1b1c"/>
                <w:sz w:val="24"/>
                <w:szCs w:val="24"/>
                <w:highlight w:val="white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color w:val="1b1b1c"/>
                <w:sz w:val="24"/>
                <w:szCs w:val="24"/>
                <w:highlight w:val="white"/>
                <w:rtl w:val="1"/>
              </w:rPr>
              <w:t xml:space="preserve">משמעות</w:t>
            </w: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color w:val="1b1b1c"/>
                <w:sz w:val="24"/>
                <w:szCs w:val="24"/>
                <w:highlight w:val="white"/>
                <w:rtl w:val="1"/>
              </w:rPr>
              <w:t xml:space="preserve">פוליטית</w:t>
            </w: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color w:val="1b1b1c"/>
                <w:sz w:val="24"/>
                <w:szCs w:val="24"/>
                <w:highlight w:val="white"/>
                <w:rtl w:val="1"/>
              </w:rPr>
              <w:t xml:space="preserve">/</w:t>
            </w: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color w:val="1b1b1c"/>
                <w:sz w:val="24"/>
                <w:szCs w:val="24"/>
                <w:highlight w:val="white"/>
                <w:rtl w:val="1"/>
              </w:rPr>
              <w:t xml:space="preserve">חברתית</w:t>
            </w:r>
          </w:p>
        </w:tc>
      </w:tr>
      <w:tr>
        <w:trPr>
          <w:cantSplit w:val="0"/>
          <w:trHeight w:val="815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dde1eb" w:space="0" w:sz="5" w:val="single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4E">
            <w:pPr>
              <w:bidi w:val="1"/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ריבונות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האל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dde1eb" w:space="0" w:sz="5" w:val="single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4F">
            <w:pPr>
              <w:bidi w:val="1"/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</w:rPr>
            </w:pPr>
            <w:r w:rsidDel="00000000" w:rsidR="00000000" w:rsidRPr="00000000">
              <w:rPr>
                <w:rtl w:val="0"/>
              </w:rPr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"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אין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צור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כאלהינו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" [20]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dde1eb" w:space="0" w:sz="5" w:val="single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50">
            <w:pPr>
              <w:bidi w:val="1"/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ערעור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על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סמכויות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אנושיות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מוחלטות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וקבועו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ֹ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ת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.</w:t>
            </w:r>
          </w:p>
        </w:tc>
      </w:tr>
      <w:tr>
        <w:trPr>
          <w:cantSplit w:val="0"/>
          <w:trHeight w:val="815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dde1eb" w:space="0" w:sz="5" w:val="single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51">
            <w:pPr>
              <w:bidi w:val="1"/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התהפכות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הגורל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dde1eb" w:space="0" w:sz="5" w:val="single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52">
            <w:pPr>
              <w:bidi w:val="1"/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</w:rPr>
            </w:pPr>
            <w:r w:rsidDel="00000000" w:rsidR="00000000" w:rsidRPr="00000000">
              <w:rPr>
                <w:rtl w:val="0"/>
              </w:rPr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"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עד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עקרה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ילדה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שבעה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..." [20]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dde1eb" w:space="0" w:sz="5" w:val="single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53">
            <w:pPr>
              <w:bidi w:val="1"/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ניצחון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החלשים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על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המערכות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המדכאות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אותם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.</w:t>
            </w:r>
          </w:p>
        </w:tc>
      </w:tr>
      <w:tr>
        <w:trPr>
          <w:cantSplit w:val="0"/>
          <w:trHeight w:val="815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dde1eb" w:space="0" w:sz="5" w:val="single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54">
            <w:pPr>
              <w:bidi w:val="1"/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צדק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חברתי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dde1eb" w:space="0" w:sz="5" w:val="single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55">
            <w:pPr>
              <w:bidi w:val="1"/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</w:rPr>
            </w:pPr>
            <w:r w:rsidDel="00000000" w:rsidR="00000000" w:rsidRPr="00000000">
              <w:rPr>
                <w:rtl w:val="0"/>
              </w:rPr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"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מקים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מעפר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דל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...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להושיב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עם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נדיבים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" [20]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dde1eb" w:space="0" w:sz="5" w:val="single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56">
            <w:pPr>
              <w:bidi w:val="1"/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דחיית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האוליגרכיה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וקבלת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מנהיגות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מתוך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דלות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.</w:t>
            </w:r>
          </w:p>
        </w:tc>
      </w:tr>
      <w:tr>
        <w:trPr>
          <w:cantSplit w:val="0"/>
          <w:trHeight w:val="815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dde1eb" w:space="0" w:sz="5" w:val="single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57">
            <w:pPr>
              <w:bidi w:val="1"/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שלטון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החוק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האלוהי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dde1eb" w:space="0" w:sz="5" w:val="single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58">
            <w:pPr>
              <w:bidi w:val="1"/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</w:rPr>
            </w:pPr>
            <w:r w:rsidDel="00000000" w:rsidR="00000000" w:rsidRPr="00000000">
              <w:rPr>
                <w:rtl w:val="0"/>
              </w:rPr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"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ה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'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ידין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אפסי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ארץ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" [20]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dde1eb" w:space="0" w:sz="5" w:val="single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59">
            <w:pPr>
              <w:bidi w:val="1"/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כפיפות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המנהיג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האנושי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לשיפוט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טרנסצנדנטי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.</w:t>
            </w:r>
          </w:p>
        </w:tc>
      </w:tr>
      <w:tr>
        <w:trPr>
          <w:cantSplit w:val="0"/>
          <w:trHeight w:val="815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dde1eb" w:space="0" w:sz="5" w:val="single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5A">
            <w:pPr>
              <w:bidi w:val="1"/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משיחיות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dde1eb" w:space="0" w:sz="5" w:val="single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5B">
            <w:pPr>
              <w:bidi w:val="1"/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</w:rPr>
            </w:pPr>
            <w:r w:rsidDel="00000000" w:rsidR="00000000" w:rsidRPr="00000000">
              <w:rPr>
                <w:rtl w:val="0"/>
              </w:rPr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"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וירם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קרן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משיחו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" [20]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dde1eb" w:space="0" w:sz="5" w:val="single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5C">
            <w:pPr>
              <w:bidi w:val="1"/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כינון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מודל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המלוכה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כחלק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מהתוכנית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האלוהית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.</w:t>
            </w:r>
          </w:p>
        </w:tc>
      </w:tr>
    </w:tbl>
    <w:p w:rsidR="00000000" w:rsidDel="00000000" w:rsidP="00000000" w:rsidRDefault="00000000" w:rsidRPr="00000000" w14:paraId="0000005D">
      <w:pPr>
        <w:bidi w:val="1"/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</w:rPr>
      </w:pP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0"/>
        </w:rPr>
        <w:t xml:space="preserve">[5, 20, 21, 22, 23]</w:t>
      </w:r>
    </w:p>
    <w:p w:rsidR="00000000" w:rsidDel="00000000" w:rsidP="00000000" w:rsidRDefault="00000000" w:rsidRPr="00000000" w14:paraId="0000005E">
      <w:pPr>
        <w:bidi w:val="1"/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  <w:rtl w:val="1"/>
        </w:rPr>
        <w:t xml:space="preserve">שמואל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  <w:rtl w:val="1"/>
        </w:rPr>
        <w:t xml:space="preserve">הנביא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  <w:rtl w:val="1"/>
        </w:rPr>
        <w:t xml:space="preserve">: 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  <w:rtl w:val="1"/>
        </w:rPr>
        <w:t xml:space="preserve">הבן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  <w:rtl w:val="1"/>
        </w:rPr>
        <w:t xml:space="preserve">ה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  <w:rtl w:val="1"/>
        </w:rPr>
        <w:t xml:space="preserve">"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  <w:rtl w:val="1"/>
        </w:rPr>
        <w:t xml:space="preserve">מושאל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  <w:rtl w:val="1"/>
        </w:rPr>
        <w:t xml:space="preserve">" 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  <w:rtl w:val="1"/>
        </w:rPr>
        <w:t xml:space="preserve">והמעיל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  <w:rtl w:val="1"/>
        </w:rPr>
        <w:t xml:space="preserve">הקטן</w:t>
      </w:r>
    </w:p>
    <w:p w:rsidR="00000000" w:rsidDel="00000000" w:rsidP="00000000" w:rsidRDefault="00000000" w:rsidRPr="00000000" w14:paraId="0000005F">
      <w:pPr>
        <w:bidi w:val="1"/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</w:rPr>
      </w:pP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חנה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העניקה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לבנה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את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השם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שמואל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,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אותו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היא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דורשת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מלשון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"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שאול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מא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-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".[9]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זהו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מושג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יסודי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במשנתה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החינוכית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: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הילד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אינו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רכושם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ההורים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,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אלא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פיקדון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שניתן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להם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כדי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שיכינו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אותו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לשליחותו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הציבורית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.[14, 25]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חנה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קיימה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את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נדרה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ומסרה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את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שמואל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למשכן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שילה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מיד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עם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גמילתו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(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בגיל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שנתיים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או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שנתיים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וחצי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).[8, 9]</w:t>
      </w:r>
    </w:p>
    <w:p w:rsidR="00000000" w:rsidDel="00000000" w:rsidP="00000000" w:rsidRDefault="00000000" w:rsidRPr="00000000" w14:paraId="00000060">
      <w:pPr>
        <w:bidi w:val="1"/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</w:rPr>
      </w:pP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פועלה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חנה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לאחר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מסירת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בנה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מתבטא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"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מעיל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הקטן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"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שהייתה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מכינה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מדי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שנה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.[1, 9]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המעיל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אינו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רק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בגד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פיזי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;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הוא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סמל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לקשר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הרוחני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המתמשך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בין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האם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לבנה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ולזהותו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הייחודית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שמואל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.[14]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המעיל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מייצג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את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צמיחתו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שמואל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–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בכל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שנה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גדל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המעיל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,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ובכל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שנה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גדל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שמואל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במעלות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הנבואה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.[14]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חז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"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מציינים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כי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המעיל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הזה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ליווה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את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שמואל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כל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חייו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,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ואפילו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לאחר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מותו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,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כשעלתה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דמותו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בסיאנס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בעלת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האוב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עבור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שאול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,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הוא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זוהה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על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פי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המעיל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שלו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.[9]</w:t>
      </w:r>
    </w:p>
    <w:p w:rsidR="00000000" w:rsidDel="00000000" w:rsidP="00000000" w:rsidRDefault="00000000" w:rsidRPr="00000000" w14:paraId="00000061">
      <w:pPr>
        <w:bidi w:val="1"/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</w:rPr>
      </w:pP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ההתמסרות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חנה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לשליחות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בנה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הייתה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טוטאלית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.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היא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ויתרה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על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"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הנאת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הגידול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"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לטובת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הייעוד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הלאומי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.[13, 14]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המלבי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"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מסביר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כי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חנה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ביקשה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ששמואל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יהיה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שונה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משאר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הלויים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בשלושה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דברים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: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שיהיה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נזיר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,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שיהיה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מוקדש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'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מנעוריו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המוקדמים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ביותר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,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ושיהיה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נביא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שמשרת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את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'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באופן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ישיר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.[8]</w:t>
      </w:r>
    </w:p>
    <w:p w:rsidR="00000000" w:rsidDel="00000000" w:rsidP="00000000" w:rsidRDefault="00000000" w:rsidRPr="00000000" w14:paraId="00000062">
      <w:pPr>
        <w:bidi w:val="1"/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  <w:rtl w:val="1"/>
        </w:rPr>
        <w:t xml:space="preserve">מורשתה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  <w:rtl w:val="1"/>
        </w:rPr>
        <w:t xml:space="preserve">הליטורגית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  <w:rtl w:val="1"/>
        </w:rPr>
        <w:t xml:space="preserve">והרוחנית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  <w:rtl w:val="1"/>
        </w:rPr>
        <w:t xml:space="preserve">של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  <w:rtl w:val="1"/>
        </w:rPr>
        <w:t xml:space="preserve">חנה</w:t>
      </w:r>
    </w:p>
    <w:p w:rsidR="00000000" w:rsidDel="00000000" w:rsidP="00000000" w:rsidRDefault="00000000" w:rsidRPr="00000000" w14:paraId="00000063">
      <w:pPr>
        <w:bidi w:val="1"/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</w:rPr>
      </w:pP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חנה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נחשבת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"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אם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התפילות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"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ומקומה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בסידור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התפילה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ובחגים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המרכזיים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הוא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בלתי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מעורער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.[22]</w:t>
      </w:r>
    </w:p>
    <w:p w:rsidR="00000000" w:rsidDel="00000000" w:rsidP="00000000" w:rsidRDefault="00000000" w:rsidRPr="00000000" w14:paraId="00000064">
      <w:pPr>
        <w:numPr>
          <w:ilvl w:val="0"/>
          <w:numId w:val="2"/>
        </w:numPr>
        <w:bidi w:val="1"/>
        <w:spacing w:after="0" w:afterAutospacing="0" w:lineRule="auto"/>
        <w:ind w:left="720" w:hanging="360"/>
        <w:rPr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4"/>
          <w:szCs w:val="24"/>
          <w:highlight w:val="white"/>
          <w:rtl w:val="1"/>
        </w:rPr>
        <w:t xml:space="preserve">ראש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4"/>
          <w:szCs w:val="24"/>
          <w:highlight w:val="white"/>
          <w:rtl w:val="1"/>
        </w:rPr>
        <w:t xml:space="preserve">השנה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4"/>
          <w:szCs w:val="24"/>
          <w:highlight w:val="white"/>
          <w:rtl w:val="1"/>
        </w:rPr>
        <w:t xml:space="preserve">:</w:t>
      </w:r>
      <w:r w:rsidDel="00000000" w:rsidR="00000000" w:rsidRPr="00000000">
        <w:rPr>
          <w:rtl w:val="0"/>
        </w:rPr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חנה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נפקדה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בראש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השנה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,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ולכן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סיפורה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הוא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ההפטרה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היום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הראשון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החג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.[2, 9]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תשע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הברכות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תפילת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המוסף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ראש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השנה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הותקנו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כנגד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תשע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האזכרות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'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שאמרה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חנה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בתפילתה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.[26]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חנה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מייצגת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את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הרעיון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"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זיכרון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"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"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פקידה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" –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הקדוש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ברוך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הוא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זוכר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את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היחיד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בתוך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הכלל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.[2]</w:t>
      </w:r>
    </w:p>
    <w:p w:rsidR="00000000" w:rsidDel="00000000" w:rsidP="00000000" w:rsidRDefault="00000000" w:rsidRPr="00000000" w14:paraId="00000065">
      <w:pPr>
        <w:numPr>
          <w:ilvl w:val="0"/>
          <w:numId w:val="2"/>
        </w:numPr>
        <w:bidi w:val="1"/>
        <w:spacing w:after="0" w:afterAutospacing="0" w:lineRule="auto"/>
        <w:ind w:left="720" w:hanging="360"/>
        <w:rPr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4"/>
          <w:szCs w:val="24"/>
          <w:highlight w:val="white"/>
          <w:rtl w:val="1"/>
        </w:rPr>
        <w:t xml:space="preserve">תפילת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4"/>
          <w:szCs w:val="24"/>
          <w:highlight w:val="white"/>
          <w:rtl w:val="1"/>
        </w:rPr>
        <w:t xml:space="preserve">שחרית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4"/>
          <w:szCs w:val="24"/>
          <w:highlight w:val="white"/>
          <w:rtl w:val="1"/>
        </w:rPr>
        <w:t xml:space="preserve">:</w:t>
      </w:r>
      <w:r w:rsidDel="00000000" w:rsidR="00000000" w:rsidRPr="00000000">
        <w:rPr>
          <w:rtl w:val="0"/>
        </w:rPr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בקהילות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ספרד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נהוג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לומר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את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"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תפילת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חנה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"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בכל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בוקר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לפני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שחרית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.[22]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הטעם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לכך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על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פי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הקבלה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הוא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שבפסוקי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השירה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חנה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טמון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כוח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"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לכרות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את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החיצונים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" –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להסיר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את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המחסומים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הרוחניים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המונעים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מהתפילה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להתקבל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.[22]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המילים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"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'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יחתו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מריביו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"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נחשבות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לסגולה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נגד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מקטרגים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רוחניים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.</w:t>
      </w:r>
    </w:p>
    <w:p w:rsidR="00000000" w:rsidDel="00000000" w:rsidP="00000000" w:rsidRDefault="00000000" w:rsidRPr="00000000" w14:paraId="00000066">
      <w:pPr>
        <w:numPr>
          <w:ilvl w:val="0"/>
          <w:numId w:val="2"/>
        </w:numPr>
        <w:bidi w:val="1"/>
        <w:spacing w:after="180" w:lineRule="auto"/>
        <w:ind w:left="720" w:hanging="360"/>
        <w:rPr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4"/>
          <w:szCs w:val="24"/>
          <w:highlight w:val="white"/>
          <w:rtl w:val="1"/>
        </w:rPr>
        <w:t xml:space="preserve">מודל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4"/>
          <w:szCs w:val="24"/>
          <w:highlight w:val="white"/>
          <w:rtl w:val="1"/>
        </w:rPr>
        <w:t xml:space="preserve">למנהיגות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4"/>
          <w:szCs w:val="24"/>
          <w:highlight w:val="white"/>
          <w:rtl w:val="1"/>
        </w:rPr>
        <w:t xml:space="preserve">נשית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4"/>
          <w:szCs w:val="24"/>
          <w:highlight w:val="white"/>
          <w:rtl w:val="1"/>
        </w:rPr>
        <w:t xml:space="preserve">:</w:t>
      </w:r>
      <w:r w:rsidDel="00000000" w:rsidR="00000000" w:rsidRPr="00000000">
        <w:rPr>
          <w:rtl w:val="0"/>
        </w:rPr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חנה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נתפסת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כדמות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שפעלה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באופן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פרואקטיבי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(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0"/>
        </w:rPr>
        <w:t xml:space="preserve">Agency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)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כדי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לשנות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את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גורלה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ואת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גורל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עמה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.[14]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היא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לא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המתינה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לנס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פסיבי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,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אלא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יזמה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תהליך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תפילה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,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נדר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והקרבה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.[12]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משנתה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מלמדת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כי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דווקא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מתוך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המקום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"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שולי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"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וה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"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מוחלש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" (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עקרה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,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צרה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,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אישה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במערכת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פטריארכלית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),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ניתן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לחולל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את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השינויים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הגדולים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ביותר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בהיסטוריה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.[7, 27]</w:t>
      </w:r>
    </w:p>
    <w:p w:rsidR="00000000" w:rsidDel="00000000" w:rsidP="00000000" w:rsidRDefault="00000000" w:rsidRPr="00000000" w14:paraId="00000067">
      <w:pPr>
        <w:bidi w:val="1"/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  <w:rtl w:val="1"/>
        </w:rPr>
        <w:t xml:space="preserve">סיכום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  <w:rtl w:val="1"/>
        </w:rPr>
        <w:t xml:space="preserve">ומסקנות</w:t>
      </w:r>
    </w:p>
    <w:p w:rsidR="00000000" w:rsidDel="00000000" w:rsidP="00000000" w:rsidRDefault="00000000" w:rsidRPr="00000000" w14:paraId="00000068">
      <w:pPr>
        <w:bidi w:val="1"/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</w:rPr>
      </w:pP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פועלה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ומשנתה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חנה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הנביאה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עיצבו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מחדש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את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פני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היהדות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.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היא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העניקה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לעם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ישראל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את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שפת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התפילה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החרישית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,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את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ההבנה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שכוונת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הלב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היא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מרכז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העבודה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הדתית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,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ואת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החזון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המשיחי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מלוכה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המבוססת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על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צדק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והתהפכות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הגורל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.[4, 5]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שמואל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הנביא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,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בנה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,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היה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המימוש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הפיזי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תפילתה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,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אך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המורשת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הרוחנית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שהשאירה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–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היכולת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לעמוד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מול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הבורא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ביושר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,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בכאב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ובאמונה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–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שייכת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לכל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אדם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בכל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דור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.[6, 23]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חנה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לימדה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שאין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מצב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אבוד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,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"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'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ממית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ומחיה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",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וכי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הצעקה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הפנימית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היחיד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יכולה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להפוך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למזמור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הלאומי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אומה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שלמה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.[12, 20]</w:t>
      </w:r>
    </w:p>
    <w:p w:rsidR="00000000" w:rsidDel="00000000" w:rsidP="00000000" w:rsidRDefault="00000000" w:rsidRPr="00000000" w14:paraId="00000069">
      <w:pPr>
        <w:bidi w:val="1"/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</w:rPr>
      </w:pP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0"/>
        </w:rPr>
        <w:t xml:space="preserve">--------------------------------------------------------------------------------</w:t>
      </w:r>
    </w:p>
    <w:p w:rsidR="00000000" w:rsidDel="00000000" w:rsidP="00000000" w:rsidRDefault="00000000" w:rsidRPr="00000000" w14:paraId="0000006A">
      <w:pPr>
        <w:numPr>
          <w:ilvl w:val="0"/>
          <w:numId w:val="1"/>
        </w:numPr>
        <w:bidi w:val="1"/>
        <w:spacing w:after="0" w:afterAutospacing="0" w:lineRule="auto"/>
        <w:ind w:left="720" w:hanging="360"/>
        <w:rPr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חנה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–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ויקיפדיה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, </w:t>
      </w:r>
      <w:hyperlink r:id="rId6">
        <w:r w:rsidDel="00000000" w:rsidR="00000000" w:rsidRPr="00000000">
          <w:rPr>
            <w:rFonts w:ascii="Times New Roman" w:cs="Times New Roman" w:eastAsia="Times New Roman" w:hAnsi="Times New Roman"/>
            <w:color w:val="4259ff"/>
            <w:sz w:val="24"/>
            <w:szCs w:val="24"/>
            <w:highlight w:val="white"/>
            <w:u w:val="single"/>
            <w:rtl w:val="0"/>
          </w:rPr>
          <w:t xml:space="preserve">https://he.wikipedia.org/wiki/%D7%97%D7%A0%D7%94</w:t>
        </w:r>
      </w:hyperlink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6B">
      <w:pPr>
        <w:numPr>
          <w:ilvl w:val="0"/>
          <w:numId w:val="1"/>
        </w:numPr>
        <w:bidi w:val="1"/>
        <w:spacing w:after="0" w:afterAutospacing="0" w:lineRule="auto"/>
        <w:ind w:left="720" w:hanging="360"/>
        <w:rPr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0"/>
        </w:rPr>
        <w:t xml:space="preserve">Hannah | Texts from the Sefaria Library, </w:t>
      </w:r>
      <w:hyperlink r:id="rId7">
        <w:r w:rsidDel="00000000" w:rsidR="00000000" w:rsidRPr="00000000">
          <w:rPr>
            <w:rFonts w:ascii="Times New Roman" w:cs="Times New Roman" w:eastAsia="Times New Roman" w:hAnsi="Times New Roman"/>
            <w:color w:val="4259ff"/>
            <w:sz w:val="24"/>
            <w:szCs w:val="24"/>
            <w:highlight w:val="white"/>
            <w:u w:val="single"/>
            <w:rtl w:val="0"/>
          </w:rPr>
          <w:t xml:space="preserve">https://www.sefaria.org/topics/hannah</w:t>
        </w:r>
      </w:hyperlink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6C">
      <w:pPr>
        <w:numPr>
          <w:ilvl w:val="0"/>
          <w:numId w:val="1"/>
        </w:numPr>
        <w:bidi w:val="1"/>
        <w:spacing w:after="0" w:afterAutospacing="0" w:lineRule="auto"/>
        <w:ind w:left="720" w:hanging="360"/>
        <w:rPr>
          <w:sz w:val="24"/>
          <w:szCs w:val="24"/>
        </w:rPr>
      </w:pPr>
      <w:r w:rsidDel="00000000" w:rsidR="00000000" w:rsidRPr="00000000">
        <w:rPr>
          <w:rtl w:val="0"/>
        </w:rPr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15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עובדות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על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חנה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-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אימו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שמואל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הנביא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-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0"/>
        </w:rPr>
        <w:t xml:space="preserve">BeitChabad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0"/>
        </w:rPr>
        <w:t xml:space="preserve">.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0"/>
        </w:rPr>
        <w:t xml:space="preserve">com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-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בית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חבד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, </w:t>
      </w:r>
      <w:hyperlink r:id="rId8">
        <w:r w:rsidDel="00000000" w:rsidR="00000000" w:rsidRPr="00000000">
          <w:rPr>
            <w:rFonts w:ascii="Times New Roman" w:cs="Times New Roman" w:eastAsia="Times New Roman" w:hAnsi="Times New Roman"/>
            <w:color w:val="4259ff"/>
            <w:sz w:val="24"/>
            <w:szCs w:val="24"/>
            <w:highlight w:val="white"/>
            <w:u w:val="single"/>
            <w:rtl w:val="0"/>
          </w:rPr>
          <w:t xml:space="preserve">https://he.chabad.org/library/article_cdo/aid/6090747</w:t>
        </w:r>
      </w:hyperlink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6D">
      <w:pPr>
        <w:numPr>
          <w:ilvl w:val="0"/>
          <w:numId w:val="1"/>
        </w:numPr>
        <w:bidi w:val="1"/>
        <w:spacing w:after="0" w:afterAutospacing="0" w:lineRule="auto"/>
        <w:ind w:left="720" w:hanging="360"/>
        <w:rPr>
          <w:sz w:val="24"/>
          <w:szCs w:val="24"/>
        </w:rPr>
      </w:pPr>
      <w:r w:rsidDel="00000000" w:rsidR="00000000" w:rsidRPr="00000000">
        <w:rPr>
          <w:rtl w:val="0"/>
        </w:rPr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9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ֲ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ָ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כו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ֹ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ֶׁ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ַ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ַּ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ְ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ּ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ד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ֹ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ֵ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ד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ֵ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ח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ַ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נ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ָ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–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א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ֵ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ְׁ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ּ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א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ֵ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ַ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נ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ָּ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ִ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יא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-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בית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הספר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לתלמוד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, </w:t>
      </w:r>
      <w:hyperlink r:id="rId9">
        <w:r w:rsidDel="00000000" w:rsidR="00000000" w:rsidRPr="00000000">
          <w:rPr>
            <w:rFonts w:ascii="Times New Roman" w:cs="Times New Roman" w:eastAsia="Times New Roman" w:hAnsi="Times New Roman"/>
            <w:color w:val="4259ff"/>
            <w:sz w:val="24"/>
            <w:szCs w:val="24"/>
            <w:highlight w:val="white"/>
            <w:u w:val="single"/>
            <w:rtl w:val="0"/>
          </w:rPr>
          <w:t xml:space="preserve">https://thetalmud.wordpress.com/2017/07/13/9-%D7%94%D6%B2%D7%9C%D6%B8%D7%9B%D7%95%D6%B9%D7%AA-%D7%A9%D7%81%D6%B6%D7%94%D6%B7%D7%AA%D6%BC%D6%B7%D7%9C%D6%B0%D7%9E%D7%95%D6%BC%D7%93-%D7%9C%D7%95%D6%B9%D7%9E%D6%B5%D7%93-%D7%9E%D6%B5%D7%97%D6%B7/</w:t>
        </w:r>
      </w:hyperlink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6E">
      <w:pPr>
        <w:numPr>
          <w:ilvl w:val="0"/>
          <w:numId w:val="1"/>
        </w:numPr>
        <w:bidi w:val="1"/>
        <w:spacing w:after="0" w:afterAutospacing="0" w:lineRule="auto"/>
        <w:ind w:left="720" w:hanging="360"/>
        <w:rPr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0"/>
        </w:rPr>
        <w:t xml:space="preserve">The Theology of 1&amp;2 Samuel - Bible Study With Randy, </w:t>
      </w:r>
      <w:hyperlink r:id="rId10">
        <w:r w:rsidDel="00000000" w:rsidR="00000000" w:rsidRPr="00000000">
          <w:rPr>
            <w:rFonts w:ascii="Times New Roman" w:cs="Times New Roman" w:eastAsia="Times New Roman" w:hAnsi="Times New Roman"/>
            <w:color w:val="4259ff"/>
            <w:sz w:val="24"/>
            <w:szCs w:val="24"/>
            <w:highlight w:val="white"/>
            <w:u w:val="single"/>
            <w:rtl w:val="0"/>
          </w:rPr>
          <w:t xml:space="preserve">https://www.biblestudywithrandy.com/2019/08/the-theology-of-12-samuel/</w:t>
        </w:r>
      </w:hyperlink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6F">
      <w:pPr>
        <w:numPr>
          <w:ilvl w:val="0"/>
          <w:numId w:val="1"/>
        </w:numPr>
        <w:bidi w:val="1"/>
        <w:spacing w:after="0" w:afterAutospacing="0" w:lineRule="auto"/>
        <w:ind w:left="720" w:hanging="360"/>
        <w:rPr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0"/>
        </w:rPr>
        <w:t xml:space="preserve">The story of Hannah - Christian Today, </w:t>
      </w:r>
      <w:hyperlink r:id="rId11">
        <w:r w:rsidDel="00000000" w:rsidR="00000000" w:rsidRPr="00000000">
          <w:rPr>
            <w:rFonts w:ascii="Times New Roman" w:cs="Times New Roman" w:eastAsia="Times New Roman" w:hAnsi="Times New Roman"/>
            <w:color w:val="4259ff"/>
            <w:sz w:val="24"/>
            <w:szCs w:val="24"/>
            <w:highlight w:val="white"/>
            <w:u w:val="single"/>
            <w:rtl w:val="0"/>
          </w:rPr>
          <w:t xml:space="preserve">https://www.christiantoday.com/news/the-story-of-hannah</w:t>
        </w:r>
      </w:hyperlink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70">
      <w:pPr>
        <w:numPr>
          <w:ilvl w:val="0"/>
          <w:numId w:val="1"/>
        </w:numPr>
        <w:bidi w:val="1"/>
        <w:spacing w:after="0" w:afterAutospacing="0" w:lineRule="auto"/>
        <w:ind w:left="720" w:hanging="360"/>
        <w:rPr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0"/>
        </w:rPr>
        <w:t xml:space="preserve">Commentary on 1 Samuel 1:9-11, 19-20; 2:1-10 - Working Preacher from Luther Seminary, </w:t>
      </w:r>
      <w:hyperlink r:id="rId12">
        <w:r w:rsidDel="00000000" w:rsidR="00000000" w:rsidRPr="00000000">
          <w:rPr>
            <w:rFonts w:ascii="Times New Roman" w:cs="Times New Roman" w:eastAsia="Times New Roman" w:hAnsi="Times New Roman"/>
            <w:color w:val="4259ff"/>
            <w:sz w:val="24"/>
            <w:szCs w:val="24"/>
            <w:highlight w:val="white"/>
            <w:u w:val="single"/>
            <w:rtl w:val="0"/>
          </w:rPr>
          <w:t xml:space="preserve">https://www.workingpreacher.org/commentaries/narrative-lectionary/samuel/commentary-on-1-samuel-19-11-19-20-21-10-2</w:t>
        </w:r>
      </w:hyperlink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71">
      <w:pPr>
        <w:numPr>
          <w:ilvl w:val="0"/>
          <w:numId w:val="1"/>
        </w:numPr>
        <w:bidi w:val="1"/>
        <w:spacing w:after="0" w:afterAutospacing="0" w:lineRule="auto"/>
        <w:ind w:left="720" w:hanging="360"/>
        <w:rPr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שמואל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א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פרק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א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|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אוצר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התורה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-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לגלות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את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האוצר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שבתורה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, </w:t>
      </w:r>
      <w:hyperlink r:id="rId13">
        <w:r w:rsidDel="00000000" w:rsidR="00000000" w:rsidRPr="00000000">
          <w:rPr>
            <w:rFonts w:ascii="Times New Roman" w:cs="Times New Roman" w:eastAsia="Times New Roman" w:hAnsi="Times New Roman"/>
            <w:color w:val="4259ff"/>
            <w:sz w:val="24"/>
            <w:szCs w:val="24"/>
            <w:highlight w:val="white"/>
            <w:u w:val="single"/>
            <w:rtl w:val="0"/>
          </w:rPr>
          <w:t xml:space="preserve">https://www.otzar.org.il/%D7%91%D7%99%D7%AA-%D7%9E%D7%93%D7%A8%D7%A9/%D7%90%D7%95%D7%A6%D7%A8-%D7%94%D7%9E%D7%A7%D7%A8%D7%90-%D7%A2%D7%9C-%D7%94%D7%AA%D7%A0%D7%9A/%D7%90%D7%95%D7%A6%D7%A8-%D7%94%D7%9E%D7%A7%D7%A8%D7%90-%D7%9C%D7%A1%D7%A4%D7%A8%D7%99-%D7%94%D7%A0%D7%91%D7%99%D7%90%D7%99%D7%9D/%D7%A9%D7%9E%D7%95%D7%90%D7%9C-%D7%90/%D7%A4%D7%A8%D7%A7%D7%99%D7%9D-%D7%90-%D7%98/%D7%A9%D7%9E%D7%95%D7%90%D7%9C-%D7%90-%D7%A4%D7%A8%D7%A7-%D7%90</w:t>
        </w:r>
      </w:hyperlink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72">
      <w:pPr>
        <w:numPr>
          <w:ilvl w:val="0"/>
          <w:numId w:val="1"/>
        </w:numPr>
        <w:bidi w:val="1"/>
        <w:spacing w:after="0" w:afterAutospacing="0" w:lineRule="auto"/>
        <w:ind w:left="720" w:hanging="360"/>
        <w:rPr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סיפור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חייה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חנה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אם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שמואל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|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חב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"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ד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-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אור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אין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סוף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, </w:t>
      </w:r>
      <w:hyperlink r:id="rId14">
        <w:r w:rsidDel="00000000" w:rsidR="00000000" w:rsidRPr="00000000">
          <w:rPr>
            <w:rFonts w:ascii="Times New Roman" w:cs="Times New Roman" w:eastAsia="Times New Roman" w:hAnsi="Times New Roman"/>
            <w:color w:val="4259ff"/>
            <w:sz w:val="24"/>
            <w:szCs w:val="24"/>
            <w:highlight w:val="white"/>
            <w:u w:val="single"/>
            <w:rtl w:val="0"/>
          </w:rPr>
          <w:t xml:space="preserve">https://abc770.org/article_node_5115/</w:t>
        </w:r>
      </w:hyperlink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73">
      <w:pPr>
        <w:numPr>
          <w:ilvl w:val="0"/>
          <w:numId w:val="1"/>
        </w:numPr>
        <w:bidi w:val="1"/>
        <w:spacing w:after="0" w:afterAutospacing="0" w:lineRule="auto"/>
        <w:ind w:left="720" w:hanging="360"/>
        <w:rPr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0"/>
        </w:rPr>
        <w:t xml:space="preserve">Hannah: Midrash and Aggadah | Jewish Women's Archive, </w:t>
      </w:r>
      <w:hyperlink r:id="rId15">
        <w:r w:rsidDel="00000000" w:rsidR="00000000" w:rsidRPr="00000000">
          <w:rPr>
            <w:rFonts w:ascii="Times New Roman" w:cs="Times New Roman" w:eastAsia="Times New Roman" w:hAnsi="Times New Roman"/>
            <w:color w:val="4259ff"/>
            <w:sz w:val="24"/>
            <w:szCs w:val="24"/>
            <w:highlight w:val="white"/>
            <w:u w:val="single"/>
            <w:rtl w:val="0"/>
          </w:rPr>
          <w:t xml:space="preserve">https://jwa.org/encyclopedia/article/hannah-midrash-and-aggadah</w:t>
        </w:r>
      </w:hyperlink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74">
      <w:pPr>
        <w:numPr>
          <w:ilvl w:val="0"/>
          <w:numId w:val="1"/>
        </w:numPr>
        <w:bidi w:val="1"/>
        <w:spacing w:after="0" w:afterAutospacing="0" w:lineRule="auto"/>
        <w:ind w:left="720" w:hanging="360"/>
        <w:rPr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שמואל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א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–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פרק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א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-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טעמו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וראו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|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הרב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בועז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שלום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, </w:t>
      </w:r>
      <w:hyperlink r:id="rId16">
        <w:r w:rsidDel="00000000" w:rsidR="00000000" w:rsidRPr="00000000">
          <w:rPr>
            <w:rFonts w:ascii="Times New Roman" w:cs="Times New Roman" w:eastAsia="Times New Roman" w:hAnsi="Times New Roman"/>
            <w:color w:val="4259ff"/>
            <w:sz w:val="24"/>
            <w:szCs w:val="24"/>
            <w:highlight w:val="white"/>
            <w:u w:val="single"/>
            <w:rtl w:val="0"/>
          </w:rPr>
          <w:t xml:space="preserve">https://taamu.co.il/%D7%A9%D7%9E%D7%95%D7%90%D7%9C-%D7%90-%D7%A4%D7%A8%D7%A7-%D7%90/</w:t>
        </w:r>
      </w:hyperlink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75">
      <w:pPr>
        <w:numPr>
          <w:ilvl w:val="0"/>
          <w:numId w:val="1"/>
        </w:numPr>
        <w:bidi w:val="1"/>
        <w:spacing w:after="0" w:afterAutospacing="0" w:lineRule="auto"/>
        <w:ind w:left="720" w:hanging="360"/>
        <w:rPr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שופטים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כ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-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כא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-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שמואל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א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'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א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-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ג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: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תפילת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חנה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|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חיבורים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בספריא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, </w:t>
      </w:r>
      <w:hyperlink r:id="rId17">
        <w:r w:rsidDel="00000000" w:rsidR="00000000" w:rsidRPr="00000000">
          <w:rPr>
            <w:rFonts w:ascii="Times New Roman" w:cs="Times New Roman" w:eastAsia="Times New Roman" w:hAnsi="Times New Roman"/>
            <w:color w:val="4259ff"/>
            <w:sz w:val="24"/>
            <w:szCs w:val="24"/>
            <w:highlight w:val="white"/>
            <w:u w:val="single"/>
            <w:rtl w:val="0"/>
          </w:rPr>
          <w:t xml:space="preserve">https://www.sefaria.org.il/sheets/216891</w:t>
        </w:r>
      </w:hyperlink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76">
      <w:pPr>
        <w:numPr>
          <w:ilvl w:val="0"/>
          <w:numId w:val="1"/>
        </w:numPr>
        <w:bidi w:val="1"/>
        <w:spacing w:after="0" w:afterAutospacing="0" w:lineRule="auto"/>
        <w:ind w:left="720" w:hanging="360"/>
        <w:rPr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0"/>
        </w:rPr>
        <w:t xml:space="preserve">Hannah | My Jewish Learning, </w:t>
      </w:r>
      <w:hyperlink r:id="rId18">
        <w:r w:rsidDel="00000000" w:rsidR="00000000" w:rsidRPr="00000000">
          <w:rPr>
            <w:rFonts w:ascii="Times New Roman" w:cs="Times New Roman" w:eastAsia="Times New Roman" w:hAnsi="Times New Roman"/>
            <w:color w:val="4259ff"/>
            <w:sz w:val="24"/>
            <w:szCs w:val="24"/>
            <w:highlight w:val="white"/>
            <w:u w:val="single"/>
            <w:rtl w:val="0"/>
          </w:rPr>
          <w:t xml:space="preserve">https://www.myjewishlearning.com/article/hannah/</w:t>
        </w:r>
      </w:hyperlink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77">
      <w:pPr>
        <w:numPr>
          <w:ilvl w:val="0"/>
          <w:numId w:val="1"/>
        </w:numPr>
        <w:bidi w:val="1"/>
        <w:spacing w:after="0" w:afterAutospacing="0" w:lineRule="auto"/>
        <w:ind w:left="720" w:hanging="360"/>
        <w:rPr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0"/>
        </w:rPr>
        <w:t xml:space="preserve">“Sewing” Leadership, Kingdom and Agency - icjw.org, </w:t>
      </w:r>
      <w:hyperlink r:id="rId19">
        <w:r w:rsidDel="00000000" w:rsidR="00000000" w:rsidRPr="00000000">
          <w:rPr>
            <w:rFonts w:ascii="Times New Roman" w:cs="Times New Roman" w:eastAsia="Times New Roman" w:hAnsi="Times New Roman"/>
            <w:color w:val="4259ff"/>
            <w:sz w:val="24"/>
            <w:szCs w:val="24"/>
            <w:highlight w:val="white"/>
            <w:u w:val="single"/>
            <w:rtl w:val="0"/>
          </w:rPr>
          <w:t xml:space="preserve">https://icjw.org/online-learning/meditations/hannah/</w:t>
        </w:r>
      </w:hyperlink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78">
      <w:pPr>
        <w:numPr>
          <w:ilvl w:val="0"/>
          <w:numId w:val="1"/>
        </w:numPr>
        <w:bidi w:val="1"/>
        <w:spacing w:after="0" w:afterAutospacing="0" w:lineRule="auto"/>
        <w:ind w:left="720" w:hanging="360"/>
        <w:rPr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ביאור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שטיינזלץ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על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ברכות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״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א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א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: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יז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עם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הלכה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|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ספריית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ספריא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, </w:t>
      </w:r>
      <w:hyperlink r:id="rId20">
        <w:r w:rsidDel="00000000" w:rsidR="00000000" w:rsidRPr="00000000">
          <w:rPr>
            <w:rFonts w:ascii="Times New Roman" w:cs="Times New Roman" w:eastAsia="Times New Roman" w:hAnsi="Times New Roman"/>
            <w:color w:val="4259ff"/>
            <w:sz w:val="24"/>
            <w:szCs w:val="24"/>
            <w:highlight w:val="white"/>
            <w:u w:val="single"/>
            <w:rtl w:val="0"/>
          </w:rPr>
          <w:t xml:space="preserve">https://www.sefaria.org.il/Steinsaltz_on_Berakhot.31a.17?with=Halakhah</w:t>
        </w:r>
      </w:hyperlink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79">
      <w:pPr>
        <w:numPr>
          <w:ilvl w:val="0"/>
          <w:numId w:val="1"/>
        </w:numPr>
        <w:bidi w:val="1"/>
        <w:spacing w:after="0" w:afterAutospacing="0" w:lineRule="auto"/>
        <w:ind w:left="720" w:hanging="360"/>
        <w:rPr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ברכות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לא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א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-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ויקיטקסט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, </w:t>
      </w:r>
      <w:hyperlink r:id="rId21">
        <w:r w:rsidDel="00000000" w:rsidR="00000000" w:rsidRPr="00000000">
          <w:rPr>
            <w:rFonts w:ascii="Times New Roman" w:cs="Times New Roman" w:eastAsia="Times New Roman" w:hAnsi="Times New Roman"/>
            <w:color w:val="4259ff"/>
            <w:sz w:val="24"/>
            <w:szCs w:val="24"/>
            <w:highlight w:val="white"/>
            <w:u w:val="single"/>
            <w:rtl w:val="0"/>
          </w:rPr>
          <w:t xml:space="preserve">https://he.wikisource.org/wiki/%D7%91%D7%A8%D7%9B%D7%95%D7%AA_%D7%9C%D7%90_%D7%90</w:t>
        </w:r>
      </w:hyperlink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7A">
      <w:pPr>
        <w:numPr>
          <w:ilvl w:val="0"/>
          <w:numId w:val="1"/>
        </w:numPr>
        <w:bidi w:val="1"/>
        <w:spacing w:after="0" w:afterAutospacing="0" w:lineRule="auto"/>
        <w:ind w:left="720" w:hanging="360"/>
        <w:rPr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תפילת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חנה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|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חיבורים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בספריא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, </w:t>
      </w:r>
      <w:hyperlink r:id="rId22">
        <w:r w:rsidDel="00000000" w:rsidR="00000000" w:rsidRPr="00000000">
          <w:rPr>
            <w:rFonts w:ascii="Times New Roman" w:cs="Times New Roman" w:eastAsia="Times New Roman" w:hAnsi="Times New Roman"/>
            <w:color w:val="4259ff"/>
            <w:sz w:val="24"/>
            <w:szCs w:val="24"/>
            <w:highlight w:val="white"/>
            <w:u w:val="single"/>
            <w:rtl w:val="0"/>
          </w:rPr>
          <w:t xml:space="preserve">https://www.sefaria.org.il/sheets/428767</w:t>
        </w:r>
      </w:hyperlink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7B">
      <w:pPr>
        <w:numPr>
          <w:ilvl w:val="0"/>
          <w:numId w:val="1"/>
        </w:numPr>
        <w:bidi w:val="1"/>
        <w:spacing w:after="0" w:afterAutospacing="0" w:lineRule="auto"/>
        <w:ind w:left="720" w:hanging="360"/>
        <w:rPr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שיחת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השבוע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1603 |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ההישג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הגדול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תפילת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חנה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-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חב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"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ד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, </w:t>
      </w:r>
      <w:hyperlink r:id="rId23">
        <w:r w:rsidDel="00000000" w:rsidR="00000000" w:rsidRPr="00000000">
          <w:rPr>
            <w:rFonts w:ascii="Times New Roman" w:cs="Times New Roman" w:eastAsia="Times New Roman" w:hAnsi="Times New Roman"/>
            <w:color w:val="4259ff"/>
            <w:sz w:val="24"/>
            <w:szCs w:val="24"/>
            <w:highlight w:val="white"/>
            <w:u w:val="single"/>
            <w:rtl w:val="0"/>
          </w:rPr>
          <w:t xml:space="preserve">https://www.chabad.org.il/Magazines/Article.asp?ArticleID=13642&amp;CategoryID=2207</w:t>
        </w:r>
      </w:hyperlink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7C">
      <w:pPr>
        <w:numPr>
          <w:ilvl w:val="0"/>
          <w:numId w:val="1"/>
        </w:numPr>
        <w:bidi w:val="1"/>
        <w:spacing w:after="0" w:afterAutospacing="0" w:lineRule="auto"/>
        <w:ind w:left="720" w:hanging="360"/>
        <w:rPr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ד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-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תפילת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חנה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-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הרחבות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לפניני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הלכה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, </w:t>
      </w:r>
      <w:hyperlink r:id="rId24">
        <w:r w:rsidDel="00000000" w:rsidR="00000000" w:rsidRPr="00000000">
          <w:rPr>
            <w:rFonts w:ascii="Times New Roman" w:cs="Times New Roman" w:eastAsia="Times New Roman" w:hAnsi="Times New Roman"/>
            <w:color w:val="4259ff"/>
            <w:sz w:val="24"/>
            <w:szCs w:val="24"/>
            <w:highlight w:val="white"/>
            <w:u w:val="single"/>
            <w:rtl w:val="0"/>
          </w:rPr>
          <w:t xml:space="preserve">https://ph.yhb.org.il/plus/14-08-04/</w:t>
        </w:r>
      </w:hyperlink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7D">
      <w:pPr>
        <w:numPr>
          <w:ilvl w:val="0"/>
          <w:numId w:val="1"/>
        </w:numPr>
        <w:bidi w:val="1"/>
        <w:spacing w:after="0" w:afterAutospacing="0" w:lineRule="auto"/>
        <w:ind w:left="720" w:hanging="360"/>
        <w:rPr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תפילת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חנה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-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ויקיפדיה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, </w:t>
      </w:r>
      <w:hyperlink r:id="rId25">
        <w:r w:rsidDel="00000000" w:rsidR="00000000" w:rsidRPr="00000000">
          <w:rPr>
            <w:rFonts w:ascii="Times New Roman" w:cs="Times New Roman" w:eastAsia="Times New Roman" w:hAnsi="Times New Roman"/>
            <w:color w:val="4259ff"/>
            <w:sz w:val="24"/>
            <w:szCs w:val="24"/>
            <w:highlight w:val="white"/>
            <w:u w:val="single"/>
            <w:rtl w:val="0"/>
          </w:rPr>
          <w:t xml:space="preserve">https://he.wikipedia.org/wiki/%D7%AA%D7%A4%D7%99%D7%9C%D7%AA_%D7%97%D7%A0%D7%94</w:t>
        </w:r>
      </w:hyperlink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7E">
      <w:pPr>
        <w:numPr>
          <w:ilvl w:val="0"/>
          <w:numId w:val="1"/>
        </w:numPr>
        <w:bidi w:val="1"/>
        <w:spacing w:after="0" w:afterAutospacing="0" w:lineRule="auto"/>
        <w:ind w:left="720" w:hanging="360"/>
        <w:rPr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0"/>
        </w:rPr>
        <w:t xml:space="preserve">Scripture on Sunday – 1 Samuel 2:1-11 | Theology and Church, </w:t>
      </w:r>
      <w:hyperlink r:id="rId26">
        <w:r w:rsidDel="00000000" w:rsidR="00000000" w:rsidRPr="00000000">
          <w:rPr>
            <w:rFonts w:ascii="Times New Roman" w:cs="Times New Roman" w:eastAsia="Times New Roman" w:hAnsi="Times New Roman"/>
            <w:color w:val="4259ff"/>
            <w:sz w:val="24"/>
            <w:szCs w:val="24"/>
            <w:highlight w:val="white"/>
            <w:u w:val="single"/>
            <w:rtl w:val="0"/>
          </w:rPr>
          <w:t xml:space="preserve">https://theologyandchurch.com/2017/09/03/scripture-on-sunday-1-samuel-21-11/</w:t>
        </w:r>
      </w:hyperlink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7F">
      <w:pPr>
        <w:numPr>
          <w:ilvl w:val="0"/>
          <w:numId w:val="1"/>
        </w:numPr>
        <w:bidi w:val="1"/>
        <w:spacing w:after="0" w:afterAutospacing="0" w:lineRule="auto"/>
        <w:ind w:left="720" w:hanging="360"/>
        <w:rPr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תפילת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חנה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•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מקוה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.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נט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, </w:t>
      </w:r>
      <w:hyperlink r:id="rId27">
        <w:r w:rsidDel="00000000" w:rsidR="00000000" w:rsidRPr="00000000">
          <w:rPr>
            <w:rFonts w:ascii="Times New Roman" w:cs="Times New Roman" w:eastAsia="Times New Roman" w:hAnsi="Times New Roman"/>
            <w:color w:val="4259ff"/>
            <w:sz w:val="24"/>
            <w:szCs w:val="24"/>
            <w:highlight w:val="white"/>
            <w:u w:val="single"/>
            <w:rtl w:val="0"/>
          </w:rPr>
          <w:t xml:space="preserve">https://mikve.net/content/194/</w:t>
        </w:r>
      </w:hyperlink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80">
      <w:pPr>
        <w:numPr>
          <w:ilvl w:val="0"/>
          <w:numId w:val="1"/>
        </w:numPr>
        <w:bidi w:val="1"/>
        <w:spacing w:after="0" w:afterAutospacing="0" w:lineRule="auto"/>
        <w:ind w:left="720" w:hanging="360"/>
        <w:rPr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0"/>
        </w:rPr>
        <w:t xml:space="preserve">Sermon: Hannah sings a new song | Rev Doc Geek, </w:t>
      </w:r>
      <w:hyperlink r:id="rId28">
        <w:r w:rsidDel="00000000" w:rsidR="00000000" w:rsidRPr="00000000">
          <w:rPr>
            <w:rFonts w:ascii="Times New Roman" w:cs="Times New Roman" w:eastAsia="Times New Roman" w:hAnsi="Times New Roman"/>
            <w:color w:val="4259ff"/>
            <w:sz w:val="24"/>
            <w:szCs w:val="24"/>
            <w:highlight w:val="white"/>
            <w:u w:val="single"/>
            <w:rtl w:val="0"/>
          </w:rPr>
          <w:t xml:space="preserve">https://revdocgeek.com/2018/11/17/sermon-hannah-sings-a-new-song/</w:t>
        </w:r>
      </w:hyperlink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81">
      <w:pPr>
        <w:numPr>
          <w:ilvl w:val="0"/>
          <w:numId w:val="1"/>
        </w:numPr>
        <w:bidi w:val="1"/>
        <w:spacing w:after="0" w:afterAutospacing="0" w:lineRule="auto"/>
        <w:ind w:left="720" w:hanging="360"/>
        <w:rPr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מגילה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יד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א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-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ויקיטקסט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, </w:t>
      </w:r>
      <w:hyperlink r:id="rId29">
        <w:r w:rsidDel="00000000" w:rsidR="00000000" w:rsidRPr="00000000">
          <w:rPr>
            <w:rFonts w:ascii="Times New Roman" w:cs="Times New Roman" w:eastAsia="Times New Roman" w:hAnsi="Times New Roman"/>
            <w:color w:val="4259ff"/>
            <w:sz w:val="24"/>
            <w:szCs w:val="24"/>
            <w:highlight w:val="white"/>
            <w:u w:val="single"/>
            <w:rtl w:val="0"/>
          </w:rPr>
          <w:t xml:space="preserve">https://he.wikisource.org/wiki/%D7%9E%D7%92%D7%99%D7%9C%D7%94_%D7%99%D7%93_%D7%90</w:t>
        </w:r>
      </w:hyperlink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82">
      <w:pPr>
        <w:numPr>
          <w:ilvl w:val="0"/>
          <w:numId w:val="1"/>
        </w:numPr>
        <w:bidi w:val="1"/>
        <w:spacing w:after="0" w:afterAutospacing="0" w:lineRule="auto"/>
        <w:ind w:left="720" w:hanging="360"/>
        <w:rPr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0"/>
        </w:rPr>
        <w:t xml:space="preserve">Tag Archives: Hannah - Theology and Church, </w:t>
      </w:r>
      <w:hyperlink r:id="rId30">
        <w:r w:rsidDel="00000000" w:rsidR="00000000" w:rsidRPr="00000000">
          <w:rPr>
            <w:rFonts w:ascii="Times New Roman" w:cs="Times New Roman" w:eastAsia="Times New Roman" w:hAnsi="Times New Roman"/>
            <w:color w:val="4259ff"/>
            <w:sz w:val="24"/>
            <w:szCs w:val="24"/>
            <w:highlight w:val="white"/>
            <w:u w:val="single"/>
            <w:rtl w:val="0"/>
          </w:rPr>
          <w:t xml:space="preserve">https://theologyandchurch.com/tag/hannah/</w:t>
        </w:r>
      </w:hyperlink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83">
      <w:pPr>
        <w:numPr>
          <w:ilvl w:val="0"/>
          <w:numId w:val="1"/>
        </w:numPr>
        <w:bidi w:val="1"/>
        <w:spacing w:after="0" w:afterAutospacing="0" w:lineRule="auto"/>
        <w:ind w:left="720" w:hanging="360"/>
        <w:rPr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שמואל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א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׳: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עם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פרשנות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מצטטת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|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ספריית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ספריא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, </w:t>
      </w:r>
      <w:hyperlink r:id="rId31">
        <w:r w:rsidDel="00000000" w:rsidR="00000000" w:rsidRPr="00000000">
          <w:rPr>
            <w:rFonts w:ascii="Times New Roman" w:cs="Times New Roman" w:eastAsia="Times New Roman" w:hAnsi="Times New Roman"/>
            <w:color w:val="4259ff"/>
            <w:sz w:val="24"/>
            <w:szCs w:val="24"/>
            <w:highlight w:val="white"/>
            <w:u w:val="single"/>
            <w:rtl w:val="0"/>
          </w:rPr>
          <w:t xml:space="preserve">https://www.sefaria.org.il/I_Samuel.2.6?with=Quoting%20Commentary</w:t>
        </w:r>
      </w:hyperlink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84">
      <w:pPr>
        <w:numPr>
          <w:ilvl w:val="0"/>
          <w:numId w:val="1"/>
        </w:numPr>
        <w:bidi w:val="1"/>
        <w:spacing w:after="180" w:lineRule="auto"/>
        <w:ind w:left="720" w:hanging="360"/>
        <w:rPr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0"/>
        </w:rPr>
        <w:t xml:space="preserve">The Story of Hannah (1 Sam 1:1–2:11) from a perspective of Han, </w:t>
      </w:r>
      <w:hyperlink r:id="rId32">
        <w:r w:rsidDel="00000000" w:rsidR="00000000" w:rsidRPr="00000000">
          <w:rPr>
            <w:rFonts w:ascii="Times New Roman" w:cs="Times New Roman" w:eastAsia="Times New Roman" w:hAnsi="Times New Roman"/>
            <w:color w:val="4259ff"/>
            <w:sz w:val="24"/>
            <w:szCs w:val="24"/>
            <w:highlight w:val="white"/>
            <w:u w:val="single"/>
            <w:rtl w:val="0"/>
          </w:rPr>
          <w:t xml:space="preserve">https://bibleandcriticaltheory.com/wp-content/uploads/2018/05/vol4-no2-2008-the-story-of-hannah-kim-199-780-1-PB-1zl5dz1.pdf</w:t>
        </w:r>
      </w:hyperlink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85">
      <w:pPr>
        <w:bidi w:val="1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86">
      <w:pPr>
        <w:bidi w:val="1"/>
        <w:rPr/>
      </w:pPr>
      <w:r w:rsidDel="00000000" w:rsidR="00000000" w:rsidRPr="00000000">
        <w:rPr>
          <w:rtl w:val="0"/>
        </w:rPr>
      </w:r>
    </w:p>
    <w:sectPr>
      <w:pgSz w:h="15840" w:w="12240" w:orient="portrait"/>
      <w:pgMar w:bottom="1440" w:top="1440" w:left="1440" w:right="1440" w:header="720" w:footer="720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font w:name="Arial"/>
  <w:font w:name="Times New Roman"/>
</w:fonts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abstractNum w:abstractNumId="1">
    <w:lvl w:ilvl="0">
      <w:start w:val="1"/>
      <w:numFmt w:val="decimal"/>
      <w:lvlText w:val="%1."/>
      <w:lvlJc w:val="left"/>
      <w:pPr>
        <w:ind w:left="720" w:hanging="360"/>
      </w:pPr>
      <w:rPr>
        <w:rFonts w:ascii="Times New Roman" w:cs="Times New Roman" w:eastAsia="Times New Roman" w:hAnsi="Times New Roman"/>
        <w:b w:val="0"/>
        <w:bCs w:val="0"/>
        <w:i w:val="0"/>
        <w:iCs w:val="0"/>
        <w:smallCaps w:val="0"/>
        <w:color w:val="1b1b1c"/>
        <w:sz w:val="21"/>
        <w:szCs w:val="21"/>
        <w:highlight w:val="white"/>
        <w:u w:val="none"/>
      </w:rPr>
    </w:lvl>
    <w:lvl w:ilvl="1">
      <w:start w:val="1"/>
      <w:numFmt w:val="lowerLetter"/>
      <w:lvlText w:val="%2."/>
      <w:lvlJc w:val="left"/>
      <w:pPr>
        <w:ind w:left="1440" w:hanging="360"/>
      </w:pPr>
      <w:rPr>
        <w:u w:val="none"/>
      </w:rPr>
    </w:lvl>
    <w:lvl w:ilvl="2">
      <w:start w:val="1"/>
      <w:numFmt w:val="lowerRoman"/>
      <w:lvlText w:val="%3."/>
      <w:lvlJc w:val="left"/>
      <w:pPr>
        <w:ind w:left="2160" w:hanging="360"/>
      </w:pPr>
      <w:rPr>
        <w:u w:val="none"/>
      </w:rPr>
    </w:lvl>
    <w:lvl w:ilvl="3">
      <w:start w:val="1"/>
      <w:numFmt w:val="decimal"/>
      <w:lvlText w:val="%4."/>
      <w:lvlJc w:val="left"/>
      <w:pPr>
        <w:ind w:left="2880" w:hanging="360"/>
      </w:pPr>
      <w:rPr>
        <w:u w:val="none"/>
      </w:rPr>
    </w:lvl>
    <w:lvl w:ilvl="4">
      <w:start w:val="1"/>
      <w:numFmt w:val="lowerLetter"/>
      <w:lvlText w:val="%5."/>
      <w:lvlJc w:val="left"/>
      <w:pPr>
        <w:ind w:left="3600" w:hanging="360"/>
      </w:pPr>
      <w:rPr>
        <w:u w:val="none"/>
      </w:rPr>
    </w:lvl>
    <w:lvl w:ilvl="5">
      <w:start w:val="1"/>
      <w:numFmt w:val="lowerRoman"/>
      <w:lvlText w:val="%6."/>
      <w:lvlJc w:val="left"/>
      <w:pPr>
        <w:ind w:left="4320" w:hanging="360"/>
      </w:pPr>
      <w:rPr>
        <w:u w:val="none"/>
      </w:rPr>
    </w:lvl>
    <w:lvl w:ilvl="6">
      <w:start w:val="1"/>
      <w:numFmt w:val="decimal"/>
      <w:lvlText w:val="%7."/>
      <w:lvlJc w:val="left"/>
      <w:pPr>
        <w:ind w:left="5040" w:hanging="360"/>
      </w:pPr>
      <w:rPr>
        <w:u w:val="none"/>
      </w:rPr>
    </w:lvl>
    <w:lvl w:ilvl="7">
      <w:start w:val="1"/>
      <w:numFmt w:val="lowerLetter"/>
      <w:lvlText w:val="%8."/>
      <w:lvlJc w:val="left"/>
      <w:pPr>
        <w:ind w:left="5760" w:hanging="360"/>
      </w:pPr>
      <w:rPr>
        <w:u w:val="none"/>
      </w:rPr>
    </w:lvl>
    <w:lvl w:ilvl="8">
      <w:start w:val="1"/>
      <w:numFmt w:val="lowerRoman"/>
      <w:lvlText w:val="%9."/>
      <w:lvlJc w:val="left"/>
      <w:pPr>
        <w:ind w:left="6480" w:hanging="360"/>
      </w:pPr>
      <w:rPr>
        <w:u w:val="none"/>
      </w:rPr>
    </w:lvl>
  </w:abstractNum>
  <w:abstractNum w:abstractNumId="2">
    <w:lvl w:ilvl="0">
      <w:start w:val="1"/>
      <w:numFmt w:val="decimal"/>
      <w:lvlText w:val="%1."/>
      <w:lvlJc w:val="left"/>
      <w:pPr>
        <w:ind w:left="720" w:hanging="360"/>
      </w:pPr>
      <w:rPr>
        <w:rFonts w:ascii="Times New Roman" w:cs="Times New Roman" w:eastAsia="Times New Roman" w:hAnsi="Times New Roman"/>
        <w:b w:val="0"/>
        <w:bCs w:val="0"/>
        <w:i w:val="0"/>
        <w:iCs w:val="0"/>
        <w:smallCaps w:val="0"/>
        <w:color w:val="1b1b1c"/>
        <w:sz w:val="21"/>
        <w:szCs w:val="21"/>
        <w:highlight w:val="white"/>
        <w:u w:val="none"/>
      </w:rPr>
    </w:lvl>
    <w:lvl w:ilvl="1">
      <w:start w:val="1"/>
      <w:numFmt w:val="lowerLetter"/>
      <w:lvlText w:val="%2."/>
      <w:lvlJc w:val="left"/>
      <w:pPr>
        <w:ind w:left="1440" w:hanging="360"/>
      </w:pPr>
      <w:rPr>
        <w:u w:val="none"/>
      </w:rPr>
    </w:lvl>
    <w:lvl w:ilvl="2">
      <w:start w:val="1"/>
      <w:numFmt w:val="lowerRoman"/>
      <w:lvlText w:val="%3."/>
      <w:lvlJc w:val="left"/>
      <w:pPr>
        <w:ind w:left="2160" w:hanging="360"/>
      </w:pPr>
      <w:rPr>
        <w:u w:val="none"/>
      </w:rPr>
    </w:lvl>
    <w:lvl w:ilvl="3">
      <w:start w:val="1"/>
      <w:numFmt w:val="decimal"/>
      <w:lvlText w:val="%4."/>
      <w:lvlJc w:val="left"/>
      <w:pPr>
        <w:ind w:left="2880" w:hanging="360"/>
      </w:pPr>
      <w:rPr>
        <w:u w:val="none"/>
      </w:rPr>
    </w:lvl>
    <w:lvl w:ilvl="4">
      <w:start w:val="1"/>
      <w:numFmt w:val="lowerLetter"/>
      <w:lvlText w:val="%5."/>
      <w:lvlJc w:val="left"/>
      <w:pPr>
        <w:ind w:left="3600" w:hanging="360"/>
      </w:pPr>
      <w:rPr>
        <w:u w:val="none"/>
      </w:rPr>
    </w:lvl>
    <w:lvl w:ilvl="5">
      <w:start w:val="1"/>
      <w:numFmt w:val="lowerRoman"/>
      <w:lvlText w:val="%6."/>
      <w:lvlJc w:val="left"/>
      <w:pPr>
        <w:ind w:left="4320" w:hanging="360"/>
      </w:pPr>
      <w:rPr>
        <w:u w:val="none"/>
      </w:rPr>
    </w:lvl>
    <w:lvl w:ilvl="6">
      <w:start w:val="1"/>
      <w:numFmt w:val="decimal"/>
      <w:lvlText w:val="%7."/>
      <w:lvlJc w:val="left"/>
      <w:pPr>
        <w:ind w:left="5040" w:hanging="360"/>
      </w:pPr>
      <w:rPr>
        <w:u w:val="none"/>
      </w:rPr>
    </w:lvl>
    <w:lvl w:ilvl="7">
      <w:start w:val="1"/>
      <w:numFmt w:val="lowerLetter"/>
      <w:lvlText w:val="%8."/>
      <w:lvlJc w:val="left"/>
      <w:pPr>
        <w:ind w:left="5760" w:hanging="360"/>
      </w:pPr>
      <w:rPr>
        <w:u w:val="none"/>
      </w:rPr>
    </w:lvl>
    <w:lvl w:ilvl="8">
      <w:start w:val="1"/>
      <w:numFmt w:val="lowerRoman"/>
      <w:lvlText w:val="%9."/>
      <w:lvlJc w:val="left"/>
      <w:pPr>
        <w:ind w:left="6480" w:hanging="360"/>
      </w:pPr>
      <w:rPr>
        <w:u w:val="none"/>
      </w:rPr>
    </w:lvl>
  </w:abstractNum>
  <w:abstractNum w:abstractNumId="3">
    <w:lvl w:ilvl="0">
      <w:start w:val="1"/>
      <w:numFmt w:val="bullet"/>
      <w:lvlText w:val="●"/>
      <w:lvlJc w:val="left"/>
      <w:pPr>
        <w:ind w:left="720" w:hanging="360"/>
      </w:pPr>
      <w:rPr>
        <w:rFonts w:ascii="Times New Roman" w:cs="Times New Roman" w:eastAsia="Times New Roman" w:hAnsi="Times New Roman"/>
        <w:b w:val="0"/>
        <w:bCs w:val="0"/>
        <w:i w:val="0"/>
        <w:iCs w:val="0"/>
        <w:smallCaps w:val="0"/>
        <w:color w:val="1b1b1c"/>
        <w:sz w:val="21"/>
        <w:szCs w:val="21"/>
        <w:highlight w:val="white"/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num w:numId="1">
    <w:abstractNumId w:val="1"/>
  </w:num>
  <w:num w:numId="2">
    <w:abstractNumId w:val="2"/>
  </w:num>
  <w:num w:numId="3">
    <w:abstractNumId w:val="3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embedTrueTypeFonts w:val="1"/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docDefaults>
    <w:rPrDefault>
      <w:rPr>
        <w:rFonts w:ascii="Arial" w:cs="Arial" w:eastAsia="Arial" w:hAnsi="Arial"/>
        <w:sz w:val="22"/>
        <w:szCs w:val="22"/>
        <w:lang w:val="en"/>
      </w:rPr>
    </w:rPrDefault>
    <w:pPrDefault>
      <w:pPr>
        <w:spacing w:line="276" w:lineRule="auto"/>
      </w:pPr>
    </w:pPrDefault>
  </w:docDefaults>
  <w:style w:type="table" w:styleId="TableNormal" w:default="1">
    <w:name w:val="TableNormal"/>
    <w:tblPr>
      <w:tblCellMar>
        <w:top w:w="100.0" w:type="dxa"/>
        <w:left w:w="100.0" w:type="dxa"/>
        <w:bottom w:w="100.0" w:type="dxa"/>
        <w:right w:w="100.0" w:type="dxa"/>
      </w:tblCellMar>
    </w:tblPr>
  </w:style>
  <w:style w:type="paragraph" w:styleId="Normal" w:default="1">
    <w:name w:val="normal"/>
  </w:style>
  <w:style w:type="paragraph" w:styleId="Heading1">
    <w:name w:val="heading 1"/>
    <w:basedOn w:val="Normal"/>
    <w:next w:val="Normal"/>
    <w:pPr>
      <w:keepNext w:val="1"/>
      <w:keepLines w:val="1"/>
      <w:pageBreakBefore w:val="0"/>
      <w:spacing w:after="120" w:before="400" w:lineRule="auto"/>
    </w:pPr>
    <w:rPr>
      <w:sz w:val="40"/>
      <w:szCs w:val="40"/>
    </w:rPr>
  </w:style>
  <w:style w:type="paragraph" w:styleId="Heading2">
    <w:name w:val="heading 2"/>
    <w:basedOn w:val="Normal"/>
    <w:next w:val="Normal"/>
    <w:pPr>
      <w:keepNext w:val="1"/>
      <w:keepLines w:val="1"/>
      <w:pageBreakBefore w:val="0"/>
      <w:spacing w:after="120" w:before="360" w:lineRule="auto"/>
    </w:pPr>
    <w:rPr>
      <w:b w:val="0"/>
      <w:bCs w:val="0"/>
      <w:sz w:val="32"/>
      <w:szCs w:val="32"/>
    </w:rPr>
  </w:style>
  <w:style w:type="paragraph" w:styleId="Heading3">
    <w:name w:val="heading 3"/>
    <w:basedOn w:val="Normal"/>
    <w:next w:val="Normal"/>
    <w:pPr>
      <w:keepNext w:val="1"/>
      <w:keepLines w:val="1"/>
      <w:pageBreakBefore w:val="0"/>
      <w:spacing w:after="80" w:before="320" w:lineRule="auto"/>
    </w:pPr>
    <w:rPr>
      <w:b w:val="0"/>
      <w:bCs w:val="0"/>
      <w:color w:val="434343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pageBreakBefore w:val="0"/>
      <w:spacing w:after="80" w:before="280" w:lineRule="auto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pageBreakBefore w:val="0"/>
      <w:spacing w:after="80" w:before="240" w:lineRule="auto"/>
    </w:pPr>
    <w:rPr>
      <w:color w:val="666666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pageBreakBefore w:val="0"/>
      <w:spacing w:after="80" w:before="240" w:lineRule="auto"/>
    </w:pPr>
    <w:rPr>
      <w:i w:val="1"/>
      <w:iCs w:val="1"/>
      <w:color w:val="666666"/>
      <w:sz w:val="22"/>
      <w:szCs w:val="22"/>
    </w:rPr>
  </w:style>
  <w:style w:type="paragraph" w:styleId="Title">
    <w:name w:val="Title"/>
    <w:basedOn w:val="Normal"/>
    <w:next w:val="Normal"/>
    <w:pPr>
      <w:keepNext w:val="1"/>
      <w:keepLines w:val="1"/>
      <w:pageBreakBefore w:val="0"/>
      <w:spacing w:after="60" w:before="0" w:lineRule="auto"/>
    </w:pPr>
    <w:rPr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pageBreakBefore w:val="0"/>
      <w:spacing w:after="320" w:before="0" w:lineRule="auto"/>
    </w:pPr>
    <w:rPr>
      <w:rFonts w:ascii="Arial" w:cs="Arial" w:eastAsia="Arial" w:hAnsi="Arial"/>
      <w:i w:val="0"/>
      <w:iCs w:val="0"/>
      <w:color w:val="666666"/>
      <w:sz w:val="30"/>
      <w:szCs w:val="30"/>
    </w:rPr>
  </w:style>
  <w:style w:type="table" w:styleId="Table1">
    <w:basedOn w:val="TableNormal"/>
    <w:tblPr>
      <w:tblStyleRowBandSize w:val="1"/>
      <w:tblStyleColBandSize w:val="1"/>
      <w:tblCellMar/>
    </w:tblPr>
  </w:style>
  <w:style w:type="table" w:styleId="Table2">
    <w:basedOn w:val="TableNormal"/>
    <w:tblPr>
      <w:tblStyleRowBandSize w:val="1"/>
      <w:tblStyleColBandSize w:val="1"/>
      <w:tblCellMar/>
    </w:tblPr>
  </w:style>
  <w:style w:type="table" w:styleId="Table3">
    <w:basedOn w:val="TableNormal"/>
    <w:tblPr>
      <w:tblStyleRowBandSize w:val="1"/>
      <w:tblStyleColBandSize w:val="1"/>
      <w:tblCellMar/>
    </w:tblPr>
  </w:style>
</w:styles>
</file>

<file path=word/_rels/document.xml.rels><?xml version="1.0" encoding="UTF-8" standalone="yes"?><Relationships xmlns="http://schemas.openxmlformats.org/package/2006/relationships"><Relationship Id="rId20" Type="http://schemas.openxmlformats.org/officeDocument/2006/relationships/hyperlink" Target="https://www.sefaria.org.il/Steinsaltz_on_Berakhot.31a.17?with=Halakhah" TargetMode="External"/><Relationship Id="rId22" Type="http://schemas.openxmlformats.org/officeDocument/2006/relationships/hyperlink" Target="https://www.sefaria.org.il/sheets/428767" TargetMode="External"/><Relationship Id="rId21" Type="http://schemas.openxmlformats.org/officeDocument/2006/relationships/hyperlink" Target="https://he.wikisource.org/wiki/%D7%91%D7%A8%D7%9B%D7%95%D7%AA_%D7%9C%D7%90_%D7%90" TargetMode="External"/><Relationship Id="rId24" Type="http://schemas.openxmlformats.org/officeDocument/2006/relationships/hyperlink" Target="https://ph.yhb.org.il/plus/14-08-04/" TargetMode="External"/><Relationship Id="rId23" Type="http://schemas.openxmlformats.org/officeDocument/2006/relationships/hyperlink" Target="https://www.chabad.org.il/Magazines/Article.asp?ArticleID=13642&amp;CategoryID=2207" TargetMode="External"/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9" Type="http://schemas.openxmlformats.org/officeDocument/2006/relationships/hyperlink" Target="https://thetalmud.wordpress.com/2017/07/13/9-%D7%94%D6%B2%D7%9C%D6%B8%D7%9B%D7%95%D6%B9%D7%AA-%D7%A9%D7%81%D6%B6%D7%94%D6%B7%D7%AA%D6%BC%D6%B7%D7%9C%D6%B0%D7%9E%D7%95%D6%BC%D7%93-%D7%9C%D7%95%D6%B9%D7%9E%D6%B5%D7%93-%D7%9E%D6%B5%D7%97%D6%B7/" TargetMode="External"/><Relationship Id="rId26" Type="http://schemas.openxmlformats.org/officeDocument/2006/relationships/hyperlink" Target="https://theologyandchurch.com/2017/09/03/scripture-on-sunday-1-samuel-21-11/" TargetMode="External"/><Relationship Id="rId25" Type="http://schemas.openxmlformats.org/officeDocument/2006/relationships/hyperlink" Target="https://he.wikipedia.org/wiki/%D7%AA%D7%A4%D7%99%D7%9C%D7%AA_%D7%97%D7%A0%D7%94" TargetMode="External"/><Relationship Id="rId28" Type="http://schemas.openxmlformats.org/officeDocument/2006/relationships/hyperlink" Target="https://revdocgeek.com/2018/11/17/sermon-hannah-sings-a-new-song/" TargetMode="External"/><Relationship Id="rId27" Type="http://schemas.openxmlformats.org/officeDocument/2006/relationships/hyperlink" Target="https://mikve.net/content/194/" TargetMode="External"/><Relationship Id="rId5" Type="http://schemas.openxmlformats.org/officeDocument/2006/relationships/styles" Target="styles.xml"/><Relationship Id="rId6" Type="http://schemas.openxmlformats.org/officeDocument/2006/relationships/hyperlink" Target="https://he.wikipedia.org/wiki/%D7%97%D7%A0%D7%94" TargetMode="External"/><Relationship Id="rId29" Type="http://schemas.openxmlformats.org/officeDocument/2006/relationships/hyperlink" Target="https://he.wikisource.org/wiki/%D7%9E%D7%92%D7%99%D7%9C%D7%94_%D7%99%D7%93_%D7%90" TargetMode="External"/><Relationship Id="rId7" Type="http://schemas.openxmlformats.org/officeDocument/2006/relationships/hyperlink" Target="https://www.sefaria.org/topics/hannah" TargetMode="External"/><Relationship Id="rId8" Type="http://schemas.openxmlformats.org/officeDocument/2006/relationships/hyperlink" Target="https://he.chabad.org/library/article_cdo/aid/6090747" TargetMode="External"/><Relationship Id="rId31" Type="http://schemas.openxmlformats.org/officeDocument/2006/relationships/hyperlink" Target="https://www.sefaria.org.il/I_Samuel.2.6?with=Quoting%20Commentary" TargetMode="External"/><Relationship Id="rId30" Type="http://schemas.openxmlformats.org/officeDocument/2006/relationships/hyperlink" Target="https://theologyandchurch.com/tag/hannah/" TargetMode="External"/><Relationship Id="rId11" Type="http://schemas.openxmlformats.org/officeDocument/2006/relationships/hyperlink" Target="https://www.christiantoday.com/news/the-story-of-hannah" TargetMode="External"/><Relationship Id="rId10" Type="http://schemas.openxmlformats.org/officeDocument/2006/relationships/hyperlink" Target="https://www.biblestudywithrandy.com/2019/08/the-theology-of-12-samuel/" TargetMode="External"/><Relationship Id="rId32" Type="http://schemas.openxmlformats.org/officeDocument/2006/relationships/hyperlink" Target="https://bibleandcriticaltheory.com/wp-content/uploads/2018/05/vol4-no2-2008-the-story-of-hannah-kim-199-780-1-PB-1zl5dz1.pdf" TargetMode="External"/><Relationship Id="rId13" Type="http://schemas.openxmlformats.org/officeDocument/2006/relationships/hyperlink" Target="https://www.otzar.org.il/%D7%91%D7%99%D7%AA-%D7%9E%D7%93%D7%A8%D7%A9/%D7%90%D7%95%D7%A6%D7%A8-%D7%94%D7%9E%D7%A7%D7%A8%D7%90-%D7%A2%D7%9C-%D7%94%D7%AA%D7%A0%D7%9A/%D7%90%D7%95%D7%A6%D7%A8-%D7%94%D7%9E%D7%A7%D7%A8%D7%90-%D7%9C%D7%A1%D7%A4%D7%A8%D7%99-%D7%94%D7%A0%D7%91%D7%99%D7%90%D7%99%D7%9D/%D7%A9%D7%9E%D7%95%D7%90%D7%9C-%D7%90/%D7%A4%D7%A8%D7%A7%D7%99%D7%9D-%D7%90-%D7%98/%D7%A9%D7%9E%D7%95%D7%90%D7%9C-%D7%90-%D7%A4%D7%A8%D7%A7-%D7%90" TargetMode="External"/><Relationship Id="rId12" Type="http://schemas.openxmlformats.org/officeDocument/2006/relationships/hyperlink" Target="https://www.workingpreacher.org/commentaries/narrative-lectionary/samuel/commentary-on-1-samuel-19-11-19-20-21-10-2" TargetMode="External"/><Relationship Id="rId15" Type="http://schemas.openxmlformats.org/officeDocument/2006/relationships/hyperlink" Target="https://jwa.org/encyclopedia/article/hannah-midrash-and-aggadah" TargetMode="External"/><Relationship Id="rId14" Type="http://schemas.openxmlformats.org/officeDocument/2006/relationships/hyperlink" Target="https://abc770.org/article_node_5115/" TargetMode="External"/><Relationship Id="rId17" Type="http://schemas.openxmlformats.org/officeDocument/2006/relationships/hyperlink" Target="https://www.sefaria.org.il/sheets/216891" TargetMode="External"/><Relationship Id="rId16" Type="http://schemas.openxmlformats.org/officeDocument/2006/relationships/hyperlink" Target="https://taamu.co.il/%D7%A9%D7%9E%D7%95%D7%90%D7%9C-%D7%90-%D7%A4%D7%A8%D7%A7-%D7%90/" TargetMode="External"/><Relationship Id="rId19" Type="http://schemas.openxmlformats.org/officeDocument/2006/relationships/hyperlink" Target="https://icjw.org/online-learning/meditations/hannah/" TargetMode="External"/><Relationship Id="rId18" Type="http://schemas.openxmlformats.org/officeDocument/2006/relationships/hyperlink" Target="https://www.myjewishlearning.com/article/hannah/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