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עמוד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התווך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חסידות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אשכנז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במאה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-13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מרגנשבורג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ומבחין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המפורסם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תשובה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המוקדמת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המאוחרת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מדרשו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וסגפנות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קיצונית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וחברתי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ברגנשבורג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שהעמיד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והצדק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החברתי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כערכי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זרוע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שבאמצעותו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הונצחה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כעמוד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האשכנזית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השמרנית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תשובת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המשקל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המיסטי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בתפילה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מרגנשבורג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-13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ההתרחשות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Ratisbon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המייסדים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זהותו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וההבחנה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הביבליוגרפית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גירונדי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ובוואריה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גירונדי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1217.[3,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tbl>
      <w:tblPr>
        <w:tblStyle w:val="Table1"/>
        <w:bidiVisual w:val="1"/>
        <w:tblW w:w="105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5"/>
        <w:gridCol w:w="3965"/>
        <w:gridCol w:w="4730"/>
        <w:tblGridChange w:id="0">
          <w:tblGrid>
            <w:gridCol w:w="1895"/>
            <w:gridCol w:w="3965"/>
            <w:gridCol w:w="47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מרגנשבורג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רבינו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גירונדי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אזור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רגנשבורג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וטולדו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מונפלייה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צרפת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העיקריים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שניאור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בולטים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מוורונה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רעיוני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סגפנות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ומיסטיקה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והתעלות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מיוחסים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ואבות</w:t>
            </w:r>
          </w:p>
        </w:tc>
      </w:tr>
    </w:tbl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שהגירונדי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[1, 4, 6],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רגנשבורג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וחברתי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טראומטיים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1195,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הדנובה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8]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מטודלה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ופתחיה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קהילת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רגנשבורג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-13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היררכיה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המחמירים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tbl>
      <w:tblPr>
        <w:tblStyle w:val="Table2"/>
        <w:bidiVisual w:val="1"/>
        <w:tblW w:w="69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15"/>
        <w:gridCol w:w="5270"/>
        <w:tblGridChange w:id="0">
          <w:tblGrid>
            <w:gridCol w:w="1715"/>
            <w:gridCol w:w="52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מוסד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קהילתי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בהנהגת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יונה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להכשרת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האשכנזית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הכנסת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ליישום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דקדקני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והפיוט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האשכנזיים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הפרנסים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פיקוח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הניהול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והחברתי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</w:p>
        </w:tc>
      </w:tr>
    </w:tbl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חניכה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לחסידות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הכריזמטית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והמצומצם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קלונימוס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יישום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צוואת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המפיצים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שערערו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מנציגיו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קלונימוס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מיוסדים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פלפול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הסוד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בגימטריות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מווינה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")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דוגמאות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לפסיקות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ושהייה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וחסד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tbl>
      <w:tblPr>
        <w:tblStyle w:val="Table3"/>
        <w:bidiVisual w:val="1"/>
        <w:tblW w:w="95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75"/>
        <w:gridCol w:w="3680"/>
        <w:gridCol w:w="3770"/>
        <w:tblGridChange w:id="0">
          <w:tblGrid>
            <w:gridCol w:w="2075"/>
            <w:gridCol w:w="3680"/>
            <w:gridCol w:w="37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הציטוט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מרגנשבורג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לדורות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במניין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הפיוט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הקבוע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במטבח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סטנדרט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באשכנז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בניהול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סכסוכים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</w:tr>
    </w:tbl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7]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ודרכי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התשובה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והווידוי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הגירונדי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3, 5]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וסיגופים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פרוזדור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הפרישות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והסגפנות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היומיום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מכשול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סטנדרטים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ואיפוק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ראוותניות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כחיקוי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היבטים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משבר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8]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החלש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מהמעסיקים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tbl>
      <w:tblPr>
        <w:tblStyle w:val="Table4"/>
        <w:bidiVisual w:val="1"/>
        <w:tblW w:w="98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4265"/>
        <w:gridCol w:w="3815"/>
        <w:tblGridChange w:id="0">
          <w:tblGrid>
            <w:gridCol w:w="1775"/>
            <w:gridCol w:w="4265"/>
            <w:gridCol w:w="38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קהילתית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מסחרי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הקפדה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ומשקלות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אונאה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וביחסים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חוץ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עדיפויות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בחלוקת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ביטחון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סוציאלית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חזקה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שכירים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בזמנו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ותנאי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הוגנים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ניצול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החברה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</w:p>
        </w:tc>
      </w:tr>
    </w:tbl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האשכנזית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בדייקנות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התמודדות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הנסתר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כפולקלור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ההבדלים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מרגנשבורג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לרבינו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גירונדי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הרחבה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הגירונדי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-13.[1, 2, 3, 4]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גירונדי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והתחרט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[1, 2],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להצטדק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tbl>
      <w:tblPr>
        <w:tblStyle w:val="Table5"/>
        <w:bidiVisual w:val="1"/>
        <w:tblW w:w="108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4370"/>
        <w:gridCol w:w="4940"/>
        <w:tblGridChange w:id="0">
          <w:tblGrid>
            <w:gridCol w:w="1580"/>
            <w:gridCol w:w="4370"/>
            <w:gridCol w:w="49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נקודת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הבדל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הגישה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האשכנזית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מרגנשבורג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הגישה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הספרדית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רבינו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גירונדי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האשכנזית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אריסטוטליות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ממותנת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ייסורים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גופניים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וסיגופים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המשקל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חרטה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והתעלות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במיוחד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אידיאולוגי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שהסתיים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בחרטה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ופיוס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סגנון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טקסט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סגנון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ודרשני</w:t>
            </w:r>
          </w:p>
        </w:tc>
      </w:tr>
    </w:tbl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פטירתו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שהפיצו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7]</w:t>
      </w:r>
    </w:p>
    <w:p w:rsidR="00000000" w:rsidDel="00000000" w:rsidP="00000000" w:rsidRDefault="00000000" w:rsidRPr="00000000" w14:paraId="0000008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המאוחרת</w:t>
      </w:r>
    </w:p>
    <w:p w:rsidR="00000000" w:rsidDel="00000000" w:rsidP="00000000" w:rsidRDefault="00000000" w:rsidRPr="00000000" w14:paraId="0000008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</w:p>
    <w:p w:rsidR="00000000" w:rsidDel="00000000" w:rsidP="00000000" w:rsidRDefault="00000000" w:rsidRPr="00000000" w14:paraId="0000008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8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למגדלור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7]</w:t>
      </w:r>
    </w:p>
    <w:p w:rsidR="00000000" w:rsidDel="00000000" w:rsidP="00000000" w:rsidRDefault="00000000" w:rsidRPr="00000000" w14:paraId="0000008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סופיות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מרגנשבורג</w:t>
      </w:r>
    </w:p>
    <w:p w:rsidR="00000000" w:rsidDel="00000000" w:rsidP="00000000" w:rsidRDefault="00000000" w:rsidRPr="00000000" w14:paraId="0000008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התמזגו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כפולת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כמיסטיקן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לפרנסתם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ולביטחונם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אתיקה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8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מרגנשבורג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המוצנעות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התערבב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5]</w:t>
      </w:r>
    </w:p>
    <w:p w:rsidR="00000000" w:rsidDel="00000000" w:rsidP="00000000" w:rsidRDefault="00000000" w:rsidRPr="00000000" w14:paraId="0000008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Rabbeinu Jonah Gerondi - (4940-5023; 1180-1263) - Chabad.org,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https://www.chabad.org/library/article_cdo/aid/111904/jewish/Rabbeinu-Jonah-Gerondi.htm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Yonah Gerondi - Wikipedia,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https://en.wikipedia.org/wiki/Yonah_Gerondi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Judah ben Samuel of Regensburg - Wikipedia,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https://en.wikipedia.org/wiki/Judah_ben_Samuel_of_Regensburg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Rabbeinu Yonah HaChasid of Girona: A Life of Paradox - GalEinai,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https://inner.org/rabbeinu-yonah-hachasid-of-girona-a-life-of-paradox/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JUDAH BEN SAMUEL HE-ḤASID OF REGENSBURG - JewishEncyclopedia.com,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http://www.jewishencyclopedia.com/articles/9020-judah-ben-samuel-he-hasid-of-regensburg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Rabbeinu Yonah Gerondi | Texts from the Sefaria Library,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https://www.sefaria.org/topics/rabbeinu-yonah-gerondi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Judah ben Samuel | 12th Century German Jewish Mystic | Britannica,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https://www.britannica.com/biography/Judah-ben-Samuel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Jewish Travelers from Europe to the East, 12th-15th centuries,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https://revistaseug.ugr.es/index.php/meahhebreo/article/download/12474/10655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Benjamin ben Jonah of Tudela - Brill Reference Works,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https://referenceworks.brill.com/display/entries/EJIO/COM-0003980.xml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sefaria.org/topics/rabbeinu-yonah-gerondi" TargetMode="External"/><Relationship Id="rId10" Type="http://schemas.openxmlformats.org/officeDocument/2006/relationships/hyperlink" Target="http://www.jewishencyclopedia.com/articles/9020-judah-ben-samuel-he-hasid-of-regensburg" TargetMode="External"/><Relationship Id="rId13" Type="http://schemas.openxmlformats.org/officeDocument/2006/relationships/hyperlink" Target="https://revistaseug.ugr.es/index.php/meahhebreo/article/download/12474/10655" TargetMode="External"/><Relationship Id="rId12" Type="http://schemas.openxmlformats.org/officeDocument/2006/relationships/hyperlink" Target="https://www.britannica.com/biography/Judah-ben-Samue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inner.org/rabbeinu-yonah-hachasid-of-girona-a-life-of-paradox/" TargetMode="External"/><Relationship Id="rId14" Type="http://schemas.openxmlformats.org/officeDocument/2006/relationships/hyperlink" Target="https://referenceworks.brill.com/display/entries/EJIO/COM-0003980.xml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chabad.org/library/article_cdo/aid/111904/jewish/Rabbeinu-Jonah-Gerondi.htm" TargetMode="External"/><Relationship Id="rId7" Type="http://schemas.openxmlformats.org/officeDocument/2006/relationships/hyperlink" Target="https://en.wikipedia.org/wiki/Yonah_Gerondi" TargetMode="External"/><Relationship Id="rId8" Type="http://schemas.openxmlformats.org/officeDocument/2006/relationships/hyperlink" Target="https://en.wikipedia.org/wiki/Judah_ben_Samuel_of_Regensbu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