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שסופק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שכותרתו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מסורת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הפסיקה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וההנהגה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יעקב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לנדא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ממהפכת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אגור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ועד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ברק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 </w:t>
      </w:r>
      <w:r w:rsidDel="00000000" w:rsidR="00000000" w:rsidRPr="00000000">
        <w:rPr>
          <w:rtl w:val="1"/>
        </w:rPr>
        <w:t xml:space="preserve">וחיבר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 </w:t>
      </w:r>
      <w:r w:rsidDel="00000000" w:rsidR="00000000" w:rsidRPr="00000000">
        <w:rPr>
          <w:rtl w:val="1"/>
        </w:rPr>
        <w:t xml:space="preserve">וכיהן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המונה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אנציקלופדיות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ומאגרי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ובאנגלית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ויקישיבה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הווירטואלית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Jewish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Virtual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ספריות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טקסטים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תורניים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ספריא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מאמרים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ומחקריים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Jewish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Jewish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Action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ומאמר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AJS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Review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בהוצאת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קיימברידג</w:t>
      </w:r>
      <w:r w:rsidDel="00000000" w:rsidR="00000000" w:rsidRPr="00000000">
        <w:rPr>
          <w:rtl w:val="0"/>
        </w:rPr>
        <w:t xml:space="preserve">').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פומביות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המכירות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Sotheby</w:t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Winner</w:t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Auctions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