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pmmqoox5w4d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גרשום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מאור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הגולה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תקנות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ומורשת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r697xidse" w:id="1"/>
      <w:bookmarkEnd w:id="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תמצית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(960–1040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התגבשותה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הישגיו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מהפכה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חברתית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משפטית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כינון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פוליגמיה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גירושין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כורחה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ביסוס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במגנצא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מיינץ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מנהיגות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משבר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פיוטי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המבטאים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והאישי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o2756evgdii" w:id="2"/>
      <w:bookmarkEnd w:id="2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רקע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היסטורי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וביוגרפי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בבבל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ופומבדיתא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9cs6gck6w33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פרטים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מרכזיים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לידה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960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מנהיגות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למגנצא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מיינץ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שבגרמניה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רבותיו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ותלמידיו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ליאונטין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הזקן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כולנו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כינויו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התואר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מהמרכזים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xi1cs1nxoxv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לאירופה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בתקופתו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מגנצא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בינלאומי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ותשובותיו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0853h18iyaj" w:id="5"/>
      <w:bookmarkEnd w:id="5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חרם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דרבנו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גרשום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התקנות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והשפעתן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zddco2r8tbu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האישות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והמשפחה</w:t>
      </w:r>
    </w:p>
    <w:tbl>
      <w:tblPr>
        <w:tblStyle w:val="Table1"/>
        <w:tblW w:w="9295.0" w:type="dxa"/>
        <w:jc w:val="left"/>
        <w:tblBorders>
          <w:top w:color="808080" w:space="0" w:sz="5" w:val="single"/>
          <w:left w:color="808080" w:space="0" w:sz="5" w:val="single"/>
          <w:bottom w:color="808080" w:space="0" w:sz="5" w:val="single"/>
          <w:right w:color="808080" w:space="0" w:sz="5" w:val="single"/>
          <w:insideH w:color="808080" w:space="0" w:sz="5" w:val="single"/>
          <w:insideV w:color="808080" w:space="0" w:sz="5" w:val="single"/>
        </w:tblBorders>
        <w:tblLayout w:type="fixed"/>
        <w:tblLook w:val="0600"/>
      </w:tblPr>
      <w:tblGrid>
        <w:gridCol w:w="2180"/>
        <w:gridCol w:w="7115"/>
        <w:tblGridChange w:id="0">
          <w:tblGrid>
            <w:gridCol w:w="2180"/>
            <w:gridCol w:w="71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התקנה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רציונל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והקשר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פוליגמיה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מניעת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קטטה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וקנאה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בבית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הבטחת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יכולת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לפרנס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נשותיו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והתאמה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לסביבה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הנוצרית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המונוגמית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גירושין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בעל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כורחה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הגנה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זכויות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האישה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וביטחונה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הסוציאלי</w:t>
            </w:r>
            <w:r w:rsidDel="00000000" w:rsidR="00000000" w:rsidRPr="00000000">
              <w:rPr>
                <w:rtl w:val="1"/>
              </w:rPr>
              <w:t xml:space="preserve">; </w:t>
            </w:r>
            <w:r w:rsidDel="00000000" w:rsidR="00000000" w:rsidRPr="00000000">
              <w:rPr>
                <w:rtl w:val="1"/>
              </w:rPr>
              <w:t xml:space="preserve">הפיכת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הנישואין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לשותפות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המבוססת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הסכמה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הדדית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הגנה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אנוסים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איסור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חמור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להזכיר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ליהודים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שאולצו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להתנצר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וחזרו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ליהדות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עברם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שיקומם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בקהילה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q3c9n4r1mq2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חברתיות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ופרטיות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איסור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קריאת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מכתבים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המסחריים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בחדר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בחרם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סמכות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הקהילה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המיעוט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להחלטות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ותשלום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דיוק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טקסטואלי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vkfs1gf0hqz" w:id="8"/>
      <w:bookmarkEnd w:id="8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יצירה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תורנית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וליטורגית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7hz6bdmybf5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התלמוד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המצטיין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ובבהירות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קונטרס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מגנצא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387239ju2aj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שירת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הסליחות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גרמניה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בפיוטים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רוטטים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שנכנסו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הנוראים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זכור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אברהם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פיוט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ובנעילה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והרדיפות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אבדנו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בחיפזון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הזאת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רקע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הכאב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בפיוטיו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טרגדיה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כנוצרי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xsfn5ef08zr" w:id="11"/>
      <w:bookmarkEnd w:id="1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ותוקף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היסטורי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תוקף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התקנות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הוגבלו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1240 / 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החמישי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נצחית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מדינת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והגירושין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הביגמיה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לגירושין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הדורות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יחיאל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תקנותיו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וגזרותיו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ותקועות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מסיני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hnqezpwh6ws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ציטוט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מפתח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חיין</w:t>
      </w:r>
      <w:r w:rsidDel="00000000" w:rsidR="00000000" w:rsidRPr="00000000">
        <w:rPr>
          <w:rtl w:val="1"/>
        </w:rPr>
        <w:t xml:space="preserve">." — </w:t>
      </w:r>
      <w:r w:rsidDel="00000000" w:rsidR="00000000" w:rsidRPr="00000000">
        <w:rPr>
          <w:b w:val="1"/>
          <w:bCs w:val="1"/>
          <w:rtl w:val="1"/>
        </w:rPr>
        <w:t xml:space="preserve">רש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יצחקי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