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הליטורגית של רב עמרם גאון</w:t>
      </w:r>
    </w:p>
    <w:p>
      <w:r>
        <w:t>תולדות חייו, תקופתו והנהגת ישיבת סורא</w:t>
      </w:r>
    </w:p>
    <w:p>
      <w:r>
        <w:t>רב עמרם בר ששנא (הידוע כרב עמרם גאון) עמד בראש ישיבת סורא שבבבל במחצית השנייה של המאה התשיעית למניינם [cite: 1, 2, 3]. כהונתו כגאון התפרסה על פני כחודש ימים ושמונה עשרה שנה, ככל הנראה משנת 857/858 למניינם (ד'תרי"ח / ד'תרכ"א) ועד לפטירתו סביב שנת 875 למניינם (ד'תרל"א / ד'תרל"ב) [cite: 2, 3, 4, 5, 6]. עשרות שנות הנהגתו התרחשו בלב תור הזהב של תקופת הגאונים תחת שלטון הח'ליפות העבאסית, עידן שבו ביססו הישיבות הבבליות – סורא ופומבדיתא – את סמכותן ההלכתית והתורנית המוחלטת על פני כל התפוצה היהודית [cite: 4, 7].</w:t>
      </w:r>
    </w:p>
    <w:p>
      <w:r>
        <w:t>רב עמרם היה תלמידו המובהק של רב נטרונאי בר הילאי (רב נטרונאי גאון השני), מגדולי ראשיה של ישיבת סורא [cite: 2, 3]. על פי עדותו של רב שרירא גאון באיגרתו המפורסמת, זכה רב עמרם להוקרה יוצאת דופן עוד בחיי רבו, והוענק לו תואר ה"גאון" לצדו של רב נטרונאי [cite: 2, 3, 8]. לפי חלק מן המקורות ההיסטוריים, בשלב מסוים הקים רב עמרם בית מדרש עצמאי, ועם פטירתו של רב נטרונאי סביב שנת 857/858 למניינם הוכתר לראש הישיבה הבלעדי בסורא [cite: 2, 3].</w:t>
      </w:r>
    </w:p>
    <w:p>
      <w:r>
        <w:t>התקופה שבה פעל רב עמרם התאפיינה בצורך גובר והולך של הקהילות היהודיות באירופה, בצפון אפריקה ובחצי האי האיברי (אל-אנדלוס) בהדרכה הלכתית וליטורגית סדורה [cite: 3, 4, 9]. תהליך היחלשותו המדינית של המרכז בארץ ישראל, לצד התפתחותם של מרכזים יהודיים חדשים במערב, הובילו לפניות תכופות אל גאוני בבל בשאלות חוק ומנהג [cite: 4, 5, 9]. רב עמרם גאון ניצל מעמד זה כדי לגבש מערכת נורמטיבית אחידה שתלכד את סדרי התפילה והפסיקה בכל רחבי העולם היהודי [cite: 4, 9].</w:t>
      </w:r>
    </w:p>
    <w:p>
      <w:r>
        <w:t>חיבורו המכונן: "סדר רב עמרם גאון" ומבנהו הליטורגי</w:t>
      </w:r>
    </w:p>
    <w:p>
      <w:r>
        <w:t>חיבורו הנודע והמשפיע ביותר של רב עמרם גאון הוא "סדר רב עמרם גאון" (הנקרא גם "סידור רב עמרם גאון" או "יסוד העמרמי"), המהווה את סידור התפילה השלם והקדום ביותר שהגיע לידינו בתולדות ספרות ישראל [cite: 2, 4, 9]. החיבור נערך ונשלח סביב שנת 872 למניינם [cite: 9]. מן הבחינה הסוגתית, החיבור לא נכתב כספר הלכה מופשט או כסידור תפילה פרטי, אלא נולד כתשובה הלכתית מורחבת (תשובת גאונים) שנשלחה לבקשת קהילה יהודית בספרד – ככל הנראה קהילת ברצלונה (ואולי אליסאנה/לוקסנה) – אשר ביקשה לקבל נוסח מוסמך ומחייב של סדר התפילות והברכות לכל ימות השנה [cite: 2, 4, 9, 10].</w:t>
      </w:r>
    </w:p>
    <w:p>
      <w:r>
        <w:t>מבנה החיבור הושתת על שילוב ייחודי בין נוסח התפילה המילולי לבין פסקי הלכה, דינים ומנהגים המלווים את התפילות [cite: 4, 9, 10]. החיבור נפתח בדיון נורמטיבי בחיוב להקפיד על מניין מאה ברכות בכל יום, בהסתמך על מימרא תלמודית של רבי מאיר ועל תשובתו הידועה של רבו רב נטרונאי גאון לקהילת אליסאנה שפירטה את סדר מאה הברכות [cite: 9, 10, 11, 12]. תבנית זו של פתיחת הסידור בהלכות מאה ברכות וברכות השחר הפכה למודל המבני של מרבית הסידורים והמחזורים באירופה בימי הביניים, כדוגמת סידור רש"י, מחזור ויטרי וספר האבודרהם [cite: 9, 10, 13].</w:t>
      </w:r>
    </w:p>
    <w:p>
      <w:r>
        <w:t>הסדר ערוך בצורה סיסטמטית ומקיפה לפי סדר הזמנים והמעגלים הליטורגיים: מעגל היום, מעגל השבוע, מעגל השנה ומעגל החיים [cite: 10, 14].</w:t>
      </w:r>
    </w:p>
    <w:p>
      <w:r>
        <w:t>חטיבה ליטורגית | תכנים מרכזיים ונושאי ההלכה בחיבור | מקורות נורמטיביים והערות</w:t>
      </w:r>
    </w:p>
    <w:p>
      <w:r>
        <w:t>תפילות החול והשחר | מאה ברכות, ברכות השחר, סדר עטיית ציצית והנחת תפילין, פסוקי דזמרה, ברכות קריאת שמע, תפילת העמידה, תחנון, קריאת התורה לימים שני וחמישי [cite: 10, 11, 12, 14]. | מבוסס על סוגיות מסכת ברכות ומנחות, תוך הסתמכות על תשובת רב נטרונאי [cite: 4, 11, 12].</w:t>
      </w:r>
    </w:p>
    <w:p>
      <w:r>
        <w:t>הלכות סעודה, מנחה וערבית | הלכות נטילת ידיים לסעודה, ברכת המזון, תפילת מנחה, תפילת ערבית, וקריאת שמע על המיטה [cite: 10, 14]. | פירוט דיני קדימות בברכות והפסק בתפילה [cite: 10, 14, 15].</w:t>
      </w:r>
    </w:p>
    <w:p>
      <w:r>
        <w:t>סדר שבתות וראשי חודשים | קבלת שבת, תפילת ערבית, שחרית, מוסף ומנחה לשבת, מעמדות, קידוש, הבדלה, סדר ראש חודש וברכת הלבנה [cite: 10, 14, 16]. | שילוב הלכות שבת, עירובין ומנהגי שתי הישיבות הבבליות [cite: 10, 14, 16, 17].</w:t>
      </w:r>
    </w:p>
    <w:p>
      <w:r>
        <w:t>מועדי דרבנן ותעניות | הלכות חנוכה (הדלקת נרות ועל הניסים), פורים (מקרא מגילה), תעניות ציבור, וסדר סליחות [cite: 10, 14, 16]. | שימור נוסחי סליחות קדומים ותיקוני תעניות [cite: 10, 14, 16].</w:t>
      </w:r>
    </w:p>
    <w:p>
      <w:r>
        <w:t>חג הפסח וההגדה | הלכות ביעור חמץ, ערב פסח, נוסח ההגדה של פסח, דיני ארבע כוסות, הלל הגדול וברכת השיר [cite: 10, 14, 17, 18]. | יסוד מרכזי להתפתחות נוסח ההגדה באירופה [cite: 10, 14, 18].</w:t>
      </w:r>
    </w:p>
    <w:p>
      <w:r>
        <w:t>חגים ומעגל השנה | תפילת שבועות, קינות תשעה באב, ראש השנה, יום הכיפורים (סדר עבודה, נעילה), סוכות ושמיני עצרת [cite: 10, 14, 16]. | כולל מחזורי תפילה ופיוטים קדומים לימים הנוראים [cite: 10, 14, 16].</w:t>
      </w:r>
    </w:p>
    <w:p>
      <w:r>
        <w:t>מעגל החיים ודינים שונים | הלכות עירובין, ברית מילה, אירוסין ונישואין, תפילת הדרך, ברכות פרטיות, וברכות אבלים [cite: 10, 14, 16]. | הדרכה הלכתית מקיפה ליחיד ולקהילה [cite: 10, 14, 16].</w:t>
      </w:r>
    </w:p>
    <w:p>
      <w:r>
        <w:t>תשובות הגאונים, פסיקתו ההלכתית וגישתו העיונית</w:t>
      </w:r>
    </w:p>
    <w:p>
      <w:r>
        <w:t>לצד עריכת הסידור, הותיר רב עמרם גאון קורפוס עשיר של תשובות הלכתיות [cite: 2, 4]. למעלה מ-120 עד 200 מתשובותיו השתמרו בקובצי תשובות הגאונים הדפוסים – כגון "שערי צדק" (שאלוניקי תקנ"ב), "שערי תשובה" ו"חמדה גנוזה" – וכן בקטעים רבים שנחשפו בגניזת קהיר [cite: 2, 3, 4]. תשובות אלו משתרעות על פני כל תחומי המשפט העברי, החל מדיני ממונות, איסור והיתר ודיני משפחה, וכלה בפרשנות תלמודית ובמתודולוגיה של פסיקת ההלכה [cite: 2, 4].</w:t>
      </w:r>
    </w:p>
    <w:p>
      <w:r>
        <w:t>ניתוח פסיקתו ההלכתית של רב עמרם גאון מלמד על גישה עיונית שקולה המשלבת נאמנות מוחלטת לתלמוד הבבלי עם נטייה למניעת חומרות יתירות ומאבק בתפיסות מאגיות [cite: 2, 4]. בין פסיקותיו המרכזיות ניתן לציין:</w:t>
      </w:r>
    </w:p>
    <w:p>
      <w:r>
        <w:t>1.  הלכות ריבית: רב עמרם פסק איסור נחרץ על הלוואה בריבית אפילו לנוכרים, והורה כי אף ש"אבק ריבית" מותר מן הדין במקרים מסוימים, על תלמידי חכמים להתרחק הימנו לחלוטין ולנהוג לפנים משורת הדין כדי לשמור על טוהר המסחר [cite: 2, 4].</w:t>
      </w:r>
    </w:p>
    <w:p>
      <w:r>
        <w:t>2.  יחס לעבדים וגיור: בסוגיית עבד שנכנס לתהליך גיור ומבקש לדחות את מילתו עד שיחלים ויאגור כוחות, פסק רב עמרם כי אין לאלצו או ללחוץ עליו, אלא יש להמתין עד שיהיה מוכן פיזית ונפשית, עמדה המבטאת גישה אנושית ורגישה [cite: 2].</w:t>
      </w:r>
    </w:p>
    <w:p>
      <w:r>
        <w:t>3.  התנגדות לסגולות ולאמונות טפלות: רב עמרם יצא בתקיפות נגד המנהג להתענות בשל חלומות רעים [cite: 2]. פסיקתו עמדה כמעט בניגוד למגמות עמיות שרווחו בזמנו, תוך שהוא קובע כי מאחר שאין לאדם יכולת להבין את טבעם האמיתי של חלומות, אין לראות בהם עילה לביטול תורה או לסיגופים [cite: 2].</w:t>
      </w:r>
    </w:p>
    <w:p>
      <w:r>
        <w:t>4.  כללי הכרעה תלמודיים: בתשובותיו ניסח כללים מתודולוגיים חשובים להבנת מבנה התלמוד, יחסי תנאים ואמוראים, והדרכים להכרעה במחלקות תלמודיות סבוכות [cite: 2, 3].</w:t>
      </w:r>
    </w:p>
    <w:p>
      <w:r>
        <w:t>שיטתו הליטורגית והמפתח הנורמטיבי</w:t>
      </w:r>
    </w:p>
    <w:p>
      <w:r>
        <w:t>שיטתו הליטורגית של רב עמרם גאון מבוססת על השאיפה ליצור סטנדרטיזציה ואחידות בפולחן היהודי, תוך הכפפת מנהגי המקומות השונים למסורת הבבלית [cite: 3, 4]. תהליך זה התאפיין במספר עקרונות יסוד:</w:t>
      </w:r>
    </w:p>
    <w:p>
      <w:r>
        <w:t>1.  קודקס ליטורגי מקיף: רב עמרם היה הראשון שקיבץ את כלל התפילות, היוצרות והברכות למסגרת טקסטואלית אחת, תוך קביעת נוסח קבוע ותחום לכל תפילה ותפילה [cite: 1, 2, 4].</w:t>
      </w:r>
    </w:p>
    <w:p>
      <w:r>
        <w:t>2.  אינטגרציה של הלכה וטקסט: הסידור משלב הנחיות מעשיות לצד הנוסחים עצמם [cite: 4, 9]. רב עמרם מגדיר את דיני ההפסק בתפילה, חובת עניית אמן, סדרי העמידה והישיבה, ומעמד הפיוט [cite: 9, 12, 15].</w:t>
      </w:r>
    </w:p>
    <w:p>
      <w:r>
        <w:t>3.  שילוב מסורות תלמודיות ומיסטיות: לצד הרציונליזם הבבלי, הסידור משקף רבדים קדומים של ספרות ההיכלות והמרכבה [cite: 19]. הדבר בולט בנוסחי הקדושה, ובפרט בתיקון נוסח ייחודי של "תשלום קדושה" למתפלל ביחיד (כגון בקדושת מנחה ליחיד), המבוסס על גרסאות טקסטואליות מיוחדות מן הגמרא וספרות הסוד [cite: 19].</w:t>
      </w:r>
    </w:p>
    <w:p>
      <w:r>
        <w:t>4.  עיגון מנהג שתי הישיבות: רב עמרם הקפיד לציין את מנהג "שתי הישיבות" (סורא ופומבדיתא) כנורמה מחייבת, כגון בהכרעותיו בעניין אמרת הלל והלל הגדול בליל פסח [cite: 17].</w:t>
      </w:r>
    </w:p>
    <w:p>
      <w:r>
        <w:t>תלמידיו, מעגלי השפעתו וממשיכי דרכו בבבל ובגולה</w:t>
      </w:r>
    </w:p>
    <w:p>
      <w:r>
        <w:t>ממעמד ישיבת סורא תחת הנהגתו של רב עמרם צמחו תלמידים ומשיבים רבים, הן בבבל והן בקהילות הגולה [cite: 3, 9, 11]. הישיבה קיימה קשר רציף עם חכמי ספרד, אשר שיגרו לישיבה שאלות הלכתיות לצד תמיכה כספית קבועה [cite: 4, 9, 11]. מבין האישים והגורמים המרכזיים במעגל השפעתו ניתן למנות:</w:t>
      </w:r>
    </w:p>
    <w:p>
      <w:r>
        <w:t>1.  חכמי ספרד ונמעני השאלות: דמויות מרכזיות בקהילות ספרד, כדוגמת מר יעקב בן רבנא יצחק (ששיגר זהובים וקופה של ישיבה לרב עמרם) ומר רב יוסף, שימשו כצינורות התקשורת שדרכם הגיעו השאלות לסורא ודרכם נפוצו תשובותיו וסידורו של רב עמרם בחצי האי האיברי [cite: 3, 10, 11].</w:t>
      </w:r>
    </w:p>
    <w:p>
      <w:r>
        <w:t>2.  ממשיכי הנהגת ישיבת סורא: לאחר פטירתו של רב עמרם, עברה הנהגת הישיבה לראשי הישיבה שבאו אחריו, ובהם רב נחשון בן צדוק (872–879 למניינם), רב צמח בן חיים (879–886 למניינם) ורב מלכא (886 למניינם) [cite: 5, 6]. חכמים אלו, שהיו תלמידיו וחבריו לבית המדרש, המשיכו להפיץ את תורתו, ואף הוסיפו הגהות ותשובות משלהם לתוך קובצי הסידור שנעתקו בישיבה [cite: 5, 6, 16].</w:t>
      </w:r>
    </w:p>
    <w:p>
      <w:r>
        <w:t>3.  חכמי פומבדיתא: קשריו של רב עמרם עם חכמי הישיבה המקבילה בפומבדיתא תרמו לגיבוש מסורת בבלית אחידה, אשר הונחלה מאוחר יותר לגאונים המאוחרים כדוגמת רב שרירא גאון ורב האי גאון [cite: 5, 6, 8].</w:t>
      </w:r>
    </w:p>
    <w:p>
      <w:r>
        <w:t>השפעתו על ספרות הראשונים ועל קודקס הפסיקה</w:t>
      </w:r>
    </w:p>
    <w:p>
      <w:r>
        <w:t>השפעתו של "סדר רב עמרם גאון" על התפתחות ההלכה והתפילה באירופה ובצפון אפריקה היתה מכרעת [cite: 4, 9, 10]. החיבור התפשט במהירות מבית המדרש בספרד אל צרפת, אשכנז, איטליה, פרובאנס ומצרים, והפך ליסוד המוסד של חכמי ימי הביניים (הראשונים) [cite: 3, 9, 10].</w:t>
      </w:r>
    </w:p>
    <w:p>
      <w:r>
        <w:t>חכמי צרפת ואשכנז ראו בחיבור סמכות עליונה [cite: 9, 10]. הסידור שימש תשתית ישירה לסידור רש"י ולמחזור ויטרי, ודרכם הופצה משנתו לכל קהילות אשכנז [cite: 6, 9, 10]. רבנו תם, מגדולי בעלי התוספות, קבע כלל נורמטיבי תוקפני המבטא את מעמדו של החיבור: "כל שאינו בקי בסדר רב עמרם ובהלכות גדולות... אין לו להרוס דברי קדמונים ומנהגם, כי עליהם יש לסמוך בדברים שאינן מכחישין תלמוד שלנו אלא שמוסיפים, והרבה מנהגים בידינו על פיהם" [cite: 9, 20].</w:t>
      </w:r>
    </w:p>
    <w:p>
      <w:r>
        <w:t>כמו כן, חכמי ספרד ופרובאנס כדוגמת הרי"ף (רבי יצחק אלפסי), הרמב"ם (בחיבורו משנה תורה), הראב"ד, ר' אברהם בן נתן הירחי (בספר המנהיג) ורבי דוד אבודרהם, הסתמכו באופן נרחב על סדר רב עמרם בקביעת נוסחי התפילה והלכותיה [cite: 2, 3, 9, 10]. מאוחר יותר, בעלי הטורים (רבי יעקב בן אשר) והשולחן ערוך (רבי יוסף קארו) שילבו עשרות מפסקי רב עמרם גאון בספרי הפסיקה היסודיים של אורח חיים [cite: 12, 15, 16].</w:t>
      </w:r>
    </w:p>
    <w:p>
      <w:r>
        <w:t>מסורת הטקסט, המחקר המודרני והמהדורות הביקורתיות</w:t>
      </w:r>
    </w:p>
    <w:p>
      <w:r>
        <w:t>אחת הסוגיות המורכבות במחקר המודרני של תורת הגאונים נוגעת לתולדות הטקסט של "סדר רב עמרם גאון" [cite: 2, 3, 9, 21]. החיבור לא שרד בכתב יד מקורי מן המאה התשיעית, אלא בכתבי יד מאוחרים מימי הביניים, המציגים ביניהם שינויי נוסח קשים, פערים נרחבים ותוספות רבות [cite: 2, 3, 9, 22].</w:t>
      </w:r>
    </w:p>
    <w:p>
      <w:r>
        <w:t>חוקרי תפילה וגאונים – ובהם לואי גינצברג, דניאל גולדשמידט וירחמיאל ברודי – הראו כי לאורך מאות שנות העתקתו של הסידור באירופה, שילבו מעתיקים, סופרים וחכמים מאוחרים הגהות, מנהגים מקומיים ואף פסקים של גאונים מאוחרים לרב עמרם (כגון רב נחשון גאון ורב סעדיה גאון) לתוך גוף הטקסט [cite: 2, 3, 9, 16]. עדות ברורה לכך היא העובדה שבכתבי היד נזכר רב עמרם עצמו בגוף שלישי ("וכך פסק רב עמרם") [cite: 9].</w:t>
      </w:r>
    </w:p>
    <w:p>
      <w:r>
        <w:t>מחקר הליטורגיה הצביע על פאראדוקס היסטורי: נוסח התפילה המופיע בכתבי היד של סדר רב עמרם שהשתמרו באירופה דומה במובנים רבים דווקא לנוסח אשכנז הקדום, בעוד שנוסח ספרד המאוחר עבר התאמות לפסיקות הרי"ף והרמב"ם [cite: 2, 3]. תופעה זו הטעתה בשעתה את החוקר משה גאסטר לסבור כי נוסח אשכנז הוא בבלי במקורו ואילו הנוסח הספרדי הוא ארצישראלי, אולם המחקר המודרני הוכיח כי מדובר בתוצאה של שרשרת עריכות והשפעות צולבות [cite: 2, 3].</w:t>
      </w:r>
    </w:p>
    <w:p>
      <w:r>
        <w:t>שאלת עצם זיהויו של החיבור ומבנהו המקורי נדונה בהרחבה במחקריו של ירחמיאל ברודי, בפרט במאמריו "רב עמרם בר ששנא – גאון סורא?" ו"לחידת עריכתו של סדר רב עמרם גאון" [cite: 3, 21, 23, 24, 25]. ברודי ניתח את השכבות הטקסטואליות השונות, והעלה בירור ביקורתי ביחס להיקף התשובה המקורית ששיגר רב עמרם לספרד לעומת התרחבותה ההדרגתית בבתי המדרש האירופיים [cite: 21, 23, 24, 25].</w:t>
      </w:r>
    </w:p>
    <w:p>
      <w:r>
        <w:t>עורך / מהדורה | שנת יציאה ומקום | מאפיינים מתודולוגיים וטקסטואליים</w:t>
      </w:r>
    </w:p>
    <w:p>
      <w:r>
        <w:t>מהדורת ר' נחמן נתן קורנל | ה'תרכ"ה (1865), ורשה | מהדורה ראשונה בדפוס. מבוססת על כתב יד יחיד, חסרת אפראט מדעי אך חלוצית [cite: 3, 9, 26].</w:t>
      </w:r>
    </w:p>
    <w:p>
      <w:r>
        <w:t>מהדורת ר' אריה ליב פרומקין | ה'תרע"ב (1912), ירושלים | מבוססת על מספר כתבי יד, מודפסת לצד סידור בנוסח אשכנז וכוללת פירוש מפורט [cite: 3, 9, 26, 27].</w:t>
      </w:r>
    </w:p>
    <w:p>
      <w:r>
        <w:t>מהדורת דוד הדגרד | 1951, לונד (שוודיה) | מהדורה ביקורתית ראשונה של חלק החול, זכתה לביקורת מושכלת מאת דניאל גולדשמידט [cite: 3, 9].</w:t>
      </w:r>
    </w:p>
    <w:p>
      <w:r>
        <w:t>מהדורת דניאל גולדשמידט | ה'תשל"ב (1971/1972), ירושלים | מהדורה מדעית-ביקורתית מרכזית. כוללת אפראט שינויי נוסח מלא, השוואה לקטעי גניזה ומבוא מקיף [cite: 3, 9, 21, 26].</w:t>
      </w:r>
    </w:p>
    <w:p>
      <w:r>
        <w:t>מהדורת הרב גרשום הרפנס ("גרש ירחים") | 1984 / 1994, בני ברק | מהדורה תורנית השואפת לשחזר את "הנוסח המקורי" באמצעות השמטת התוספות המאוחרות [cite: 3, 9, 10].</w:t>
      </w:r>
    </w:p>
    <w:p>
      <w:r>
        <w:t>מהדורת מכון ירושלים (בעריכת הרב י"ע סץ) | ה'תש"ע (2010), ירושלים | מהדורה מורחבת ומוערת המבוססת על מהדורת פרומקין בתוספת כתבי יד חדשים [cite: 9].</w:t>
      </w:r>
    </w:p>
    <w:p>
      <w:r>
        <w:t>סיכום ומסקנות</w:t>
      </w:r>
    </w:p>
    <w:p>
      <w:r>
        <w:t>פועלו ומשנתו של רב עמרם גאון מהווים נדבך יסוד בתולדות ההלכה והתרבות היהודית [cite: 2, 4, 9]. כמנהיג ישיבת סורא במאה התשיעית, השכיל רב עמרם לגשר בין המרכז הבבלי לקהילות הגולה, והניח את היסודות למיסוד התפילה והעמדתה על נוסח ונורמה מחייבים [cite: 2, 4, 9].</w:t>
      </w:r>
    </w:p>
    <w:p>
      <w:r>
        <w:t>חיבורו היסודי, "סדר רב עמרם גאון", לא רק העניק לעם היהודי את סידור התפילה השלם הראשון, אלא קבע את המתודולוגיה של שילוב הלכות ומנהגים בתוך הסדר הליטורגי [cite: 4, 9, 10]. הפסיקה ההלכתית המשתקפת בתשובותיו ובסידורו מתאפיינת בנאמנות לתלמוד הבבלי, בגישה מאוזנת ורגישה לצורכי הציבור, ובמאבק עקבי באמונות טפלות [cite: 2, 4].</w:t>
      </w:r>
    </w:p>
    <w:p>
      <w:r>
        <w:t>אף שהמחקר המודרני הראה כי נוסח הסידור שבידינו הוא פרי עריכה מתמשכת ורבדונית, עצם היותו תבנית אב לכלל סידורי ומחזורי העדות בישראל מבטיח את מקומו הבלתי מעורער של רב עמרם גאון כאחד מגדול עיצובה של הליטורגיה וההלכה לדורותיה [cite: 1, 3, 9, 10].</w:t>
      </w:r>
    </w:p>
    <w:p>
      <w:r>
        <w:t>--------------------------------------------------------------------------------</w:t>
      </w:r>
    </w:p>
    <w:p>
      <w:r>
        <w:t>1.  Amram Gaon - Academic Kids, https://academickids.com/encyclopedia/index.php/Amram_Gaon</w:t>
      </w:r>
    </w:p>
    <w:p>
      <w:r>
        <w:t>2.  Amram Gaon | Religion Wiki - Fandom, https://religion.fandom.com/wiki/Amram_Gaon</w:t>
      </w:r>
    </w:p>
    <w:p>
      <w:r>
        <w:t>3.  Amram ben Sheshna - Wikipedia, https://en.wikipedia.org/wiki/Amram_ben_Sheshna</w:t>
      </w:r>
    </w:p>
    <w:p>
      <w:r>
        <w:t>4.  Amram Gaon - Jewish Virtual Library, https://jewishvirtuallibrary.org/amram-gaon</w:t>
      </w:r>
    </w:p>
    <w:p>
      <w:r>
        <w:t>5.  גאונים - ויקיפדיה, https://he.wikipedia.org/wiki/%D7%92%D7%90%D7%95%D7%A0%D7%99%D7%9D</w:t>
      </w:r>
    </w:p>
    <w:p>
      <w:r>
        <w:t>6.  ספר הדורות הקצר | PDF - Scribd, https://www.scribd.com/document/584618679/%D7%A1%D7%A4%D7%A8-%D7%94%D7%93%D7%95%D7%A8%D7%95%D7%AA-%D7%94%D7%A7%D7%A6%D7%A8</w:t>
      </w:r>
    </w:p>
    <w:p>
      <w:r>
        <w:t>7.  תקופת הגאונים וספרותה: הרצאות ושיעורים - פרויקט בן־יהודה, https://benyehuda.org/collections/10805</w:t>
      </w:r>
    </w:p>
    <w:p>
      <w:r>
        <w:t>8.  חנן כהן / האנציקלופדיה העברית. כרך עשרים ושבעה: עמר ח'יאם – פקח, http://info.org.il/encyclopaedia-hebraica/volume-27.php</w:t>
      </w:r>
    </w:p>
    <w:p>
      <w:r>
        <w:t>9.  סדר רב עמרם גאון - ויקיפדיה, https://he.wikipedia.org/wiki/%D7%A1%D7%93%D7%A8_%D7%A8%D7%91_%D7%A2%D7%9E%D7%A8%D7%9D_%D7%92%D7%90%D7%95%D7%9F</w:t>
      </w:r>
    </w:p>
    <w:p>
      <w:r>
        <w:t>10. סדר רב עמרם גאון עם פירוש גרש ירחים - אוצר הספרים, https://www.sefer.org.il/items/3730562-%D7%A1%D7%93%D7%A8-%D7%A8%D7%91-%D7%A2%D7%9E%D7%A8%D7%9D-%D7%92%D7%90%D7%95%D7%9F-%D7%A2%D7%9D-%D7%A4%D7%99%D7%A8%D7%95%D7%A9-%D7%92%D7%A8%D7%A9-%D7%99%D7%A8%D7%97%D7%99%D7%9D-%D7%94%D7%95%D7%A6%D7%90%D7%94-%D7%9C%D7%90%D7%95%D7%A8-%D7%95%D7%92%D7%A9%D7%9C</w:t>
      </w:r>
    </w:p>
    <w:p>
      <w:r>
        <w:t>11. סדר רב עמרם גאון, https://www.daat.ac.il/daat/vl/sidur-rav-amram/sidur-rav-amram01.pdf</w:t>
      </w:r>
    </w:p>
    <w:p>
      <w:r>
        <w:t>12. שולחן ערוך: סימן מו - BeitChabad.com - בית חב"ד, https://he.chabad.org/library/article_cdo/aid/3285888</w:t>
      </w:r>
    </w:p>
    <w:p>
      <w:r>
        <w:t>13. Introduction to Seder Rav Amrom Gaon - Beurei Hatefila Home, https://beureihatefila.com/files/First_Page_Seder_Rav_Amrom_Gaon_Exhibit.pdf</w:t>
      </w:r>
    </w:p>
    <w:p>
      <w:r>
        <w:t>14. סדר רב עמרם גאון, https://www.daat.ac.il/daat/vl/tohen.asp?id=24</w:t>
      </w:r>
    </w:p>
    <w:p>
      <w:r>
        <w:t>15. שולחן ערוך: סימן נד - BeitChabad.com - בית חב"ד, https://he.chabad.org/library/article_cdo/aid/3285902</w:t>
      </w:r>
    </w:p>
    <w:p>
      <w:r>
        <w:t>16. PRAYER-BOOKS - JewishEncyclopedia.com, https://www.jewishencyclopedia.com/articles/12332-prayer-books</w:t>
      </w:r>
    </w:p>
    <w:p>
      <w:r>
        <w:t>17. ירחון, https://tora-forum.co.il/attachments/%D7%99%D7%A8%D7%97%D7%95%D7%9F-%D7%94%D7%90%D7%95%D7%A6%D7%A8-39-pdf.36319/</w:t>
      </w:r>
    </w:p>
    <w:p>
      <w:r>
        <w:t>18. סדר בסדר, על הסדר | חיבורים בספריא, https://www.sefaria.org.il/sheets/390482</w:t>
      </w:r>
    </w:p>
    <w:p>
      <w:r>
        <w:t>19. Amram ben Rav Sheshna • the Open Siddur Project פְּרוֺיֶקְט הַסִּדּוּר הַפָּתוּחַ, https://opensiddur.org/profile/amram-ben-rav-sheshna/</w:t>
      </w:r>
    </w:p>
    <w:p>
      <w:r>
        <w:t>20. יין הטוב, חלק א, אורח חיים ט׳:כא | האוסף של ספריא, https://www.sefaria.org.il/Yein_HaTov,_Part_I,_Orach_Chayim.9.21</w:t>
      </w:r>
    </w:p>
    <w:p>
      <w:r>
        <w:t>21. interpreting jewish liturgy: the literary-intertext method - ProQuest, https://search.proquest.com/openview/6690fc1d3906f3dd44633b0de77a3599/1.pdf?pq-origsite=gscholar&amp;cbl=18750</w:t>
      </w:r>
    </w:p>
    <w:p>
      <w:r>
        <w:t>22. Literature or Liturgy?: Early Christian Hymns and Prayers in their Literary and Liturgical Context in Antiquity 978-3161532184 - DOKUMEN.PUB, https://dokumen.pub/literature-or-liturgy-early-christian-hymns-and-prayers-in-their-literary-and-liturgical-context-in-antiquity-978-3161532184.html</w:t>
      </w:r>
    </w:p>
    <w:p>
      <w:r>
        <w:t>23. עמרם בן ששנא גאון | הספרייה הלאומית, https://www.nli.org.il/he/a-topic/987007291633405171</w:t>
      </w:r>
    </w:p>
    <w:p>
      <w:r>
        <w:t>24. רב עמרם בר ששנא - גאון סורא? | Article | RAMBI990000013000705171 | The National Library of Israel, https://www.nli.org.il/en/articles/RAMBI990000013000705171/NLI</w:t>
      </w:r>
    </w:p>
    <w:p>
      <w:r>
        <w:t>25. Judaica-Portal - KOBV, https://judaica.kobv.de/advancedSearch.do?fq=person%3A%D0%91%D1%80%D0%BE%D0%B4%D0%B8%2C+%D0%A0%D0%BE%D0%B1%D0%B5%D1%80%D1%82&amp;sortCrit=score&amp;sortOrder=desc&amp;hitsPerPage=10&amp;index=internal&amp;f1=author&amp;v1=Amram+ben+Sheshna&amp;conj1=&amp;f2=&amp;v2=&amp;conj2=&amp;f3=&amp;v3=&amp;conj3=&amp;f4=&amp;v4=&amp;conj4=&amp;f5=&amp;v5=&amp;conj5=&amp;f6=&amp;v6=&amp;conj6=&amp;f7=&amp;v7=&amp;plv=2</w:t>
      </w:r>
    </w:p>
    <w:p>
      <w:r>
        <w:t>26. סדר רב עמרם גאון - פורום לתורה, https://tora-forum.co.il/threads/%D7%A1%D7%93%D7%A8-%D7%A8%D7%91-%D7%A2%D7%9E%D7%A8%D7%9D-%D7%92%D7%90%D7%95%D7%9F.100990/</w:t>
      </w:r>
    </w:p>
    <w:p>
      <w:r>
        <w:t>27. Anrão ben Xesna – Wikipédia, a enciclopédia livre, https://pt.wikipedia.org/wiki/Anr%C3%A3o_ben_Xesna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