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אחאי בר פפא: מחקר ביוגרפי, היסטורי והלכתי</w:t>
      </w:r>
    </w:p>
    <w:p>
      <w:r>
        <w:t>מאמר זה סוקר את דמותו של האמורא רבי אחאי בר פפא, תוך התמודדות עם הקושי הכרונולוגי בזיהויו כבנו של רב פפא המפורסם והצבת חלופות היסטוריות המייחסות אותו לתקופה קדומה יותר. הטקסט מתאר את הניידות הגיאוגרפית של החכם, שפעל בבבל ובהמשך בארץ ישראל, שם עמד בקשרים תורניים עם גדולי הדור והשפיע על עיצוב הלכות מגוונות בתחומי השבת, המועדים והרפואה. מוקד מרכזי במחקר מוקדש לניתוח שיטתו המשפטית, המדגישה את טוהר ההליך השיפוטי ומניעת הטיות, לצד בירור מקומו בתוך המסורת הליטורגית של "בני רב פפא" הנאמרת בסיום מסכתות. לסיכום, המקור מבקש להציג דיוקן מקיף של חכם המגשר בין מרכזי התורה ומותיר חותם של לכידות משפחתית ודיוק הלכתי על פני דורות של לומדים.</w:t>
      </w:r>
    </w:p>
    <w:p>
      <w:r>
        <w:t>פועלו ומשנתו התורנית של רבי אחאי בר פפא: מחקר ביוגרפי, היסטורי והלכתי</w:t>
      </w:r>
    </w:p>
    <w:p>
      <w:r>
        <w:t>בירור זהותו ההיסטורית והכרונולוגית של רבי אחאי בר פפא</w:t>
      </w:r>
    </w:p>
    <w:p>
      <w:r>
        <w:t>שחזור דמותו של האמורא רבי אחאי בר פפא (המופיע במקורות חז"ל גם כרבי אחא בר פפא, רבי אחא בר פפי, ובבבל כרב אחא אריכא) מציב אתגר מתודולוגי מורכב בפני חוקרי תולדות התנאים והאמוראים [cite: 1, 2, 3, 4]. מקור הקושי טמון בכפל השמות ובפערים הכרונולוגיים המשתקפים בספרות התלמודית ובמסורות הליטורגיות המאוחרות [cite: 5, 6, 7]. המסורת העממית והליטורגית המוכרת ביותר קושרת את רבי אחאי לקבוצת עשרת "בני רב פפא" המוזכרים בנוסח תפילת ה"הדרן" בסיומה של כל מסכת בתלמוד הבבלי [cite: 5, 7, 8]. אזכור זה מייחס אותו לכאורה כבנו הביולוגי של רב פפא, ראש ישיבת נרש המפורסם מן הדור החמישי של אמוראי בבל, אשר נפטר בשלהי המאה הרביעית לספירה [cite: 7].</w:t>
      </w:r>
    </w:p>
    <w:p>
      <w:r>
        <w:t>עם זאת, הצלבת נתונים כרונולוגיים חושפת סתירה היסטורית מובהקת [cite: 6]. רבי אחאי בר פפא מתועד בתלמוד הבבלי ובתלמוד הירושלמי כמי שפעל, שאל והתווכח באופן בלתי אמצעי עם גדולי החכמים של הדור השלישי של האמוראים, ובהם רבי אבהו, רבי זירא ורבי אמי [cite: 4, 9, 10, 11]. השתייכותו לדור זה אינה מתיישבת עם היותו בנו של רב פפא מנרש, שכן פער הדורות ביניהם נע על פני עשרות שנים [cite: 6].</w:t>
      </w:r>
    </w:p>
    <w:p>
      <w:r>
        <w:t>על מנת ליישב סתירה זו, התגבשו במחקר ההיסטורי והתלמודי שתי גישות פרשניות מרכזיות:</w:t>
      </w:r>
    </w:p>
    <w:p>
      <w:r>
        <w:t>הגישה הראשונה, המבוססת על דברי בעל ספר "יוחסין" וספר "סדר הדורות", מייחסת את רבי אחאי ואת אֶחיו לא לרב פפא מנרש, אלא לאמורא קדום יותר המכונה "רב פפא סבא" [cite: 1, 6]. חכם זה פעל בבבל בדור השני של האמוראים והיה תלמידו המובהק של רב [cite: 1]. ייחוס זה פותר באופן מלא את הבעיה הכרונולוגית, ומציב את רבי אחאי בדור השלישי, כבן זמנם של חכמי ארץ ישראל המוזכרים עמו [cite: 4, 6, 9].</w:t>
      </w:r>
    </w:p>
    <w:p>
      <w:r>
        <w:t>הגישה השנייה, המובאת בשמו של רב האי גאון ובספר "האשכול", מציעה פתרון קומפילטיבי [cite: 1, 5]. לשיטתם, עשרת בני רב פפא המוזכרים בסיום המסכת אינם אחים ביולוגיים ואינם בניו של אותו אב [cite: 1, 5]. מדובר בליקוט של חכמים שונים מתקופות שונות, שלכולם היה אב בשם פפא [cite: 1, 5]. אלו אוגדו יחד במסורת המאוחרת בשל סגולת שמם המשותף המועילה נגד שכחה [cite: 1, 5].</w:t>
      </w:r>
    </w:p>
    <w:p>
      <w:r>
        <w:t>קושי טקסטואלי נוסף העולה מן הדיונים התלמודיים נובע מן הדמיון הפונטי והגרפי בין השמות "חייא" ו"אחא" או "אחאי" [cite: 2]. המהר"ש אלגאזי והמהרש"א עמדו על כך שבמקומות שונים בש"ס, כגון במסכת סנהדרין דף לד ע"ב, הגרסה הכתובה "רבי חייא בר פפא" משובשת, וצריך לומר "רבי אחא בר פפא" [cite: 4, 12, 13, 14]. זיהוי זה נתמך על ידי המבנה ההרמוני של הסוגיות והסימנים המסורתיים שניתנו להלכותיו של רבי אחאי באותו פרק [cite: 2, 4, 15].</w:t>
      </w:r>
    </w:p>
    <w:p>
      <w:r>
        <w:t>גיאוגרפיה תורנית ומעברים בין המרכזים: מבבל לארץ ישראל</w:t>
      </w:r>
    </w:p>
    <w:p>
      <w:r>
        <w:t>רבי אחאי בר פפא מייצג דמות של חכם אשר נע בין שני המרכזים התורניים המרכזיים של תקופתו, תוך שהוא מטמיע את מסורות הלימוד של יהדות בבל ומשלב אותן בישיבותיה של ארץ ישראל [cite: 4]. ראשית חינוכו התורני של רבי אחאי הייתה בבבל, שם למד בפני רב הונא, ראש ישיבת סורא ומנהיגו של הדור השני והשלישי בבבל [cite: 4]. תחת שמו הבבלי, "רב אחא אריכא", הוא מתועד כמוסר שמועות ישירות מרב הונא, כגון בעניין זמן ברכת התפילין במסכת מנחות ודיון בסדרי הברכות במסכת ברכות [cite: 4, 16].</w:t>
      </w:r>
    </w:p>
    <w:p>
      <w:r>
        <w:t>בשלב מאוחר יותר של חייו היגר רבי אחאי לארץ ישראל והשתלב בבתי המדרש המקומיים, שם הפך לבר-פלוגתא ותלמיד-חבר של בכירי תלמידיו של רבי יוחנן [cite: 4]. מעבר גיאוגרפי זה בא לידי ביטוי בשורת דיונים הלכתיים המופיעים בתלמוד הירושלמי ובמדרשים [cite: 4, 9, 17, 18]. מעמדו בארץ ישראל היה כה מבוסס, עד כי מתועד מקרה שבו עלה רבי אחאי במיוחד על מנת להתיר את נדרו של ראש ישיבת טבריה, רבי אמי [cite: 4, 11].</w:t>
      </w:r>
    </w:p>
    <w:p>
      <w:r>
        <w:t>על מנת להמחיש את היקף פעילותו הגיאוגרפית ואת קשריו התורניים, מובאת להלן מפת המגעים התורניים של רבי אחאי בר פפא בשני המרכזים:</w:t>
      </w:r>
    </w:p>
    <w:p>
      <w:r>
        <w:t>החכם המשוחח | המרכז הגיאוגרפי | נושא הדיון המרכזי | מקור תלמודי</w:t>
      </w:r>
    </w:p>
    <w:p>
      <w:r>
        <w:t>רב הונא | בבל (סורא) | מסירת שמועות ומנהג ברכת התפילין [cite: 4, 16] | מנחות לה ע"ב, ברכות לג ע"א [cite: 4]</w:t>
      </w:r>
    </w:p>
    <w:p>
      <w:r>
        <w:t>רבי אבהו | ארץ ישראל (קיסריה) | תרופות חומץ בשבת ואיזון בין סתירות מקראיות [cite: 4, 10, 19] | שבת קיא ע"א [cite: 4, 10, 19]</w:t>
      </w:r>
    </w:p>
    <w:p>
      <w:r>
        <w:t>רבי זירא (זעורה) | ארץ ישראל | סדר הנחת תפילין, תקיעת שופר, ומעמד פצועי דכא [cite: 4, 9, 18, 20, 21] | ירושלמי מעשר שני ה:ה, ר"ה ד:ח, יבמות ח:ב [cite: 4, 9, 18, 20, 21]</w:t>
      </w:r>
    </w:p>
    <w:p>
      <w:r>
        <w:t>רבי אמי | ארץ ישראל (טבריה) | התרת נדרים והנהגות הלכתיות אישיות [cite: 4, 11] | ירושלמי נדרים י:י, כתובות ו:ג [cite: 4, 11]</w:t>
      </w:r>
    </w:p>
    <w:p>
      <w:r>
        <w:t>רבי אבא | ארץ ישראל | הלכות קשירה, הבחנה בין סוגי חבלים בשבת [cite: 4, 22] | שבת קיג ע"ב [cite: 4, 22]</w:t>
      </w:r>
    </w:p>
    <w:p>
      <w:r>
        <w:t>משנתו ההלכתית: ניתוח סוגיות נבחרות</w:t>
      </w:r>
    </w:p>
    <w:p>
      <w:r>
        <w:t>משנתו ההלכתית של רבי אחאי בר פפא מתאפיינת בגישה קפדנית השואפת ליישב סתירות בין מקורות תנאיים מוקדמים (ברייתות ומשניות) באמצעות חילוקים מושגיים דקים [cite: 10, 20, 22]. פסיקותיו משתרעות על פני תחומים מגוונים, החל מהלכות איסור והיתר ועד להלכות שבת ומועדים [cite: 10, 20, 21].</w:t>
      </w:r>
    </w:p>
    <w:p>
      <w:r>
        <w:t>מעמד פצועי דכא וכשרות לבוא בקהל</w:t>
      </w:r>
    </w:p>
    <w:p>
      <w:r>
        <w:t>בדיון הלכתי מורכב המופיע בירושלמי ומצוטט בפוסקים, נדרש רבי אחאי ליישב סתירה בין שתי ברייתות העוסקות בדיני סירוס ופצוע דכא [cite: 20]. ברייתא אחת קובעת כי אדם שאיבריו נפגעו מותר לבוא בקהל, ואילו הברייתא השנייה פוסלת אותו [cite: 20]. רבי אחאי מיישב את הסתירה באמצעות יצירת הבחנה מושגית בין מנגנוני הפגיעה:</w:t>
      </w:r>
    </w:p>
    <w:p>
      <w:r>
        <w:t>הברייתא המתירה עוסקת במצב של פגיעה שהיא "בידי שמים לגמרי", כלומר חולי טבעי או שחין שהתפתח מאליו [cite: 20]. במקרה זה, מאחר שהפגם לא נוצר על ידי התערבות אנושית מכוונת, אין האדם נפסל מלבוא בקהל לכל הדעות [cite: 20].</w:t>
      </w:r>
    </w:p>
    <w:p>
      <w:r>
        <w:t>הברייתא הפוסלת עוסקת במקרה מורכב, שבו המחלה התחילה אנם "בידי שמים", אך בהמשך הדרך התערב רופא וכרת את האיבר לצורך רפואי [cite: 20]. לשיטת תנא קמא של אותה ברייתא, התערבותו הפקטיבית של הרופא מעבירה את הסטטוס של הפגם ל"בידי אדם", ובשל כך הוא נפסל [cite: 20].</w:t>
      </w:r>
    </w:p>
    <w:p>
      <w:r>
        <w:t>רבי אחאי מבהיר כי לדעת רבי ישמעאל בנו של רבי יוחנן בן ברוקא, גם במקרה זה האדם כשר, שכן פעולתו של הרופא אינה נחשבת לחבלה מכוונת אלא להסרת בשר פגוע בלבד [cite: 20]. חלוקה זו של רבי אחאי מציגה הבנה עמוקה של הגבולות שבין כוחו של הטבע (בידי שמים) לבין פעולתו הטכנולוגית-רפואית של האדם [cite: 20].</w:t>
      </w:r>
    </w:p>
    <w:p>
      <w:r>
        <w:t>הלכות קשירה בשבת והבחנה בין חבלים</w:t>
      </w:r>
    </w:p>
    <w:p>
      <w:r>
        <w:t>במסכת שבת דן התלמוד בדינו של אדם המבקש לקשור פרה לאבוס בשבת [cite: 22]. רבי אבא מסר בשם רב כי מותר להביא חבל מתוך הבית ולקשור בו את הפרה [cite: 22]. רבי אחאי בר פפא (רב אחא אריכא) מקשה על פסק זה מברייתא מפורשת האוסרת להביא חבל מן הבית לצורך קשירה זו, ומחלק בין שני סוגי חבלים:</w:t>
      </w:r>
    </w:p>
    <w:p>
      <w:r>
        <w:t>"חבל דעלמא" (חבל רגיל), המיועד לקשירה קבועה, נאסר בשימוש בשבת שכן קשירתו עלולה להיחשב ל"קשר של קיימא" האסור מן התורה או מדברי סופרים [cite: 22].</w:t>
      </w:r>
    </w:p>
    <w:p>
      <w:r>
        <w:t>"חבל דגרדי" (חבל של אורגים), שהוא חבל ארעי וגמיש המיועד להתרה תכופה [cite: 22]. בחבל זה הותר לקשור את הפרה לאבוס, שכן אופיו הפונקציונלי מונע ממנו מלהפוך לקשר קבוע [cite: 22].</w:t>
      </w:r>
    </w:p>
    <w:p>
      <w:r>
        <w:t>חילוק זה אומץ על ידי גדולי הפוסקים, בהם הרי"ף והרמב"ם, אשר שילבו את עקרונותיו של רבי אחאי בהגדרת מהותה של מלאכת קושר בשבת [cite: 22].</w:t>
      </w:r>
    </w:p>
    <w:p>
      <w:r>
        <w:t>הלכות רפואה בשבת: שימוש בחומץ</w:t>
      </w:r>
    </w:p>
    <w:p>
      <w:r>
        <w:t>במסכת שבת מקשה רבי אחאי לרבי אבהו על הסתירה שבין המשנה לבין הפסוק בספר משלי [cite: 4, 10, 19, 23]. המשנה קובעת כי החושש בשיניו לא יגמע חומץ בשבת, מתוך הנחה שהחומץ מהווה תרופה יעילה לכאב שיניים, וחל איסור לעשות רפואה בשבת [cite: 10, 19, 23]. מנגד, הכתוב במשלי מתאר את החומץ כגורם נזק לשיניים: "כחומץ לשיניים וכעשן לעיניים" [cite: 4, 10, 19, 23]. רבי אחאי מציע שני חילוקים ליישוב הקושי:</w:t>
      </w:r>
    </w:p>
    <w:p>
      <w:r>
        <w:t>סוג הנוזל: הפסוק מדבר על "קיוהא דפירי" (חומץ פירות חמוץ או יין שלא בישל כל צורכו), המזיק תמיד לשיניים [cite: 10, 19, 23]. לעומת זאת, המשנה עוסקת בחומץ יין אמיתי שיש לו סגולות מרפאות [cite: 10, 19, 23].</w:t>
      </w:r>
    </w:p>
    <w:p>
      <w:r>
        <w:t>מצב הפצע: חומץ יין פועל באופן דיפרנציאלי; אם יש מכה או פצע בפה – החומץ מרפא אותם, ולכן חל איסור לגומעו בשבת [cite: 10, 19, 23]. אולם, במצב שבו אין פצע, החומץ רק מחליש ומרפה את השיניים, ובמצב כזה הוא נחשב למזיק ואינו אסור משום רפואה [cite: 10, 19, 23].</w:t>
      </w:r>
    </w:p>
    <w:p>
      <w:r>
        <w:t>קביעת סדר תקיעת שופר בראש השנה</w:t>
      </w:r>
    </w:p>
    <w:p>
      <w:r>
        <w:t>בתלמוד הירושלמי מובאת עדותו של רבי אחאי בפני רבי זירא בנוגע לסדר התקיעות בראש השנה: "שנייא היא שמצות היום במוסף" [cite: 9, 21]. קביעה זו מסבירה מדוע תוקעים בשופר דווקא במהלך תפילת מוסף ולא בשחרית, חרף הכלל של "זריזים מקדימים למצוות" [cite: 21].</w:t>
      </w:r>
    </w:p>
    <w:p>
      <w:r>
        <w:t>הרקע ההיסטורי לקביעה זו נעוץ בגזרות שמד ובמצבי מלחמה שאירעו בארץ ישראל [cite: 17]. כאשר היו תוקעים בשחרית, היו השלטונות (הרומאים או כוחות ערביים-סרקיים שפלשו לארץ) חושדים כי התרועה היא אות לפתיחה במרד צבאי, והיו מתקיפים את המתפללים [cite: 17]. העברת התקיעות לתפילת מוסף – לאחר שהציבור כבר ישב שעות רבות בבית הכנסת בקריאת התורה ובתפילה – הוכיחה לשלטונות כי מדובר בפעילות דתית שלווה ולא בהתארגנות מלחמתית [cite: 17, 21]. רבי אחאי נתן לקביעה זו ביסוס הלכתי איתן המעגן את חובת התקיעה בעיצומו של היום [cite: 21].</w:t>
      </w:r>
    </w:p>
    <w:p>
      <w:r>
        <w:t>המערכת השיפוטית וסדרי הדין: "משפט, מענה, מטה"</w:t>
      </w:r>
    </w:p>
    <w:p>
      <w:r>
        <w:t>בפרק רביעי של מסכת סנהדרין מופיע מקבץ של שלוש הלכות יסוד שמסר רבי אחאי בר פפא, העוסקות בסדרי הדין הפלילי והאזרחי [cite: 2, 4, 15]. הלכות אלו, המאוגדות תחת הסימן "משפט, מענה, מטה", משקפות תפיסה משפטית השואפת להבטיח את טוהר ההליך השיפוטי ואת מניעתם של עיוותי דין [cite: 2, 4, 15].</w:t>
      </w:r>
    </w:p>
    <w:p>
      <w:r>
        <w:t>על מנת להשוות בין המנגנונים המשפטיים השונים המופיעים בהלכות אלו, מוצג הניתוח הבא:</w:t>
      </w:r>
    </w:p>
    <w:p>
      <w:r>
        <w:t>הסימן המשפטי | המקור המקראי הנדרש | העיקרון הדיוני והמנגנון הפסיכולוגי | ההשלכה המעשית בהליך השיפוטי</w:t>
      </w:r>
    </w:p>
    <w:p>
      <w:r>
        <w:t>משפט | "ושפטו את העם בכל עת" [cite: 2, 5] | חובת קיום דיונים בשעות היום כדי להבטיח בהירות מחשבתית וראיית ראיות מיטבית [cite: 2, 5]. | דיני ממונות נפתחים ונגמרים ביום בלבד, ואינם נידונים בשעות הלילה [cite: 2, 5].</w:t>
      </w:r>
    </w:p>
    <w:p>
      <w:r>
        <w:t>מענה | "לא תענה על רִב" (נלמד כקריאת "רַב") [cite: 2, 5, 24] | מניעת הטיות קוגניטיביות, קונפורמיות ופחד מפני חלישת דעתו של הדיין הבכיר [cite: 5, 24]. | בדיני נפשות מתחילים את סבב הצבעות הדיינים מן הזוטרים והצעירים היושבים בצד [cite: 5, 24].</w:t>
      </w:r>
    </w:p>
    <w:p>
      <w:r>
        <w:t>מטה | "לא תטה משפט אביונך בריבו" [cite: 2, 25] | הבחנה משפטית בין מעמדו של האדם לבין מעמדם של בעלי חיים בהליך הפלילי [cite: 2, 25]. | שור הנסקל נידון בפני עשרים ושלושה דיינים, אך סדרי הדין המקלים של "לא תטה" אינם חלים עליו באופן מלא [cite: 2, 25].</w:t>
      </w:r>
    </w:p>
    <w:p>
      <w:r>
        <w:t>הלכת "מענה" משקפת מודעות מודרנית יוצאת דופן להטיות פסיכולוגיות בתוך הרכב שופטים [cite: 24]. רבי אחאי זיהה כי הצהרת עמדתו של "הרב" (אב בית הדין או החכם הגדול בהרכב) בתחילת הדיון עלולה לשתק את שיקול דעתם העצמאי של הדיינים הצעירים [cite: 24]. מנגנון "התחלה מן הצד" נועד ליצור מרחב מוגן שבו כל דיין יכול להביע את עמדתו האמיתית ללא מורא, עקרון המהווה אבן יסוד בחקר האמת השיפוטית [cite: 24].</w:t>
      </w:r>
    </w:p>
    <w:p>
      <w:r>
        <w:t>הלכידות המשפחתית והספרותית: מסורת "בני רב פפא" והליטורגיה</w:t>
      </w:r>
    </w:p>
    <w:p>
      <w:r>
        <w:t>ההיבט הייחודי ביותר בפועלו של רבי אחאי בר פפא הוא השתלבותו ברשת המסירה המשותפת של עשרת (או אחד עשר) בני רב פפא סבא [cite: 1]. במסכת בבא קמא מתועדת תופעה ייחודית שבה האחים מוסרים שמועות הלכתיות זה בשם זה, כאשר שמותיהם מתחלפים במבנים שונים של "ואמרי לה" [cite: 1, 26]. על מנת לזכור את קבוצות השמועות ואת סדר מוסריהן, קבעו חכמי הגמרא סימנים מנמוניים, שהמפורסם שבהם הוא "חב"ד בי"ח בח"ן" [cite: 1].</w:t>
      </w:r>
    </w:p>
    <w:p>
      <w:r>
        <w:t>סימן זה שימש ככלי קוגניטיבי לשמירת שלמותן של המסורות המשפחתיות ומניעת שיבושים בשמות האחים המוסרים [cite: 1]. הוא מדגיש את התפיסה לפיה בבית מדרשם של בני רב פפא לא הייתה קיימת היררכיה נוקשה; כל האחים היו שווים במעלתם התורנית, והחלפת השמות ביניהם בשרשרת המסירה מעידה על אחדות רעיונית ולימודית עמוקה [cite: 1].</w:t>
      </w:r>
    </w:p>
    <w:p>
      <w:r>
        <w:t>לכידות משפחתית זו חרגה מגבולות בית המדרש ההיסטורי והפכה ליסוד ליטורגי מרכזי בספרות הגאונים והראשונים [cite: 5, 7, 8]. רב האי גאון היה הראשון שתיעד את המנהג להזכיר את שמות עשרת בני רב פפא בסיום מסכת [cite: 7]. המנהג פשט בכל קהילות ישראל ואומץ על ידי הרמ"א בשולחן ערוך [cite: 1, 8]. הזכרת שמות האחים (חנינא, רמי, נחמן, אחאי, אבא מרי, רפרם, רכיש, סורחב, אדא, דרו) נחשבת בספרות הקבלה והמנהג כסגולה לשמירת התורה בזיכרון ומניעת שכחת הלימוד, מתוך אמונה כי כוחם המשותף של האחים, שחיו ועמלו יחד בתורה, מסייע ללומדים ללכת בדרכם [cite: 1, 5].</w:t>
      </w:r>
    </w:p>
    <w:p>
      <w:r>
        <w:t>--------------------------------------------------------------------------------</w:t>
      </w:r>
    </w:p>
    <w:p>
      <w:r>
        <w:t>1.  בני רב פפא - "סוד" (בבא קמא פ ע"ב) - פורטל הדף היומי, https://daf-yomi.com/DYItemDetails.aspx?itemId=34426</w:t>
      </w:r>
    </w:p>
    <w:p>
      <w:r>
        <w:t>2.  ףדה לע xtq - Portal Daf Yomi, https://files.daf-yomi.com/files/bookfiles/daf-al-hadaf-sanhedrin/daf-al-hadaf-sanhedrin.pdf</w:t>
      </w:r>
    </w:p>
    <w:p>
      <w:r>
        <w:t>3.  Seder HaDorot, Tanaim and Amoraim 303 | Sefaria Library, https://www.sefaria.org/Seder_HaDorot,_Tanaim_and_Amoraim.303</w:t>
      </w:r>
    </w:p>
    <w:p>
      <w:r>
        <w:t>4.  תולדות תנאים ואמוראים/א/רב אחא אריכא - ויקיטקסט, https://he.wikisource.org/wiki/%D7%AA%D7%95%D7%9C%D7%93%D7%95%D7%AA_%D7%AA%D7%A0%D7%90%D7%99%D7%9D_%D7%95%D7%90%D7%9E%D7%95%D7%A8%D7%90%D7%99%D7%9D/%D7%90/%D7%A8%D7%91_%D7%90%D7%97%D7%90_%D7%90%D7%A8%D7%99%D7%9B%D7%90</w:t>
      </w:r>
    </w:p>
    <w:p>
      <w:r>
        <w:t>5.  רב פפא - אהלי צדיקים, https://zadikim.com/places/%D7%A8%D7%91-%D7%A4%D7%A4%D7%90/</w:t>
      </w:r>
    </w:p>
    <w:p>
      <w:r>
        <w:t>6.  רבי אבא בר פפא - ויקיפדיה, https://he.wikipedia.org/wiki/%D7%A8%D7%91%D7%99_%D7%90%D7%91%D7%90_%D7%91%D7%A8_%D7%A4%D7%A4%D7%90</w:t>
      </w:r>
    </w:p>
    <w:p>
      <w:r>
        <w:t>7.  רב פפא - ויקיפדיה, https://he.wikipedia.org/wiki/%D7%A8%D7%91_%D7%A4%D7%A4%D7%90</w:t>
      </w:r>
    </w:p>
    <w:p>
      <w:r>
        <w:t>8.  סיום מסכת – ויקישיבה, https://www.yeshiva.org.il/wiki/index.php/%D7%A1%D7%99%D7%95%D7%9D_%D7%9E%D7%A1%D7%9B%D7%AA</w:t>
      </w:r>
    </w:p>
    <w:p>
      <w:r>
        <w:t>9.  Rosh HaShanah 30 – ראש השנה ל‏ – Yerushalmi Gadol – AlHaTorah, https://yerushalmi.alhatorah.org/Rosh%20HaShanah/30</w:t>
      </w:r>
    </w:p>
    <w:p>
      <w:r>
        <w:t>10. Talmud (Rodkinson)/Book 1/Chapter 14 - Wikisource, the free online library, https://en.wikisource.org/wiki/Talmud_(Rodkinson)/Book_1/Chapter_14</w:t>
      </w:r>
    </w:p>
    <w:p>
      <w:r>
        <w:t>11. תולדות תנאים ואמוראים/א/ר' אמי (בר נתן) - ויקיטקסט, https://he.wikisource.org/wiki/%D7%AA%D7%95%D7%9C%D7%93%D7%95%D7%AA_%D7%AA%D7%A0%D7%90%D7%99%D7%9D_%D7%95%D7%90%D7%9E%D7%95%D7%A8%D7%90%D7%99%D7%9D/%D7%90/%D7%A8%27_%D7%90%D7%9E%D7%99_(%D7%91%D7%A8_%D7%A0%D7%AA%D7%9F)</w:t>
      </w:r>
    </w:p>
    <w:p>
      <w:r>
        <w:t>12. סדר הדורות, סדר תנאים ואמוראים א׳ר״מ | ספריית ספריא, https://www.sefaria.org.il/Seder_HaDorot,_Tanaim_and_Amoraim.1240</w:t>
      </w:r>
    </w:p>
    <w:p>
      <w:r>
        <w:t>13. Seder HaDorot, Tanaim and Amoraim 1240 | The Sefaria Library, https://www.sefaria.org/Seder_HaDorot,_Tanaim_and_Amoraim.1240</w:t>
      </w:r>
    </w:p>
    <w:p>
      <w:r>
        <w:t>14. תולדות תנאים ואמוראים/ח/ר' חייא בר פפא - ויקיטקסט, https://he.wikisource.org/wiki/%D7%AA%D7%95%D7%9C%D7%93%D7%95%D7%AA_%D7%AA%D7%A0%D7%90%D7%99%D7%9D_%D7%95%D7%90%D7%9E%D7%95%D7%A8%D7%90%D7%99%D7%9D/%D7%97/%D7%A8%27_%D7%97%D7%99%D7%99%D7%90_%D7%91%D7%A8_%D7%A4%D7%A4%D7%90</w:t>
      </w:r>
    </w:p>
    <w:p>
      <w:r>
        <w:t>15. תולדות תנאים ואמוראים/סימני הש"ס - ויקיטקסט, https://he.wikisource.org/wiki/%D7%AA%D7%95%D7%9C%D7%93%D7%95%D7%AA_%D7%AA%D7%A0%D7%90%D7%99%D7%9D_%D7%95%D7%90%D7%9E%D7%95%D7%A8%D7%90%D7%99%D7%9D/%D7%A1%D7%99%D7%9E%D7%A0%D7%99_%D7%94%D7%A9%22%D7%A1</w:t>
      </w:r>
    </w:p>
    <w:p>
      <w:r>
        <w:t>16. חברותא - מנחות | בלי הערות - תורת אמת, http://www.toratemetfreeware.com/online/f_02436.html</w:t>
      </w:r>
    </w:p>
    <w:p>
      <w:r>
        <w:t>17. Ohr LaYesharim on Jerusalem Talmud Rosh Hashanah 4:4:4 | The Sefaria Library, https://www.sefaria.org/Ohr_LaYesharim_on_Jerusalem_Talmud_Rosh_Hashanah.4.4.4</w:t>
      </w:r>
    </w:p>
    <w:p>
      <w:r>
        <w:t>18. שולחן ערוך, אורח חיים כ״ו: דין מי שאין לו אלא תפלה אחת. ובו ב"ס: - עם 21 מפרשים | אשובה, https://ashoova.co.il/ask/%D7%A9%D7%95%D7%9C%D7%97%D7%9F-%D7%A2%D7%A8%D7%95%D7%9A-%D7%90%D7%95%D7%A8%D7%97-%D7%97%D7%99%D7%99%D7%9D-%D7%9B%D7%B4%D7%95-%D7%93%D7%99%D7%9F-%D7%9E%D7%99-%D7%A9%D7%90%D7%99%D7%9F-%D7%9C%D7%95/</w:t>
      </w:r>
    </w:p>
    <w:p>
      <w:r>
        <w:t>19. חומץ לשיניים – תלמוד בבלי: שבת קיא ע״א, ד–ו | שטייגן, https://app.shtaygen.ai/gold/SHB_A04_O03_S14_M01</w:t>
      </w:r>
    </w:p>
    <w:p>
      <w:r>
        <w:t>20. שו"ת חתם סופר, אבן העזר א׳:י״ט | האוסף של ספריא, https://www.sefaria.org.il/Responsa_Chatam_Sofer,_Even_HaEzer.1.19</w:t>
      </w:r>
    </w:p>
    <w:p>
      <w:r>
        <w:t>21. בחינות חדשות לבעית מעמדו ומעשיו של רבן יוחנן בן זכאי לאחר החורבן - תולדוט - מטח, https://historynet.cet.ac.il/pages/item.asp?item=14311&amp;items=1</w:t>
      </w:r>
    </w:p>
    <w:p>
      <w:r>
        <w:t>22. פרק שביעי - מלאכת קושר - ישיבת ההסדר בני-עקיבא מעלות, https://yesmalot.co.il/6571/</w:t>
      </w:r>
    </w:p>
    <w:p>
      <w:r>
        <w:t>23. ביאור שטיינזלץ על שבת קי״א א:ג | האוסף של ספריא, https://www.sefaria.org.il/Steinsaltz_on_Shabbat.111a.3</w:t>
      </w:r>
    </w:p>
    <w:p>
      <w:r>
        <w:t>24. אחרי רבים להטות - מחלקי המים, https://www.mayim.org.il/?parasha=1116-2</w:t>
      </w:r>
    </w:p>
    <w:p>
      <w:r>
        <w:t>25. מסכת סנהדרין - תצוגה משולבת - תורת אמת, http://www.toratemetfreeware.com/online/f_01006.html</w:t>
      </w:r>
    </w:p>
    <w:p>
      <w:r>
        <w:t>26. ביאור שטיינזלץ על בבא קמא פ׳ ב:ח | האוסף של ספריא, https://www.sefaria.org.il/Steinsaltz_on_Bava_Kamma.80b.8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פועלו ומשנתו התורנית של רבי אחאי בר פפא: מחקר ביוגרפי, היסטורי והלכתי</dc:title>
  <dc:subject/>
  <dc:creator>python-docx</dc:creator>
  <cp:keywords/>
  <dc:description>Google Docs 1GqpKcZ8pFcLhOz7rixKAUCg9lJt3QCEM2gDXZ5kgcnc</dc:description>
  <cp:lastModifiedBy/>
  <cp:revision>1</cp:revision>
  <dcterms:created xsi:type="dcterms:W3CDTF">2013-12-23T23:15:00Z</dcterms:created>
  <dcterms:modified xsi:type="dcterms:W3CDTF">2013-12-23T23:15:00Z</dcterms:modified>
  <cp:category/>
</cp:coreProperties>
</file>