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rPr>
          <w:rFonts w:ascii="Times New Roman" w:cs="Times New Roman" w:eastAsia="Times New Roman" w:hAnsi="Times New Roman"/>
          <w:color w:val="1b1b1c"/>
          <w:sz w:val="33"/>
          <w:szCs w:val="33"/>
          <w:highlight w:val="white"/>
        </w:rPr>
      </w:pPr>
      <w:r w:rsidDel="00000000" w:rsidR="00000000" w:rsidRPr="00000000">
        <w:rPr>
          <w:rFonts w:ascii="Times New Roman" w:cs="Times New Roman" w:eastAsia="Times New Roman" w:hAnsi="Times New Roman"/>
          <w:color w:val="1b1b1c"/>
          <w:sz w:val="33"/>
          <w:szCs w:val="33"/>
          <w:highlight w:val="white"/>
          <w:rtl w:val="1"/>
        </w:rPr>
        <w:t xml:space="preserve">משה</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בן</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שם</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טוב</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די</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ליאון</w:t>
      </w:r>
      <w:r w:rsidDel="00000000" w:rsidR="00000000" w:rsidRPr="00000000">
        <w:rPr>
          <w:rFonts w:ascii="Times New Roman" w:cs="Times New Roman" w:eastAsia="Times New Roman" w:hAnsi="Times New Roman"/>
          <w:color w:val="1b1b1c"/>
          <w:sz w:val="33"/>
          <w:szCs w:val="33"/>
          <w:highlight w:val="white"/>
          <w:rtl w:val="1"/>
        </w:rPr>
        <w:t xml:space="preserve"> (1240–1305): </w:t>
      </w:r>
      <w:r w:rsidDel="00000000" w:rsidR="00000000" w:rsidRPr="00000000">
        <w:rPr>
          <w:rFonts w:ascii="Times New Roman" w:cs="Times New Roman" w:eastAsia="Times New Roman" w:hAnsi="Times New Roman"/>
          <w:color w:val="1b1b1c"/>
          <w:sz w:val="33"/>
          <w:szCs w:val="33"/>
          <w:highlight w:val="white"/>
          <w:rtl w:val="1"/>
        </w:rPr>
        <w:t xml:space="preserve">דו</w:t>
      </w:r>
      <w:r w:rsidDel="00000000" w:rsidR="00000000" w:rsidRPr="00000000">
        <w:rPr>
          <w:rFonts w:ascii="Times New Roman" w:cs="Times New Roman" w:eastAsia="Times New Roman" w:hAnsi="Times New Roman"/>
          <w:color w:val="1b1b1c"/>
          <w:sz w:val="33"/>
          <w:szCs w:val="33"/>
          <w:highlight w:val="white"/>
          <w:rtl w:val="1"/>
        </w:rPr>
        <w:t xml:space="preserve">"</w:t>
      </w:r>
      <w:r w:rsidDel="00000000" w:rsidR="00000000" w:rsidRPr="00000000">
        <w:rPr>
          <w:rFonts w:ascii="Times New Roman" w:cs="Times New Roman" w:eastAsia="Times New Roman" w:hAnsi="Times New Roman"/>
          <w:color w:val="1b1b1c"/>
          <w:sz w:val="33"/>
          <w:szCs w:val="33"/>
          <w:highlight w:val="white"/>
          <w:rtl w:val="1"/>
        </w:rPr>
        <w:t xml:space="preserve">ח</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מומחה</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על</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פועלו</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ומשנתו</w:t>
      </w:r>
      <w:r w:rsidDel="00000000" w:rsidR="00000000" w:rsidRPr="00000000">
        <w:rPr>
          <w:rFonts w:ascii="Times New Roman" w:cs="Times New Roman" w:eastAsia="Times New Roman" w:hAnsi="Times New Roman"/>
          <w:color w:val="1b1b1c"/>
          <w:sz w:val="33"/>
          <w:szCs w:val="33"/>
          <w:highlight w:val="white"/>
          <w:rtl w:val="1"/>
        </w:rPr>
        <w:t xml:space="preserve"> </w:t>
      </w:r>
      <w:r w:rsidDel="00000000" w:rsidR="00000000" w:rsidRPr="00000000">
        <w:rPr>
          <w:rFonts w:ascii="Times New Roman" w:cs="Times New Roman" w:eastAsia="Times New Roman" w:hAnsi="Times New Roman"/>
          <w:color w:val="1b1b1c"/>
          <w:sz w:val="33"/>
          <w:szCs w:val="33"/>
          <w:highlight w:val="white"/>
          <w:rtl w:val="1"/>
        </w:rPr>
        <w:t xml:space="preserve">התורנית</w:t>
      </w:r>
    </w:p>
    <w:p w:rsidR="00000000" w:rsidDel="00000000" w:rsidP="00000000" w:rsidRDefault="00000000" w:rsidRPr="00000000" w14:paraId="00000002">
      <w:pPr>
        <w:shd w:fill="edeffa" w:val="clear"/>
        <w:bidi w:val="1"/>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Source guide</w:t>
      </w:r>
    </w:p>
    <w:p w:rsidR="00000000" w:rsidDel="00000000" w:rsidP="00000000" w:rsidRDefault="00000000" w:rsidRPr="00000000" w14:paraId="00000003">
      <w:pPr>
        <w:shd w:fill="edeffa" w:val="clear"/>
        <w:bidi w:val="1"/>
        <w:spacing w:after="160" w:lineRule="auto"/>
        <w:rPr>
          <w:rFonts w:ascii="Times New Roman" w:cs="Times New Roman" w:eastAsia="Times New Roman" w:hAnsi="Times New Roman"/>
          <w:color w:val="303030"/>
          <w:sz w:val="21"/>
          <w:szCs w:val="21"/>
          <w:highlight w:val="white"/>
        </w:rPr>
      </w:pPr>
      <w:r w:rsidDel="00000000" w:rsidR="00000000" w:rsidRPr="00000000">
        <w:rPr>
          <w:rFonts w:ascii="Times New Roman" w:cs="Times New Roman" w:eastAsia="Times New Roman" w:hAnsi="Times New Roman"/>
          <w:color w:val="303030"/>
          <w:sz w:val="21"/>
          <w:szCs w:val="21"/>
          <w:highlight w:val="white"/>
          <w:rtl w:val="0"/>
        </w:rPr>
        <w:t xml:space="preserve">The provided text is an expert report examining the life and intellectual legacy of Moses de León, a pivotal 13th-century figure who transitioned from rational philosophy to becoming the primary architect of modern Jewish mysticism. The source highlights a strategic "dual legacy" wherein de León authored conventional Hebrew treatises under his own name while simultaneously producing and distributing the Zohar, the foundational work of Kabbalah, which he attributed to the ancient sage Shimon bar Yochai. This act of pseudepigraphy is presented not as a simple forgery, but as a sophisticated theological maneuver intended to grant his innovative theosophical system immediate authority and divine legitimacy within the skeptical intellectual climate of medieval Spain. Ultimately, the text explores the academic debate over authorship, contrasting the literary genius and mythical power of the Aramaic Zohar with de León’s systematic Hebrew writings to conclude that he served as a brilliant editor and visionary synthesizer who redefined the landscape of Jewish thought.</w:t>
      </w:r>
    </w:p>
    <w:p w:rsidR="00000000" w:rsidDel="00000000" w:rsidP="00000000" w:rsidRDefault="00000000" w:rsidRPr="00000000" w14:paraId="00000004">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1"/>
        </w:rPr>
        <w:t xml:space="preserve">משה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בן</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שם</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טוב</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די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ליאון</w:t>
      </w:r>
      <w:r w:rsidDel="00000000" w:rsidR="00000000" w:rsidRPr="00000000">
        <w:rPr>
          <w:rFonts w:ascii="Times New Roman" w:cs="Times New Roman" w:eastAsia="Times New Roman" w:hAnsi="Times New Roman"/>
          <w:b w:val="1"/>
          <w:bCs w:val="1"/>
          <w:color w:val="1b1b1c"/>
          <w:sz w:val="21"/>
          <w:szCs w:val="21"/>
          <w:highlight w:val="white"/>
          <w:rtl w:val="1"/>
        </w:rPr>
        <w:t xml:space="preserve"> (1240–1305): </w:t>
      </w:r>
      <w:r w:rsidDel="00000000" w:rsidR="00000000" w:rsidRPr="00000000">
        <w:rPr>
          <w:rFonts w:ascii="Times New Roman" w:cs="Times New Roman" w:eastAsia="Times New Roman" w:hAnsi="Times New Roman"/>
          <w:b w:val="1"/>
          <w:bCs w:val="1"/>
          <w:color w:val="1b1b1c"/>
          <w:sz w:val="21"/>
          <w:szCs w:val="21"/>
          <w:highlight w:val="white"/>
          <w:rtl w:val="1"/>
        </w:rPr>
        <w:t xml:space="preserve">דו</w:t>
      </w:r>
      <w:r w:rsidDel="00000000" w:rsidR="00000000" w:rsidRPr="00000000">
        <w:rPr>
          <w:rFonts w:ascii="Times New Roman" w:cs="Times New Roman" w:eastAsia="Times New Roman" w:hAnsi="Times New Roman"/>
          <w:b w:val="1"/>
          <w:bCs w:val="1"/>
          <w:color w:val="1b1b1c"/>
          <w:sz w:val="21"/>
          <w:szCs w:val="21"/>
          <w:highlight w:val="white"/>
          <w:rtl w:val="1"/>
        </w:rPr>
        <w:t xml:space="preserve">"</w:t>
      </w:r>
      <w:r w:rsidDel="00000000" w:rsidR="00000000" w:rsidRPr="00000000">
        <w:rPr>
          <w:rFonts w:ascii="Times New Roman" w:cs="Times New Roman" w:eastAsia="Times New Roman" w:hAnsi="Times New Roman"/>
          <w:b w:val="1"/>
          <w:bCs w:val="1"/>
          <w:color w:val="1b1b1c"/>
          <w:sz w:val="21"/>
          <w:szCs w:val="21"/>
          <w:highlight w:val="white"/>
          <w:rtl w:val="1"/>
        </w:rPr>
        <w:t xml:space="preserve">ח</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מומחה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על</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פועלו</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ומשנתו</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התורנית</w:t>
      </w:r>
    </w:p>
    <w:p w:rsidR="00000000" w:rsidDel="00000000" w:rsidP="00000000" w:rsidRDefault="00000000" w:rsidRPr="00000000" w14:paraId="00000005">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I</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מבוא</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הגדרת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משה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די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ליאון</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והמחלוקת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האותנטית</w:t>
      </w:r>
    </w:p>
    <w:p w:rsidR="00000000" w:rsidDel="00000000" w:rsidP="00000000" w:rsidRDefault="00000000" w:rsidRPr="00000000" w14:paraId="00000006">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A</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חשיבותו</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של</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רמד</w:t>
      </w:r>
      <w:r w:rsidDel="00000000" w:rsidR="00000000" w:rsidRPr="00000000">
        <w:rPr>
          <w:rFonts w:ascii="Times New Roman" w:cs="Times New Roman" w:eastAsia="Times New Roman" w:hAnsi="Times New Roman"/>
          <w:b w:val="1"/>
          <w:bCs w:val="1"/>
          <w:color w:val="1b1b1c"/>
          <w:sz w:val="21"/>
          <w:szCs w:val="21"/>
          <w:highlight w:val="white"/>
          <w:rtl w:val="1"/>
        </w:rPr>
        <w:t xml:space="preserve">"</w:t>
      </w:r>
      <w:r w:rsidDel="00000000" w:rsidR="00000000" w:rsidRPr="00000000">
        <w:rPr>
          <w:rFonts w:ascii="Times New Roman" w:cs="Times New Roman" w:eastAsia="Times New Roman" w:hAnsi="Times New Roman"/>
          <w:b w:val="1"/>
          <w:bCs w:val="1"/>
          <w:color w:val="1b1b1c"/>
          <w:sz w:val="21"/>
          <w:szCs w:val="21"/>
          <w:highlight w:val="white"/>
          <w:rtl w:val="1"/>
        </w:rPr>
        <w:t xml:space="preserve">ל</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כדמות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מפתח</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בהתגבשות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הקבלה</w:t>
      </w:r>
    </w:p>
    <w:p w:rsidR="00000000" w:rsidDel="00000000" w:rsidP="00000000" w:rsidRDefault="00000000" w:rsidRPr="00000000" w14:paraId="0000000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משה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ליאון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שפעל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השנים</w:t>
      </w:r>
      <w:r w:rsidDel="00000000" w:rsidR="00000000" w:rsidRPr="00000000">
        <w:rPr>
          <w:rFonts w:ascii="Times New Roman" w:cs="Times New Roman" w:eastAsia="Times New Roman" w:hAnsi="Times New Roman"/>
          <w:color w:val="1b1b1c"/>
          <w:sz w:val="24"/>
          <w:szCs w:val="24"/>
          <w:highlight w:val="white"/>
          <w:rtl w:val="1"/>
        </w:rPr>
        <w:t xml:space="preserve"> 1240 </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-1305 [1],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דמות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מפתח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מכרעת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בעיצוב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המיסטיקה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עומד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בצומת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שבו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הקבלה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הקסטיליאנית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המוקדמת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להתגבש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משיטות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סודיות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מקומיות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למערכת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תיאוסופית</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תיאורגית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מקיפה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וממוסדת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חשיבותו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המרכזית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נובעת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מכתביו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האישיים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בעיקר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מתפקידו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הבלעדי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והמכריע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ביצירה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ובהפצה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ספר</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החיבור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שיהפוך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לימים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לספר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היסוד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תורת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הקבלה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כולה</w:t>
      </w:r>
      <w:r w:rsidDel="00000000" w:rsidR="00000000" w:rsidRPr="00000000">
        <w:rPr>
          <w:rFonts w:ascii="Times New Roman" w:cs="Times New Roman" w:eastAsia="Times New Roman" w:hAnsi="Times New Roman"/>
          <w:color w:val="1b1b1c"/>
          <w:sz w:val="24"/>
          <w:szCs w:val="24"/>
          <w:highlight w:val="white"/>
          <w:rtl w:val="1"/>
        </w:rPr>
        <w:t xml:space="preserve">.[2]</w:t>
      </w:r>
    </w:p>
    <w:p w:rsidR="00000000" w:rsidDel="00000000" w:rsidP="00000000" w:rsidRDefault="00000000" w:rsidRPr="00000000" w14:paraId="00000008">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הניתוח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משנתו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התורנית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חייב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להתמודד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מורשתו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הכפולה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מורשת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טמונה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בפער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שחיבר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בגלוי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תחת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שמו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הקורפוס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עבודתו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הפסאודו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אפיגרפית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המונומנטלית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הקורפוס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הארמי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הפער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משקף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המודוס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התאולוגי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שאימץ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חיוני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להבטחת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קבלת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הדוקטרינות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החדשות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בהקשר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האינטלקטואלי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-13.</w:t>
      </w:r>
    </w:p>
    <w:p w:rsidR="00000000" w:rsidDel="00000000" w:rsidP="00000000" w:rsidRDefault="00000000" w:rsidRPr="00000000" w14:paraId="00000009">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B</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סקירה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קצרה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של</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המורשת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הכפולה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הקורפוס</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העברי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והקורפוס</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הארמי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הזוהר</w:t>
      </w:r>
      <w:r w:rsidDel="00000000" w:rsidR="00000000" w:rsidRPr="00000000">
        <w:rPr>
          <w:rFonts w:ascii="Times New Roman" w:cs="Times New Roman" w:eastAsia="Times New Roman" w:hAnsi="Times New Roman"/>
          <w:b w:val="1"/>
          <w:bCs w:val="1"/>
          <w:color w:val="1b1b1c"/>
          <w:sz w:val="21"/>
          <w:szCs w:val="21"/>
          <w:highlight w:val="white"/>
          <w:rtl w:val="1"/>
        </w:rPr>
        <w:t xml:space="preserve">)</w:t>
      </w:r>
    </w:p>
    <w:p w:rsidR="00000000" w:rsidDel="00000000" w:rsidP="00000000" w:rsidRDefault="00000000" w:rsidRPr="00000000" w14:paraId="0000000A">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נודע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בהיסטוריה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שהפיץ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לראשונה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ספר</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וייחס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חיבורו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לתנא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השנייה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לספירה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שמעון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יוחאי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רשב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).[1, 2] </w:t>
      </w:r>
      <w:r w:rsidDel="00000000" w:rsidR="00000000" w:rsidRPr="00000000">
        <w:rPr>
          <w:rFonts w:ascii="Times New Roman" w:cs="Times New Roman" w:eastAsia="Times New Roman" w:hAnsi="Times New Roman"/>
          <w:color w:val="1b1b1c"/>
          <w:sz w:val="24"/>
          <w:szCs w:val="24"/>
          <w:highlight w:val="white"/>
          <w:rtl w:val="1"/>
        </w:rPr>
        <w:t xml:space="preserve">שיטה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המכונה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פסאודו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אפיגרפיה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שימשה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באופן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עקבי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כאמצעי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להענקת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סמכות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מיידית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מלבד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הציג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חיבורו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צוואת</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ר</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אליעזר</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הגדול</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כחיבור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שנכתב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התנא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אליעזר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הורקנוס</w:t>
      </w:r>
      <w:r w:rsidDel="00000000" w:rsidR="00000000" w:rsidRPr="00000000">
        <w:rPr>
          <w:rFonts w:ascii="Times New Roman" w:cs="Times New Roman" w:eastAsia="Times New Roman" w:hAnsi="Times New Roman"/>
          <w:color w:val="1b1b1c"/>
          <w:sz w:val="24"/>
          <w:szCs w:val="24"/>
          <w:highlight w:val="white"/>
          <w:rtl w:val="1"/>
        </w:rPr>
        <w:t xml:space="preserve">.[1]</w:t>
      </w:r>
    </w:p>
    <w:p w:rsidR="00000000" w:rsidDel="00000000" w:rsidP="00000000" w:rsidRDefault="00000000" w:rsidRPr="00000000" w14:paraId="0000000B">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פעולתו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הפסאודו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אפיגרפית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הייתה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מהלך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תיאולוגי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מחושב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ואסטרטגי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בתקופה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שלאחר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הרמב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הפילוסופיה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הרציונלית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שלטה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בכיפה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והטילה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חידוש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שאינו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נסמך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קדום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נדרשה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סמכות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בלתי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מעורערת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להעניק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לגיטימציה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לדוקטרינות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קבליות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חדשניות</w:t>
      </w:r>
      <w:r w:rsidDel="00000000" w:rsidR="00000000" w:rsidRPr="00000000">
        <w:rPr>
          <w:rFonts w:ascii="Times New Roman" w:cs="Times New Roman" w:eastAsia="Times New Roman" w:hAnsi="Times New Roman"/>
          <w:color w:val="1b1b1c"/>
          <w:sz w:val="24"/>
          <w:szCs w:val="24"/>
          <w:highlight w:val="white"/>
          <w:rtl w:val="1"/>
        </w:rPr>
        <w:t xml:space="preserve">.[1, 3]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ייחוס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לרשב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מחולל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הנסים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הבטיח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שמערכת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הספירות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התיאוסופית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תתקבל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כהתגלות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אלוהית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קדמונית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כספקולציה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מאוחרת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האלמנה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שיוחסה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מאשרת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ההפצה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תחת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רשב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נועדה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להבטיח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קבלה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רחבה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וסמכות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דתית</w:t>
      </w:r>
      <w:r w:rsidDel="00000000" w:rsidR="00000000" w:rsidRPr="00000000">
        <w:rPr>
          <w:rFonts w:ascii="Times New Roman" w:cs="Times New Roman" w:eastAsia="Times New Roman" w:hAnsi="Times New Roman"/>
          <w:color w:val="1b1b1c"/>
          <w:sz w:val="24"/>
          <w:szCs w:val="24"/>
          <w:highlight w:val="white"/>
          <w:rtl w:val="1"/>
        </w:rPr>
        <w:t xml:space="preserve">.[3]</w:t>
      </w:r>
    </w:p>
    <w:p w:rsidR="00000000" w:rsidDel="00000000" w:rsidP="00000000" w:rsidRDefault="00000000" w:rsidRPr="00000000" w14:paraId="0000000C">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במקביל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ליצירה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חיבורים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נוספים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תחת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שמו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בעיקר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בעברית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אשר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עסקו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בפירוש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תורת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.[1] </w:t>
      </w:r>
      <w:r w:rsidDel="00000000" w:rsidR="00000000" w:rsidRPr="00000000">
        <w:rPr>
          <w:rFonts w:ascii="Times New Roman" w:cs="Times New Roman" w:eastAsia="Times New Roman" w:hAnsi="Times New Roman"/>
          <w:color w:val="1b1b1c"/>
          <w:sz w:val="24"/>
          <w:szCs w:val="24"/>
          <w:highlight w:val="white"/>
          <w:rtl w:val="1"/>
        </w:rPr>
        <w:t xml:space="preserve">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חיבורים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נמנים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ספר</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שקל</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הקודש</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i w:val="1"/>
          <w:iCs w:val="1"/>
          <w:color w:val="1b1b1c"/>
          <w:sz w:val="24"/>
          <w:szCs w:val="24"/>
          <w:highlight w:val="white"/>
          <w:rtl w:val="1"/>
        </w:rPr>
        <w:t xml:space="preserve">ספר</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הנפש</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החכמה</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שחיבורים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נוספים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כגון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ספר</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הרמון</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i w:val="1"/>
          <w:iCs w:val="1"/>
          <w:color w:val="1b1b1c"/>
          <w:sz w:val="24"/>
          <w:szCs w:val="24"/>
          <w:highlight w:val="white"/>
          <w:rtl w:val="1"/>
        </w:rPr>
        <w:t xml:space="preserve">משכן</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העדות</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נותרו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בכתבי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w:t>
      </w:r>
      <w:r w:rsidDel="00000000" w:rsidR="00000000" w:rsidRPr="00000000">
        <w:rPr>
          <w:rFonts w:ascii="Times New Roman" w:cs="Times New Roman" w:eastAsia="Times New Roman" w:hAnsi="Times New Roman"/>
          <w:color w:val="1b1b1c"/>
          <w:sz w:val="24"/>
          <w:szCs w:val="24"/>
          <w:highlight w:val="white"/>
          <w:rtl w:val="1"/>
        </w:rPr>
        <w:t xml:space="preserve">.[2]</w:t>
      </w:r>
    </w:p>
    <w:p w:rsidR="00000000" w:rsidDel="00000000" w:rsidP="00000000" w:rsidRDefault="00000000" w:rsidRPr="00000000" w14:paraId="0000000D">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C</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הצגת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העמדות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העיקריות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בפולמוס</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האותנטיות</w:t>
      </w:r>
    </w:p>
    <w:p w:rsidR="00000000" w:rsidDel="00000000" w:rsidP="00000000" w:rsidRDefault="00000000" w:rsidRPr="00000000" w14:paraId="0000000E">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שאלת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ציר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מרכזי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במחקר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הקבלה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מאז</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-14.</w:t>
      </w:r>
    </w:p>
    <w:p w:rsidR="00000000" w:rsidDel="00000000" w:rsidP="00000000" w:rsidRDefault="00000000" w:rsidRPr="00000000" w14:paraId="0000000F">
      <w:pPr>
        <w:numPr>
          <w:ilvl w:val="0"/>
          <w:numId w:val="1"/>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1"/>
        </w:rPr>
        <w:t xml:space="preserve">העמדה</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המסורתית</w:t>
      </w:r>
      <w:r w:rsidDel="00000000" w:rsidR="00000000" w:rsidRPr="00000000">
        <w:rPr>
          <w:rFonts w:ascii="Times New Roman" w:cs="Times New Roman" w:eastAsia="Times New Roman" w:hAnsi="Times New Roman"/>
          <w:b w:val="1"/>
          <w:bCs w:val="1"/>
          <w:color w:val="1b1b1c"/>
          <w:sz w:val="24"/>
          <w:szCs w:val="24"/>
          <w:highlight w:val="white"/>
          <w:rtl w:val="1"/>
        </w:rPr>
        <w:t xml:space="preserve">:</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מהמאה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-16, </w:t>
      </w:r>
      <w:r w:rsidDel="00000000" w:rsidR="00000000" w:rsidRPr="00000000">
        <w:rPr>
          <w:rFonts w:ascii="Times New Roman" w:cs="Times New Roman" w:eastAsia="Times New Roman" w:hAnsi="Times New Roman"/>
          <w:color w:val="1b1b1c"/>
          <w:sz w:val="24"/>
          <w:szCs w:val="24"/>
          <w:highlight w:val="white"/>
          <w:rtl w:val="1"/>
        </w:rPr>
        <w:t xml:space="preserve">התקבל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הייחוס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לרשב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האורתודוקסית</w:t>
      </w:r>
      <w:r w:rsidDel="00000000" w:rsidR="00000000" w:rsidRPr="00000000">
        <w:rPr>
          <w:rFonts w:ascii="Times New Roman" w:cs="Times New Roman" w:eastAsia="Times New Roman" w:hAnsi="Times New Roman"/>
          <w:color w:val="1b1b1c"/>
          <w:sz w:val="24"/>
          <w:szCs w:val="24"/>
          <w:highlight w:val="white"/>
          <w:rtl w:val="1"/>
        </w:rPr>
        <w:t xml:space="preserve">.[2] </w:t>
      </w:r>
      <w:r w:rsidDel="00000000" w:rsidR="00000000" w:rsidRPr="00000000">
        <w:rPr>
          <w:rFonts w:ascii="Times New Roman" w:cs="Times New Roman" w:eastAsia="Times New Roman" w:hAnsi="Times New Roman"/>
          <w:color w:val="1b1b1c"/>
          <w:sz w:val="24"/>
          <w:szCs w:val="24"/>
          <w:highlight w:val="white"/>
          <w:rtl w:val="1"/>
        </w:rPr>
        <w:t xml:space="preserve">עמדה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הותקפה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מבקרים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כדוגמת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זכתה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להגנה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נמרצת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רבנים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אליהו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אמוזג</w:t>
      </w:r>
      <w:r w:rsidDel="00000000" w:rsidR="00000000" w:rsidRPr="00000000">
        <w:rPr>
          <w:rFonts w:ascii="Times New Roman" w:cs="Times New Roman" w:eastAsia="Times New Roman" w:hAnsi="Times New Roman"/>
          <w:color w:val="1b1b1c"/>
          <w:sz w:val="24"/>
          <w:szCs w:val="24"/>
          <w:highlight w:val="white"/>
          <w:rtl w:val="1"/>
        </w:rPr>
        <w:t xml:space="preserve">.[4]</w:t>
      </w:r>
    </w:p>
    <w:p w:rsidR="00000000" w:rsidDel="00000000" w:rsidP="00000000" w:rsidRDefault="00000000" w:rsidRPr="00000000" w14:paraId="00000010">
      <w:pPr>
        <w:numPr>
          <w:ilvl w:val="0"/>
          <w:numId w:val="1"/>
        </w:numPr>
        <w:bidi w:val="1"/>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1"/>
        </w:rPr>
        <w:t xml:space="preserve">העמדה</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האקדמית</w:t>
      </w:r>
      <w:r w:rsidDel="00000000" w:rsidR="00000000" w:rsidRPr="00000000">
        <w:rPr>
          <w:rFonts w:ascii="Times New Roman" w:cs="Times New Roman" w:eastAsia="Times New Roman" w:hAnsi="Times New Roman"/>
          <w:b w:val="1"/>
          <w:bCs w:val="1"/>
          <w:color w:val="1b1b1c"/>
          <w:sz w:val="24"/>
          <w:szCs w:val="24"/>
          <w:highlight w:val="white"/>
          <w:rtl w:val="1"/>
        </w:rPr>
        <w:t xml:space="preserve">:</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החוקרים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המודרניים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בהשפעת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גרשם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וישעיהו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תשבי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מייחסים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לפחות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חלקו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העיקרי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לחבורת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מקובלים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שעמד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בראשה</w:t>
      </w:r>
      <w:r w:rsidDel="00000000" w:rsidR="00000000" w:rsidRPr="00000000">
        <w:rPr>
          <w:rFonts w:ascii="Times New Roman" w:cs="Times New Roman" w:eastAsia="Times New Roman" w:hAnsi="Times New Roman"/>
          <w:color w:val="1b1b1c"/>
          <w:sz w:val="24"/>
          <w:szCs w:val="24"/>
          <w:highlight w:val="white"/>
          <w:rtl w:val="1"/>
        </w:rPr>
        <w:t xml:space="preserve">.[2, 4] </w:t>
      </w:r>
      <w:r w:rsidDel="00000000" w:rsidR="00000000" w:rsidRPr="00000000">
        <w:rPr>
          <w:rFonts w:ascii="Times New Roman" w:cs="Times New Roman" w:eastAsia="Times New Roman" w:hAnsi="Times New Roman"/>
          <w:color w:val="1b1b1c"/>
          <w:sz w:val="24"/>
          <w:szCs w:val="24"/>
          <w:highlight w:val="white"/>
          <w:rtl w:val="1"/>
        </w:rPr>
        <w:t xml:space="preserve">טיעון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נסמך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ראיות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היסטוריות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וטקסטואליות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המצביעות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מקורו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הספרדי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-13.[5]</w:t>
      </w:r>
    </w:p>
    <w:p w:rsidR="00000000" w:rsidDel="00000000" w:rsidP="00000000" w:rsidRDefault="00000000" w:rsidRPr="00000000" w14:paraId="00000011">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II</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פרקי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חיים</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וההקשר</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האינטלקטואלי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ספרד</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המאה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w:t>
      </w:r>
      <w:r w:rsidDel="00000000" w:rsidR="00000000" w:rsidRPr="00000000">
        <w:rPr>
          <w:rFonts w:ascii="Times New Roman" w:cs="Times New Roman" w:eastAsia="Times New Roman" w:hAnsi="Times New Roman"/>
          <w:b w:val="1"/>
          <w:bCs w:val="1"/>
          <w:color w:val="1b1b1c"/>
          <w:sz w:val="21"/>
          <w:szCs w:val="21"/>
          <w:highlight w:val="white"/>
          <w:rtl w:val="1"/>
        </w:rPr>
        <w:t xml:space="preserve">-13)</w:t>
      </w:r>
    </w:p>
    <w:p w:rsidR="00000000" w:rsidDel="00000000" w:rsidP="00000000" w:rsidRDefault="00000000" w:rsidRPr="00000000" w14:paraId="00000012">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A</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ביוגרפיה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כרונולוגית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מליאון</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עד</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ארוולו</w:t>
      </w:r>
    </w:p>
    <w:p w:rsidR="00000000" w:rsidDel="00000000" w:rsidP="00000000" w:rsidRDefault="00000000" w:rsidRPr="00000000" w14:paraId="00000013">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נולד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בסביבות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שנת</w:t>
      </w:r>
      <w:r w:rsidDel="00000000" w:rsidR="00000000" w:rsidRPr="00000000">
        <w:rPr>
          <w:rFonts w:ascii="Times New Roman" w:cs="Times New Roman" w:eastAsia="Times New Roman" w:hAnsi="Times New Roman"/>
          <w:color w:val="1b1b1c"/>
          <w:sz w:val="24"/>
          <w:szCs w:val="24"/>
          <w:highlight w:val="white"/>
          <w:rtl w:val="1"/>
        </w:rPr>
        <w:t xml:space="preserve"> 1240, </w:t>
      </w:r>
      <w:r w:rsidDel="00000000" w:rsidR="00000000" w:rsidRPr="00000000">
        <w:rPr>
          <w:rFonts w:ascii="Times New Roman" w:cs="Times New Roman" w:eastAsia="Times New Roman" w:hAnsi="Times New Roman"/>
          <w:color w:val="1b1b1c"/>
          <w:sz w:val="24"/>
          <w:szCs w:val="24"/>
          <w:highlight w:val="white"/>
          <w:rtl w:val="1"/>
        </w:rPr>
        <w:t xml:space="preserve">ככל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הנראה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ליאון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שבקסטיליה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שממנה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נגזר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שמו</w:t>
      </w:r>
      <w:r w:rsidDel="00000000" w:rsidR="00000000" w:rsidRPr="00000000">
        <w:rPr>
          <w:rFonts w:ascii="Times New Roman" w:cs="Times New Roman" w:eastAsia="Times New Roman" w:hAnsi="Times New Roman"/>
          <w:color w:val="1b1b1c"/>
          <w:sz w:val="24"/>
          <w:szCs w:val="24"/>
          <w:highlight w:val="white"/>
          <w:rtl w:val="1"/>
        </w:rPr>
        <w:t xml:space="preserve">.[1] </w:t>
      </w:r>
      <w:r w:rsidDel="00000000" w:rsidR="00000000" w:rsidRPr="00000000">
        <w:rPr>
          <w:rFonts w:ascii="Times New Roman" w:cs="Times New Roman" w:eastAsia="Times New Roman" w:hAnsi="Times New Roman"/>
          <w:color w:val="1b1b1c"/>
          <w:sz w:val="24"/>
          <w:szCs w:val="24"/>
          <w:highlight w:val="white"/>
          <w:rtl w:val="1"/>
        </w:rPr>
        <w:t xml:space="preserve">אפשרות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אחרת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שנולד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בגוודלחרה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ושם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המשפחה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ירש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מאביו</w:t>
      </w:r>
      <w:r w:rsidDel="00000000" w:rsidR="00000000" w:rsidRPr="00000000">
        <w:rPr>
          <w:rFonts w:ascii="Times New Roman" w:cs="Times New Roman" w:eastAsia="Times New Roman" w:hAnsi="Times New Roman"/>
          <w:color w:val="1b1b1c"/>
          <w:sz w:val="24"/>
          <w:szCs w:val="24"/>
          <w:highlight w:val="white"/>
          <w:rtl w:val="1"/>
        </w:rPr>
        <w:t xml:space="preserve">.[2] </w:t>
      </w:r>
      <w:r w:rsidDel="00000000" w:rsidR="00000000" w:rsidRPr="00000000">
        <w:rPr>
          <w:rFonts w:ascii="Times New Roman" w:cs="Times New Roman" w:eastAsia="Times New Roman" w:hAnsi="Times New Roman"/>
          <w:color w:val="1b1b1c"/>
          <w:sz w:val="24"/>
          <w:szCs w:val="24"/>
          <w:highlight w:val="white"/>
          <w:rtl w:val="1"/>
        </w:rPr>
        <w:t xml:space="preserve">התיעוד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המוקדם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ביותר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פעילותו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האינטלקטואלית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מצביע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מעורבותו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בפילוסופיה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בשנת</w:t>
      </w:r>
      <w:r w:rsidDel="00000000" w:rsidR="00000000" w:rsidRPr="00000000">
        <w:rPr>
          <w:rFonts w:ascii="Times New Roman" w:cs="Times New Roman" w:eastAsia="Times New Roman" w:hAnsi="Times New Roman"/>
          <w:color w:val="1b1b1c"/>
          <w:sz w:val="24"/>
          <w:szCs w:val="24"/>
          <w:highlight w:val="white"/>
          <w:rtl w:val="1"/>
        </w:rPr>
        <w:t xml:space="preserve"> 1264, </w:t>
      </w:r>
      <w:r w:rsidDel="00000000" w:rsidR="00000000" w:rsidRPr="00000000">
        <w:rPr>
          <w:rFonts w:ascii="Times New Roman" w:cs="Times New Roman" w:eastAsia="Times New Roman" w:hAnsi="Times New Roman"/>
          <w:color w:val="1b1b1c"/>
          <w:sz w:val="24"/>
          <w:szCs w:val="24"/>
          <w:highlight w:val="white"/>
          <w:rtl w:val="1"/>
        </w:rPr>
        <w:t xml:space="preserve">בהיותו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בן</w:t>
      </w:r>
      <w:r w:rsidDel="00000000" w:rsidR="00000000" w:rsidRPr="00000000">
        <w:rPr>
          <w:rFonts w:ascii="Times New Roman" w:cs="Times New Roman" w:eastAsia="Times New Roman" w:hAnsi="Times New Roman"/>
          <w:color w:val="1b1b1c"/>
          <w:sz w:val="24"/>
          <w:szCs w:val="24"/>
          <w:highlight w:val="white"/>
          <w:rtl w:val="1"/>
        </w:rPr>
        <w:t xml:space="preserve"> 24,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קרא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מורה</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הנבוכים</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הרמב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ם</w:t>
      </w:r>
      <w:r w:rsidDel="00000000" w:rsidR="00000000" w:rsidRPr="00000000">
        <w:rPr>
          <w:rFonts w:ascii="Times New Roman" w:cs="Times New Roman" w:eastAsia="Times New Roman" w:hAnsi="Times New Roman"/>
          <w:color w:val="1b1b1c"/>
          <w:sz w:val="24"/>
          <w:szCs w:val="24"/>
          <w:highlight w:val="white"/>
          <w:rtl w:val="1"/>
        </w:rPr>
        <w:t xml:space="preserve">.[1] </w:t>
      </w:r>
      <w:r w:rsidDel="00000000" w:rsidR="00000000" w:rsidRPr="00000000">
        <w:rPr>
          <w:rFonts w:ascii="Times New Roman" w:cs="Times New Roman" w:eastAsia="Times New Roman" w:hAnsi="Times New Roman"/>
          <w:color w:val="1b1b1c"/>
          <w:sz w:val="24"/>
          <w:szCs w:val="24"/>
          <w:highlight w:val="white"/>
          <w:rtl w:val="1"/>
        </w:rPr>
        <w:t xml:space="preserve">עדות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בודדת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מראה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אז</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ומשכיל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ידוע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ואף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אמצעים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מכיוון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שיכול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לשלם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עבור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תרגום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והעתקה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אישית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היד</w:t>
      </w:r>
      <w:r w:rsidDel="00000000" w:rsidR="00000000" w:rsidRPr="00000000">
        <w:rPr>
          <w:rFonts w:ascii="Times New Roman" w:cs="Times New Roman" w:eastAsia="Times New Roman" w:hAnsi="Times New Roman"/>
          <w:color w:val="1b1b1c"/>
          <w:sz w:val="24"/>
          <w:szCs w:val="24"/>
          <w:highlight w:val="white"/>
          <w:rtl w:val="1"/>
        </w:rPr>
        <w:t xml:space="preserve">.[2]</w:t>
      </w:r>
    </w:p>
    <w:p w:rsidR="00000000" w:rsidDel="00000000" w:rsidP="00000000" w:rsidRDefault="00000000" w:rsidRPr="00000000" w14:paraId="00000014">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בהמשך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דרכו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ללימודי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קבלה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תחת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הדרכתם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מקובלים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נודעים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בספרד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ובהם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טודרוס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אבולעפיה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יקטיליה</w:t>
      </w:r>
      <w:r w:rsidDel="00000000" w:rsidR="00000000" w:rsidRPr="00000000">
        <w:rPr>
          <w:rFonts w:ascii="Times New Roman" w:cs="Times New Roman" w:eastAsia="Times New Roman" w:hAnsi="Times New Roman"/>
          <w:color w:val="1b1b1c"/>
          <w:sz w:val="24"/>
          <w:szCs w:val="24"/>
          <w:highlight w:val="white"/>
          <w:rtl w:val="1"/>
        </w:rPr>
        <w:t xml:space="preserve">.[1, 2] </w:t>
      </w:r>
      <w:r w:rsidDel="00000000" w:rsidR="00000000" w:rsidRPr="00000000">
        <w:rPr>
          <w:rFonts w:ascii="Times New Roman" w:cs="Times New Roman" w:eastAsia="Times New Roman" w:hAnsi="Times New Roman"/>
          <w:color w:val="1b1b1c"/>
          <w:sz w:val="24"/>
          <w:szCs w:val="24"/>
          <w:highlight w:val="white"/>
          <w:rtl w:val="1"/>
        </w:rPr>
        <w:t xml:space="preserve">השנים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שבין</w:t>
      </w:r>
      <w:r w:rsidDel="00000000" w:rsidR="00000000" w:rsidRPr="00000000">
        <w:rPr>
          <w:rFonts w:ascii="Times New Roman" w:cs="Times New Roman" w:eastAsia="Times New Roman" w:hAnsi="Times New Roman"/>
          <w:color w:val="1b1b1c"/>
          <w:sz w:val="24"/>
          <w:szCs w:val="24"/>
          <w:highlight w:val="white"/>
          <w:rtl w:val="1"/>
        </w:rPr>
        <w:t xml:space="preserve"> 1270 </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-1286 </w:t>
      </w:r>
      <w:r w:rsidDel="00000000" w:rsidR="00000000" w:rsidRPr="00000000">
        <w:rPr>
          <w:rFonts w:ascii="Times New Roman" w:cs="Times New Roman" w:eastAsia="Times New Roman" w:hAnsi="Times New Roman"/>
          <w:color w:val="1b1b1c"/>
          <w:sz w:val="24"/>
          <w:szCs w:val="24"/>
          <w:highlight w:val="white"/>
          <w:rtl w:val="1"/>
        </w:rPr>
        <w:t xml:space="preserve">משוערות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כתקופה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עסק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בכתיבת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חלקו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העיקרי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ספר</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בארמית</w:t>
      </w:r>
      <w:r w:rsidDel="00000000" w:rsidR="00000000" w:rsidRPr="00000000">
        <w:rPr>
          <w:rFonts w:ascii="Times New Roman" w:cs="Times New Roman" w:eastAsia="Times New Roman" w:hAnsi="Times New Roman"/>
          <w:color w:val="1b1b1c"/>
          <w:sz w:val="24"/>
          <w:szCs w:val="24"/>
          <w:highlight w:val="white"/>
          <w:rtl w:val="1"/>
        </w:rPr>
        <w:t xml:space="preserve">.[1] </w:t>
      </w:r>
      <w:r w:rsidDel="00000000" w:rsidR="00000000" w:rsidRPr="00000000">
        <w:rPr>
          <w:rFonts w:ascii="Times New Roman" w:cs="Times New Roman" w:eastAsia="Times New Roman" w:hAnsi="Times New Roman"/>
          <w:color w:val="1b1b1c"/>
          <w:sz w:val="24"/>
          <w:szCs w:val="24"/>
          <w:highlight w:val="white"/>
          <w:rtl w:val="1"/>
        </w:rPr>
        <w:t xml:space="preserve">בשנים</w:t>
      </w:r>
      <w:r w:rsidDel="00000000" w:rsidR="00000000" w:rsidRPr="00000000">
        <w:rPr>
          <w:rFonts w:ascii="Times New Roman" w:cs="Times New Roman" w:eastAsia="Times New Roman" w:hAnsi="Times New Roman"/>
          <w:color w:val="1b1b1c"/>
          <w:sz w:val="24"/>
          <w:szCs w:val="24"/>
          <w:highlight w:val="white"/>
          <w:rtl w:val="1"/>
        </w:rPr>
        <w:t xml:space="preserve"> 1286 </w:t>
      </w:r>
      <w:r w:rsidDel="00000000" w:rsidR="00000000" w:rsidRPr="00000000">
        <w:rPr>
          <w:rFonts w:ascii="Times New Roman" w:cs="Times New Roman" w:eastAsia="Times New Roman" w:hAnsi="Times New Roman"/>
          <w:color w:val="1b1b1c"/>
          <w:sz w:val="24"/>
          <w:szCs w:val="24"/>
          <w:highlight w:val="white"/>
          <w:rtl w:val="1"/>
        </w:rPr>
        <w:t xml:space="preserve">עד</w:t>
      </w:r>
      <w:r w:rsidDel="00000000" w:rsidR="00000000" w:rsidRPr="00000000">
        <w:rPr>
          <w:rFonts w:ascii="Times New Roman" w:cs="Times New Roman" w:eastAsia="Times New Roman" w:hAnsi="Times New Roman"/>
          <w:color w:val="1b1b1c"/>
          <w:sz w:val="24"/>
          <w:szCs w:val="24"/>
          <w:highlight w:val="white"/>
          <w:rtl w:val="1"/>
        </w:rPr>
        <w:t xml:space="preserve"> 1293 </w:t>
      </w:r>
      <w:r w:rsidDel="00000000" w:rsidR="00000000" w:rsidRPr="00000000">
        <w:rPr>
          <w:rFonts w:ascii="Times New Roman" w:cs="Times New Roman" w:eastAsia="Times New Roman" w:hAnsi="Times New Roman"/>
          <w:color w:val="1b1b1c"/>
          <w:sz w:val="24"/>
          <w:szCs w:val="24"/>
          <w:highlight w:val="white"/>
          <w:rtl w:val="1"/>
        </w:rPr>
        <w:t xml:space="preserve">חי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ופעל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גוודלחרה</w:t>
      </w:r>
      <w:r w:rsidDel="00000000" w:rsidR="00000000" w:rsidRPr="00000000">
        <w:rPr>
          <w:rFonts w:ascii="Times New Roman" w:cs="Times New Roman" w:eastAsia="Times New Roman" w:hAnsi="Times New Roman"/>
          <w:color w:val="1b1b1c"/>
          <w:sz w:val="24"/>
          <w:szCs w:val="24"/>
          <w:highlight w:val="white"/>
          <w:rtl w:val="1"/>
        </w:rPr>
        <w:t xml:space="preserve">.[2]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חמש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עשרה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שנותיו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האחרונות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1"/>
        </w:rPr>
        <w:t xml:space="preserve">-1305) </w:t>
      </w:r>
      <w:r w:rsidDel="00000000" w:rsidR="00000000" w:rsidRPr="00000000">
        <w:rPr>
          <w:rFonts w:ascii="Times New Roman" w:cs="Times New Roman" w:eastAsia="Times New Roman" w:hAnsi="Times New Roman"/>
          <w:color w:val="1b1b1c"/>
          <w:sz w:val="24"/>
          <w:szCs w:val="24"/>
          <w:highlight w:val="white"/>
          <w:rtl w:val="1"/>
        </w:rPr>
        <w:t xml:space="preserve">הקדיש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להפצת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ספר</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בקהילות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ספרד</w:t>
      </w:r>
      <w:r w:rsidDel="00000000" w:rsidR="00000000" w:rsidRPr="00000000">
        <w:rPr>
          <w:rFonts w:ascii="Times New Roman" w:cs="Times New Roman" w:eastAsia="Times New Roman" w:hAnsi="Times New Roman"/>
          <w:color w:val="1b1b1c"/>
          <w:sz w:val="24"/>
          <w:szCs w:val="24"/>
          <w:highlight w:val="white"/>
          <w:rtl w:val="1"/>
        </w:rPr>
        <w:t xml:space="preserve">.[1]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נפטר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ונקבר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ארוולו</w:t>
      </w:r>
      <w:r w:rsidDel="00000000" w:rsidR="00000000" w:rsidRPr="00000000">
        <w:rPr>
          <w:rFonts w:ascii="Times New Roman" w:cs="Times New Roman" w:eastAsia="Times New Roman" w:hAnsi="Times New Roman"/>
          <w:color w:val="1b1b1c"/>
          <w:sz w:val="24"/>
          <w:szCs w:val="24"/>
          <w:highlight w:val="white"/>
          <w:rtl w:val="1"/>
        </w:rPr>
        <w:t xml:space="preserve">.[1]</w:t>
      </w:r>
    </w:p>
    <w:p w:rsidR="00000000" w:rsidDel="00000000" w:rsidP="00000000" w:rsidRDefault="00000000" w:rsidRPr="00000000" w14:paraId="00000015">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B</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ההקשר</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האינטלקטואלי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מודוס</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הפעולה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של</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רמד</w:t>
      </w:r>
      <w:r w:rsidDel="00000000" w:rsidR="00000000" w:rsidRPr="00000000">
        <w:rPr>
          <w:rFonts w:ascii="Times New Roman" w:cs="Times New Roman" w:eastAsia="Times New Roman" w:hAnsi="Times New Roman"/>
          <w:b w:val="1"/>
          <w:bCs w:val="1"/>
          <w:color w:val="1b1b1c"/>
          <w:sz w:val="21"/>
          <w:szCs w:val="21"/>
          <w:highlight w:val="white"/>
          <w:rtl w:val="1"/>
        </w:rPr>
        <w:t xml:space="preserve">"</w:t>
      </w:r>
      <w:r w:rsidDel="00000000" w:rsidR="00000000" w:rsidRPr="00000000">
        <w:rPr>
          <w:rFonts w:ascii="Times New Roman" w:cs="Times New Roman" w:eastAsia="Times New Roman" w:hAnsi="Times New Roman"/>
          <w:b w:val="1"/>
          <w:bCs w:val="1"/>
          <w:color w:val="1b1b1c"/>
          <w:sz w:val="21"/>
          <w:szCs w:val="21"/>
          <w:highlight w:val="white"/>
          <w:rtl w:val="1"/>
        </w:rPr>
        <w:t xml:space="preserve">ל</w:t>
      </w:r>
    </w:p>
    <w:p w:rsidR="00000000" w:rsidDel="00000000" w:rsidP="00000000" w:rsidRDefault="00000000" w:rsidRPr="00000000" w14:paraId="00000016">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מגלם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מהלך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אינטלקטואלי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סינתזה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מלימוד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הרמב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והפילוסופיה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היהודית</w:t>
      </w:r>
      <w:r w:rsidDel="00000000" w:rsidR="00000000" w:rsidRPr="00000000">
        <w:rPr>
          <w:rFonts w:ascii="Times New Roman" w:cs="Times New Roman" w:eastAsia="Times New Roman" w:hAnsi="Times New Roman"/>
          <w:color w:val="1b1b1c"/>
          <w:sz w:val="24"/>
          <w:szCs w:val="24"/>
          <w:highlight w:val="white"/>
          <w:rtl w:val="1"/>
        </w:rPr>
        <w:t xml:space="preserve"> [1] </w:t>
      </w:r>
      <w:r w:rsidDel="00000000" w:rsidR="00000000" w:rsidRPr="00000000">
        <w:rPr>
          <w:rFonts w:ascii="Times New Roman" w:cs="Times New Roman" w:eastAsia="Times New Roman" w:hAnsi="Times New Roman"/>
          <w:color w:val="1b1b1c"/>
          <w:sz w:val="24"/>
          <w:szCs w:val="24"/>
          <w:highlight w:val="white"/>
          <w:rtl w:val="1"/>
        </w:rPr>
        <w:t xml:space="preserve">לגיבוש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שיטה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קבלית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סביר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להניח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שהחשיפה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המוקדמת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למחשבה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המיימונידית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סיפקה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מתודולוגיה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אינטלקטואלית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שיטתית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ומובנית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מתודולוגיה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יושמה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מאוחר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עולם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הקבלה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הלא</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ממוסד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יחסית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תקופה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במטרה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לקדד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המסורת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המעטפת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המיסטית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יצירה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בעלת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נרטיב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מורכב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ושיטתיות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בעיסוק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בספירות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תכונות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המצביעות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רקעו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המחבר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כפילוסוף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לשעבר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ששאף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ליצור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סדר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במיסטיקה</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1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משבר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הסמכות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הפילוסופי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הביניים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חייב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ליצור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מערכת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חדשה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בעלת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לגיטימציה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מאחר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שכתביו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האישיים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פחות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סמכותיים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בחר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במסגרת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הארמית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הדרמטית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לשכן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קבלה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שעברה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סיסטמטיזציה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ובכך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ליצור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טקסט</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שיכול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לעמוד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ביקורת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הרציונליסטים</w:t>
      </w:r>
      <w:r w:rsidDel="00000000" w:rsidR="00000000" w:rsidRPr="00000000">
        <w:rPr>
          <w:rFonts w:ascii="Times New Roman" w:cs="Times New Roman" w:eastAsia="Times New Roman" w:hAnsi="Times New Roman"/>
          <w:color w:val="1b1b1c"/>
          <w:sz w:val="24"/>
          <w:szCs w:val="24"/>
          <w:highlight w:val="white"/>
          <w:rtl w:val="1"/>
        </w:rPr>
        <w:t xml:space="preserve">.[5]</w:t>
      </w:r>
    </w:p>
    <w:p w:rsidR="00000000" w:rsidDel="00000000" w:rsidP="00000000" w:rsidRDefault="00000000" w:rsidRPr="00000000" w14:paraId="00000018">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C</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עדות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ר</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יצחק</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דמן</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עכו</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כראיה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היסטורית</w:t>
      </w:r>
    </w:p>
    <w:p w:rsidR="00000000" w:rsidDel="00000000" w:rsidP="00000000" w:rsidRDefault="00000000" w:rsidRPr="00000000" w14:paraId="00000019">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התיעוד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ההיסטורי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החיצוני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המהימן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ביותר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בנוגע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למקור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מצוי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באיגרתו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יצחק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דמן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עכו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מקובל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שהגיע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לספרד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1"/>
        </w:rPr>
        <w:t xml:space="preserve">-1305.[6] </w:t>
      </w:r>
      <w:r w:rsidDel="00000000" w:rsidR="00000000" w:rsidRPr="00000000">
        <w:rPr>
          <w:rFonts w:ascii="Times New Roman" w:cs="Times New Roman" w:eastAsia="Times New Roman" w:hAnsi="Times New Roman"/>
          <w:color w:val="1b1b1c"/>
          <w:sz w:val="24"/>
          <w:szCs w:val="24"/>
          <w:highlight w:val="white"/>
          <w:rtl w:val="1"/>
        </w:rPr>
        <w:t xml:space="preserve">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יצחק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דמן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עכו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הטיל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באותנטיות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הזוהר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מכיוון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שמע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בארץ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ישראל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והחל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בחקירה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משמשת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אבן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פינה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בגישה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האקדמית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המייחסת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.[5]</w:t>
      </w:r>
    </w:p>
    <w:p w:rsidR="00000000" w:rsidDel="00000000" w:rsidP="00000000" w:rsidRDefault="00000000" w:rsidRPr="00000000" w14:paraId="0000001A">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כאשר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נפגשו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יצחק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בוואלדידוליד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נשבע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ברשותו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עותק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שנכתב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רשב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באווילה</w:t>
      </w:r>
      <w:r w:rsidDel="00000000" w:rsidR="00000000" w:rsidRPr="00000000">
        <w:rPr>
          <w:rFonts w:ascii="Times New Roman" w:cs="Times New Roman" w:eastAsia="Times New Roman" w:hAnsi="Times New Roman"/>
          <w:color w:val="1b1b1c"/>
          <w:sz w:val="24"/>
          <w:szCs w:val="24"/>
          <w:highlight w:val="white"/>
          <w:rtl w:val="1"/>
        </w:rPr>
        <w:t xml:space="preserve">.[6] </w:t>
      </w:r>
      <w:r w:rsidDel="00000000" w:rsidR="00000000" w:rsidRPr="00000000">
        <w:rPr>
          <w:rFonts w:ascii="Times New Roman" w:cs="Times New Roman" w:eastAsia="Times New Roman" w:hAnsi="Times New Roman"/>
          <w:color w:val="1b1b1c"/>
          <w:sz w:val="24"/>
          <w:szCs w:val="24"/>
          <w:highlight w:val="white"/>
          <w:rtl w:val="1"/>
        </w:rPr>
        <w:t xml:space="preserve">מותו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באותה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מנע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אימות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השבועה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יצחק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המשיך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בחקירה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באווילה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ובאמצעות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רפאן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גילה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שאשתו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ובתו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הודו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שכתב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הספר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בעצמו</w:t>
      </w:r>
      <w:r w:rsidDel="00000000" w:rsidR="00000000" w:rsidRPr="00000000">
        <w:rPr>
          <w:rFonts w:ascii="Times New Roman" w:cs="Times New Roman" w:eastAsia="Times New Roman" w:hAnsi="Times New Roman"/>
          <w:color w:val="1b1b1c"/>
          <w:sz w:val="24"/>
          <w:szCs w:val="24"/>
          <w:highlight w:val="white"/>
          <w:rtl w:val="1"/>
        </w:rPr>
        <w:t xml:space="preserve">.[6]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הודאת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האלמנה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הייחוס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לרשב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נעשה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להבטיח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קבלת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התורות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וליצור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עשיר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רווח</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כלומר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סמכות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והצלחה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תיאולוגית</w:t>
      </w:r>
      <w:r w:rsidDel="00000000" w:rsidR="00000000" w:rsidRPr="00000000">
        <w:rPr>
          <w:rFonts w:ascii="Times New Roman" w:cs="Times New Roman" w:eastAsia="Times New Roman" w:hAnsi="Times New Roman"/>
          <w:color w:val="1b1b1c"/>
          <w:sz w:val="24"/>
          <w:szCs w:val="24"/>
          <w:highlight w:val="white"/>
          <w:rtl w:val="1"/>
        </w:rPr>
        <w:t xml:space="preserve">.[3] </w:t>
      </w:r>
      <w:r w:rsidDel="00000000" w:rsidR="00000000" w:rsidRPr="00000000">
        <w:rPr>
          <w:rFonts w:ascii="Times New Roman" w:cs="Times New Roman" w:eastAsia="Times New Roman" w:hAnsi="Times New Roman"/>
          <w:color w:val="1b1b1c"/>
          <w:sz w:val="24"/>
          <w:szCs w:val="24"/>
          <w:highlight w:val="white"/>
          <w:rtl w:val="1"/>
        </w:rPr>
        <w:t xml:space="preserve">הודאה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מאששת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הייחוס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הפסאודו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אפיגרפי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מודע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ומכוון</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1B">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III</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הקורפוס</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העברי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המובהק</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ניתוח</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משנתו</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התורנית</w:t>
      </w:r>
    </w:p>
    <w:p w:rsidR="00000000" w:rsidDel="00000000" w:rsidP="00000000" w:rsidRDefault="00000000" w:rsidRPr="00000000" w14:paraId="0000001C">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A</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סקירת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חיבורים</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ובעיית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ההדפסה</w:t>
      </w:r>
    </w:p>
    <w:p w:rsidR="00000000" w:rsidDel="00000000" w:rsidP="00000000" w:rsidRDefault="00000000" w:rsidRPr="00000000" w14:paraId="0000001D">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משנתו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התורנית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ביטוי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בכתבים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עבריים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שחיבר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תחת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שמו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החשובים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שבהם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שהודפסו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ספר</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הנפש</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החכמה</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i w:val="1"/>
          <w:iCs w:val="1"/>
          <w:color w:val="1b1b1c"/>
          <w:sz w:val="24"/>
          <w:szCs w:val="24"/>
          <w:highlight w:val="white"/>
          <w:rtl w:val="1"/>
        </w:rPr>
        <w:t xml:space="preserve">ספר</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שקל</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הקודש</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.[2] </w:t>
      </w:r>
      <w:r w:rsidDel="00000000" w:rsidR="00000000" w:rsidRPr="00000000">
        <w:rPr>
          <w:rFonts w:ascii="Times New Roman" w:cs="Times New Roman" w:eastAsia="Times New Roman" w:hAnsi="Times New Roman"/>
          <w:color w:val="1b1b1c"/>
          <w:sz w:val="24"/>
          <w:szCs w:val="24"/>
          <w:highlight w:val="white"/>
          <w:rtl w:val="1"/>
        </w:rPr>
        <w:t xml:space="preserve">חיבורים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נוספים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כגון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ספר</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הרמון</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i w:val="1"/>
          <w:iCs w:val="1"/>
          <w:color w:val="1b1b1c"/>
          <w:sz w:val="24"/>
          <w:szCs w:val="24"/>
          <w:highlight w:val="white"/>
          <w:rtl w:val="1"/>
        </w:rPr>
        <w:t xml:space="preserve">משכן</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העדות</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נותרו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בכתבי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w:t>
      </w:r>
      <w:r w:rsidDel="00000000" w:rsidR="00000000" w:rsidRPr="00000000">
        <w:rPr>
          <w:rFonts w:ascii="Times New Roman" w:cs="Times New Roman" w:eastAsia="Times New Roman" w:hAnsi="Times New Roman"/>
          <w:color w:val="1b1b1c"/>
          <w:sz w:val="24"/>
          <w:szCs w:val="24"/>
          <w:highlight w:val="white"/>
          <w:rtl w:val="1"/>
        </w:rPr>
        <w:t xml:space="preserve">.[2] </w:t>
      </w:r>
      <w:r w:rsidDel="00000000" w:rsidR="00000000" w:rsidRPr="00000000">
        <w:rPr>
          <w:rFonts w:ascii="Times New Roman" w:cs="Times New Roman" w:eastAsia="Times New Roman" w:hAnsi="Times New Roman"/>
          <w:color w:val="1b1b1c"/>
          <w:sz w:val="24"/>
          <w:szCs w:val="24"/>
          <w:highlight w:val="white"/>
          <w:rtl w:val="1"/>
        </w:rPr>
        <w:t xml:space="preserve">קורפוס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מהווה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הבהרה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פרשנות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המערכת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המיסטית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העמוקה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המופיעה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1E">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אף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שהקורפוס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מספק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גישה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למחשבתו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רובם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המכריע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אפילו</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לא</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באו</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לדפוס</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המקובלים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לאורך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הדורות</w:t>
      </w:r>
      <w:r w:rsidDel="00000000" w:rsidR="00000000" w:rsidRPr="00000000">
        <w:rPr>
          <w:rFonts w:ascii="Times New Roman" w:cs="Times New Roman" w:eastAsia="Times New Roman" w:hAnsi="Times New Roman"/>
          <w:color w:val="1b1b1c"/>
          <w:sz w:val="24"/>
          <w:szCs w:val="24"/>
          <w:highlight w:val="white"/>
          <w:rtl w:val="1"/>
        </w:rPr>
        <w:t xml:space="preserve">.[5] </w:t>
      </w:r>
      <w:r w:rsidDel="00000000" w:rsidR="00000000" w:rsidRPr="00000000">
        <w:rPr>
          <w:rFonts w:ascii="Times New Roman" w:cs="Times New Roman" w:eastAsia="Times New Roman" w:hAnsi="Times New Roman"/>
          <w:color w:val="1b1b1c"/>
          <w:sz w:val="24"/>
          <w:szCs w:val="24"/>
          <w:highlight w:val="white"/>
          <w:rtl w:val="1"/>
        </w:rPr>
        <w:t xml:space="preserve">כישלון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היסטורי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העומד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בניגוד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דרמטי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להצלחתו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הפנומנלית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משמש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כהוכחה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מכרעת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שהמקובלים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בטקסט</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שיוחס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לרשב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המקור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הבלעדי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והמכונן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הקבלה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כתביו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האישיים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תפסו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כבעלי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סמכות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משנית</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1F">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B</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ניתוח</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i w:val="1"/>
          <w:iCs w:val="1"/>
          <w:color w:val="1b1b1c"/>
          <w:sz w:val="21"/>
          <w:szCs w:val="21"/>
          <w:highlight w:val="white"/>
          <w:rtl w:val="1"/>
        </w:rPr>
        <w:t xml:space="preserve">ספר</w:t>
      </w:r>
      <w:r w:rsidDel="00000000" w:rsidR="00000000" w:rsidRPr="00000000">
        <w:rPr>
          <w:rFonts w:ascii="Times New Roman" w:cs="Times New Roman" w:eastAsia="Times New Roman" w:hAnsi="Times New Roman"/>
          <w:b w:val="1"/>
          <w:bCs w:val="1"/>
          <w:i w:val="1"/>
          <w:i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i w:val="1"/>
          <w:iCs w:val="1"/>
          <w:color w:val="1b1b1c"/>
          <w:sz w:val="21"/>
          <w:szCs w:val="21"/>
          <w:highlight w:val="white"/>
          <w:rtl w:val="1"/>
        </w:rPr>
        <w:t xml:space="preserve">שקל</w:t>
      </w:r>
      <w:r w:rsidDel="00000000" w:rsidR="00000000" w:rsidRPr="00000000">
        <w:rPr>
          <w:rFonts w:ascii="Times New Roman" w:cs="Times New Roman" w:eastAsia="Times New Roman" w:hAnsi="Times New Roman"/>
          <w:b w:val="1"/>
          <w:bCs w:val="1"/>
          <w:i w:val="1"/>
          <w:i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i w:val="1"/>
          <w:iCs w:val="1"/>
          <w:color w:val="1b1b1c"/>
          <w:sz w:val="21"/>
          <w:szCs w:val="21"/>
          <w:highlight w:val="white"/>
          <w:rtl w:val="1"/>
        </w:rPr>
        <w:t xml:space="preserve">הקודש</w:t>
      </w:r>
      <w:r w:rsidDel="00000000" w:rsidR="00000000" w:rsidRPr="00000000">
        <w:rPr>
          <w:rtl w:val="0"/>
        </w:rPr>
      </w:r>
      <w:r w:rsidDel="00000000" w:rsidR="00000000" w:rsidRPr="00000000">
        <w:rPr>
          <w:rFonts w:ascii="Times New Roman" w:cs="Times New Roman" w:eastAsia="Times New Roman" w:hAnsi="Times New Roman"/>
          <w:b w:val="1"/>
          <w:bCs w:val="1"/>
          <w:color w:val="1b1b1c"/>
          <w:sz w:val="21"/>
          <w:szCs w:val="21"/>
          <w:highlight w:val="white"/>
          <w:rtl w:val="1"/>
        </w:rPr>
        <w:t xml:space="preserve"> –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המבנה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והמשנה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התיאולוגית</w:t>
      </w:r>
    </w:p>
    <w:p w:rsidR="00000000" w:rsidDel="00000000" w:rsidP="00000000" w:rsidRDefault="00000000" w:rsidRPr="00000000" w14:paraId="00000020">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1"/>
        </w:rPr>
        <w:t xml:space="preserve">ספר</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שקל</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הקודש</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אחד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החיבורים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המרכזיים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שנותרו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ומציע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הצצה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לתשתית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התיאולוגית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.[7] </w:t>
      </w:r>
      <w:r w:rsidDel="00000000" w:rsidR="00000000" w:rsidRPr="00000000">
        <w:rPr>
          <w:rFonts w:ascii="Times New Roman" w:cs="Times New Roman" w:eastAsia="Times New Roman" w:hAnsi="Times New Roman"/>
          <w:color w:val="1b1b1c"/>
          <w:sz w:val="24"/>
          <w:szCs w:val="24"/>
          <w:highlight w:val="white"/>
          <w:rtl w:val="1"/>
        </w:rPr>
        <w:t xml:space="preserve">הספר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מחולק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בצורה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שיטתית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ומבנית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לשערים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המדגישים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היררכיית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הספירות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וסודות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הייחוד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כולל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שער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יסוד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שער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קצה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השמים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שער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עשרה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שמות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שאינם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נמחקין</w:t>
      </w:r>
      <w:r w:rsidDel="00000000" w:rsidR="00000000" w:rsidRPr="00000000">
        <w:rPr>
          <w:rFonts w:ascii="Times New Roman" w:cs="Times New Roman" w:eastAsia="Times New Roman" w:hAnsi="Times New Roman"/>
          <w:color w:val="1b1b1c"/>
          <w:sz w:val="24"/>
          <w:szCs w:val="24"/>
          <w:highlight w:val="white"/>
          <w:rtl w:val="1"/>
        </w:rPr>
        <w:t xml:space="preserve">".[7]</w:t>
      </w:r>
    </w:p>
    <w:p w:rsidR="00000000" w:rsidDel="00000000" w:rsidP="00000000" w:rsidRDefault="00000000" w:rsidRPr="00000000" w14:paraId="00000021">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המשנה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התיאולוגית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העולה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w:t>
      </w:r>
      <w:r w:rsidDel="00000000" w:rsidR="00000000" w:rsidRPr="00000000">
        <w:rPr>
          <w:rFonts w:ascii="Times New Roman" w:cs="Times New Roman" w:eastAsia="Times New Roman" w:hAnsi="Times New Roman"/>
          <w:i w:val="1"/>
          <w:iCs w:val="1"/>
          <w:color w:val="1b1b1c"/>
          <w:sz w:val="24"/>
          <w:szCs w:val="24"/>
          <w:highlight w:val="white"/>
          <w:rtl w:val="1"/>
        </w:rPr>
        <w:t xml:space="preserve">שקל</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הקודש</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מדגישה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מגבלות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ההשגה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האנושית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ביחס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לאלוהות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קובע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שיוכל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להשיג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זוהר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מעלתו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וגודל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עוצמו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ותוקפו</w:t>
      </w:r>
      <w:r w:rsidDel="00000000" w:rsidR="00000000" w:rsidRPr="00000000">
        <w:rPr>
          <w:rFonts w:ascii="Times New Roman" w:cs="Times New Roman" w:eastAsia="Times New Roman" w:hAnsi="Times New Roman"/>
          <w:color w:val="1b1b1c"/>
          <w:sz w:val="24"/>
          <w:szCs w:val="24"/>
          <w:highlight w:val="white"/>
          <w:rtl w:val="1"/>
        </w:rPr>
        <w:t xml:space="preserve">".[7] </w:t>
      </w:r>
      <w:r w:rsidDel="00000000" w:rsidR="00000000" w:rsidRPr="00000000">
        <w:rPr>
          <w:rFonts w:ascii="Times New Roman" w:cs="Times New Roman" w:eastAsia="Times New Roman" w:hAnsi="Times New Roman"/>
          <w:color w:val="1b1b1c"/>
          <w:sz w:val="24"/>
          <w:szCs w:val="24"/>
          <w:highlight w:val="white"/>
          <w:rtl w:val="1"/>
        </w:rPr>
        <w:t xml:space="preserve">האדם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יכול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להשיג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לכל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היותר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תוכן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בנין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גופו</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כלומר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המבנה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הספירתי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המקביל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לאדם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הקדמון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מנקודה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ואילך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ההשגה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האמיתית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דורשת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כניסה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סוד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דרכי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החכמה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הנוראה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חכמים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יודעים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חן</w:t>
      </w:r>
      <w:r w:rsidDel="00000000" w:rsidR="00000000" w:rsidRPr="00000000">
        <w:rPr>
          <w:rFonts w:ascii="Times New Roman" w:cs="Times New Roman" w:eastAsia="Times New Roman" w:hAnsi="Times New Roman"/>
          <w:color w:val="1b1b1c"/>
          <w:sz w:val="24"/>
          <w:szCs w:val="24"/>
          <w:highlight w:val="white"/>
          <w:rtl w:val="1"/>
        </w:rPr>
        <w:t xml:space="preserve">".[7] </w:t>
      </w:r>
      <w:r w:rsidDel="00000000" w:rsidR="00000000" w:rsidRPr="00000000">
        <w:rPr>
          <w:rFonts w:ascii="Times New Roman" w:cs="Times New Roman" w:eastAsia="Times New Roman" w:hAnsi="Times New Roman"/>
          <w:color w:val="1b1b1c"/>
          <w:sz w:val="24"/>
          <w:szCs w:val="24"/>
          <w:highlight w:val="white"/>
          <w:rtl w:val="1"/>
        </w:rPr>
        <w:t xml:space="preserve">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מצביע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שהכתבים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נועדו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לשמש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מדריכים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טכניים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פילוסופיים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שנכתבו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עבור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חוג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מובחר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שכבר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חונך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לסוד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עזר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המלווים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ההתגלות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הארמית</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22">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C</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סגנון</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ורעיונות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הקורפוס</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העברי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בהקשר</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רחב</w:t>
      </w:r>
    </w:p>
    <w:p w:rsidR="00000000" w:rsidDel="00000000" w:rsidP="00000000" w:rsidRDefault="00000000" w:rsidRPr="00000000" w14:paraId="00000023">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מבחינה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סגנונית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נחשבים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כמשתייכים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ז</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אנר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נפוץ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בתקופתם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ומאופיינים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אחידות</w:t>
      </w:r>
      <w:r w:rsidDel="00000000" w:rsidR="00000000" w:rsidRPr="00000000">
        <w:rPr>
          <w:rFonts w:ascii="Times New Roman" w:cs="Times New Roman" w:eastAsia="Times New Roman" w:hAnsi="Times New Roman"/>
          <w:color w:val="1b1b1c"/>
          <w:sz w:val="24"/>
          <w:szCs w:val="24"/>
          <w:highlight w:val="white"/>
          <w:rtl w:val="1"/>
        </w:rPr>
        <w:t xml:space="preserve">".[5] </w:t>
      </w:r>
      <w:r w:rsidDel="00000000" w:rsidR="00000000" w:rsidRPr="00000000">
        <w:rPr>
          <w:rFonts w:ascii="Times New Roman" w:cs="Times New Roman" w:eastAsia="Times New Roman" w:hAnsi="Times New Roman"/>
          <w:color w:val="1b1b1c"/>
          <w:sz w:val="24"/>
          <w:szCs w:val="24"/>
          <w:highlight w:val="white"/>
          <w:rtl w:val="1"/>
        </w:rPr>
        <w:t xml:space="preserve">הדבר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מעיד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חזרה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לדיסקורס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סכולסטי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קונבנציונלי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כאשר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תחת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שמו</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24">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מבחינת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התוכן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והלשון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נמצאו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עדויות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שלעיתים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השתמש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בביטויים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שמקורם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בטקסטים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זוהריים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כצורתם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הנכונה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במקור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בכתביו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העבריים</w:t>
      </w:r>
      <w:r w:rsidDel="00000000" w:rsidR="00000000" w:rsidRPr="00000000">
        <w:rPr>
          <w:rFonts w:ascii="Times New Roman" w:cs="Times New Roman" w:eastAsia="Times New Roman" w:hAnsi="Times New Roman"/>
          <w:color w:val="1b1b1c"/>
          <w:sz w:val="24"/>
          <w:szCs w:val="24"/>
          <w:highlight w:val="white"/>
          <w:rtl w:val="1"/>
        </w:rPr>
        <w:t xml:space="preserve">.[5] </w:t>
      </w:r>
      <w:r w:rsidDel="00000000" w:rsidR="00000000" w:rsidRPr="00000000">
        <w:rPr>
          <w:rFonts w:ascii="Times New Roman" w:cs="Times New Roman" w:eastAsia="Times New Roman" w:hAnsi="Times New Roman"/>
          <w:color w:val="1b1b1c"/>
          <w:sz w:val="24"/>
          <w:szCs w:val="24"/>
          <w:highlight w:val="white"/>
          <w:rtl w:val="1"/>
        </w:rPr>
        <w:t xml:space="preserve">קיומם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שימושי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ודרכי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מחשבה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זהים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הקורפוס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לזוהר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מעידים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זהות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המחבר</w:t>
      </w:r>
      <w:r w:rsidDel="00000000" w:rsidR="00000000" w:rsidRPr="00000000">
        <w:rPr>
          <w:rFonts w:ascii="Times New Roman" w:cs="Times New Roman" w:eastAsia="Times New Roman" w:hAnsi="Times New Roman"/>
          <w:color w:val="1b1b1c"/>
          <w:sz w:val="24"/>
          <w:szCs w:val="24"/>
          <w:highlight w:val="white"/>
          <w:rtl w:val="1"/>
        </w:rPr>
        <w:t xml:space="preserve"> [5], </w:t>
      </w:r>
      <w:r w:rsidDel="00000000" w:rsidR="00000000" w:rsidRPr="00000000">
        <w:rPr>
          <w:rFonts w:ascii="Times New Roman" w:cs="Times New Roman" w:eastAsia="Times New Roman" w:hAnsi="Times New Roman"/>
          <w:color w:val="1b1b1c"/>
          <w:sz w:val="24"/>
          <w:szCs w:val="24"/>
          <w:highlight w:val="white"/>
          <w:rtl w:val="1"/>
        </w:rPr>
        <w:t xml:space="preserve">אך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חוסר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הדיוק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בציטוטים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מלמד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הארמי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המקור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הראשי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והבסיסי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כתיבה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קבוצתית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התגלות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פנימית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ואילו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כתביו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ניסיונות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מאוחרים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להבהרה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פילוסופית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פרשנית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שבהכרח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החמיצו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הגאוניות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הסגנונית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והלשונית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המקור</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25">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IV</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משה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די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ליאון</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וספר</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הזוהר</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פולמוס</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הייחוס</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והבחינה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ההיסטורית</w:t>
      </w:r>
      <w:r w:rsidDel="00000000" w:rsidR="00000000" w:rsidRPr="00000000">
        <w:rPr>
          <w:rFonts w:ascii="Times New Roman" w:cs="Times New Roman" w:eastAsia="Times New Roman" w:hAnsi="Times New Roman"/>
          <w:b w:val="1"/>
          <w:bCs w:val="1"/>
          <w:color w:val="1b1b1c"/>
          <w:sz w:val="21"/>
          <w:szCs w:val="21"/>
          <w:highlight w:val="white"/>
          <w:rtl w:val="1"/>
        </w:rPr>
        <w:t xml:space="preserve">-</w:t>
      </w:r>
      <w:r w:rsidDel="00000000" w:rsidR="00000000" w:rsidRPr="00000000">
        <w:rPr>
          <w:rFonts w:ascii="Times New Roman" w:cs="Times New Roman" w:eastAsia="Times New Roman" w:hAnsi="Times New Roman"/>
          <w:b w:val="1"/>
          <w:bCs w:val="1"/>
          <w:color w:val="1b1b1c"/>
          <w:sz w:val="21"/>
          <w:szCs w:val="21"/>
          <w:highlight w:val="white"/>
          <w:rtl w:val="1"/>
        </w:rPr>
        <w:t xml:space="preserve">ביקורתית</w:t>
      </w:r>
    </w:p>
    <w:p w:rsidR="00000000" w:rsidDel="00000000" w:rsidP="00000000" w:rsidRDefault="00000000" w:rsidRPr="00000000" w14:paraId="00000026">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A</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תיאוריית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הייחוס</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האקדמית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שלום</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ותשבי</w:t>
      </w:r>
      <w:r w:rsidDel="00000000" w:rsidR="00000000" w:rsidRPr="00000000">
        <w:rPr>
          <w:rFonts w:ascii="Times New Roman" w:cs="Times New Roman" w:eastAsia="Times New Roman" w:hAnsi="Times New Roman"/>
          <w:b w:val="1"/>
          <w:bCs w:val="1"/>
          <w:color w:val="1b1b1c"/>
          <w:sz w:val="21"/>
          <w:szCs w:val="21"/>
          <w:highlight w:val="white"/>
          <w:rtl w:val="1"/>
        </w:rPr>
        <w:t xml:space="preserve">)</w:t>
      </w:r>
    </w:p>
    <w:p w:rsidR="00000000" w:rsidDel="00000000" w:rsidP="00000000" w:rsidRDefault="00000000" w:rsidRPr="00000000" w14:paraId="0000002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רוב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המחקרים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המודרניים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מקבלים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הטענה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יצירה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מהמאה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-13, </w:t>
      </w:r>
      <w:r w:rsidDel="00000000" w:rsidR="00000000" w:rsidRPr="00000000">
        <w:rPr>
          <w:rFonts w:ascii="Times New Roman" w:cs="Times New Roman" w:eastAsia="Times New Roman" w:hAnsi="Times New Roman"/>
          <w:color w:val="1b1b1c"/>
          <w:sz w:val="24"/>
          <w:szCs w:val="24"/>
          <w:highlight w:val="white"/>
          <w:rtl w:val="1"/>
        </w:rPr>
        <w:t xml:space="preserve">שרמד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כותבה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העיקרי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המגבש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והמפיץ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המרכזי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שלה</w:t>
      </w:r>
      <w:r w:rsidDel="00000000" w:rsidR="00000000" w:rsidRPr="00000000">
        <w:rPr>
          <w:rFonts w:ascii="Times New Roman" w:cs="Times New Roman" w:eastAsia="Times New Roman" w:hAnsi="Times New Roman"/>
          <w:color w:val="1b1b1c"/>
          <w:sz w:val="24"/>
          <w:szCs w:val="24"/>
          <w:highlight w:val="white"/>
          <w:rtl w:val="1"/>
        </w:rPr>
        <w:t xml:space="preserve">.[2, 4] </w:t>
      </w:r>
      <w:r w:rsidDel="00000000" w:rsidR="00000000" w:rsidRPr="00000000">
        <w:rPr>
          <w:rFonts w:ascii="Times New Roman" w:cs="Times New Roman" w:eastAsia="Times New Roman" w:hAnsi="Times New Roman"/>
          <w:color w:val="1b1b1c"/>
          <w:sz w:val="24"/>
          <w:szCs w:val="24"/>
          <w:highlight w:val="white"/>
          <w:rtl w:val="1"/>
        </w:rPr>
        <w:t xml:space="preserve">גרשם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וישעיהו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תשבי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ביססו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הטיעון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ראיות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טקסטואליות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והיסטוריות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רבות</w:t>
      </w:r>
      <w:r w:rsidDel="00000000" w:rsidR="00000000" w:rsidRPr="00000000">
        <w:rPr>
          <w:rFonts w:ascii="Times New Roman" w:cs="Times New Roman" w:eastAsia="Times New Roman" w:hAnsi="Times New Roman"/>
          <w:color w:val="1b1b1c"/>
          <w:sz w:val="24"/>
          <w:szCs w:val="24"/>
          <w:highlight w:val="white"/>
          <w:rtl w:val="1"/>
        </w:rPr>
        <w:t xml:space="preserve">.[5]</w:t>
      </w:r>
    </w:p>
    <w:p w:rsidR="00000000" w:rsidDel="00000000" w:rsidP="00000000" w:rsidRDefault="00000000" w:rsidRPr="00000000" w14:paraId="00000028">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עם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מחקר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מאוחר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הבהיר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שהכרונולוגיה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הכתיבה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מורכבת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אלכסנדר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אלטמן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אחד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נכתב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לפני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ואילו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תשבי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נתחבר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אחרי</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.[5] </w:t>
      </w:r>
      <w:r w:rsidDel="00000000" w:rsidR="00000000" w:rsidRPr="00000000">
        <w:rPr>
          <w:rFonts w:ascii="Times New Roman" w:cs="Times New Roman" w:eastAsia="Times New Roman" w:hAnsi="Times New Roman"/>
          <w:color w:val="1b1b1c"/>
          <w:sz w:val="24"/>
          <w:szCs w:val="24"/>
          <w:highlight w:val="white"/>
          <w:rtl w:val="1"/>
        </w:rPr>
        <w:t xml:space="preserve">הדבר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מצביע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שתהליך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היצירה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כלל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ככל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הנראה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כתיבה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אישיים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לפתח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הרעיונות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ורק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לאחר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מכן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יצירת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המכלול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הגדול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והמכונן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29">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B</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ניתוח</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הראיות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ההיסטוריות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והפנימיות</w:t>
      </w:r>
    </w:p>
    <w:p w:rsidR="00000000" w:rsidDel="00000000" w:rsidP="00000000" w:rsidRDefault="00000000" w:rsidRPr="00000000" w14:paraId="0000002A">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הראיות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לקשר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הדוק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חזקות</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2B">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1"/>
        </w:rPr>
        <w:t xml:space="preserve">עדויות</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פנימיות</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מקבילות</w:t>
      </w:r>
      <w:r w:rsidDel="00000000" w:rsidR="00000000" w:rsidRPr="00000000">
        <w:rPr>
          <w:rFonts w:ascii="Times New Roman" w:cs="Times New Roman" w:eastAsia="Times New Roman" w:hAnsi="Times New Roman"/>
          <w:b w:val="1"/>
          <w:bCs w:val="1"/>
          <w:color w:val="1b1b1c"/>
          <w:sz w:val="24"/>
          <w:szCs w:val="24"/>
          <w:highlight w:val="white"/>
          <w:rtl w:val="1"/>
        </w:rPr>
        <w:t xml:space="preserve">):</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קיימות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מקבילות</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לאין</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ספור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כולל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דמיון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רעיוני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עמוק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שימושי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ודרכי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מחשבה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זהים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המעידים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זהות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המחבר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השפעה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הדדית</w:t>
      </w:r>
      <w:r w:rsidDel="00000000" w:rsidR="00000000" w:rsidRPr="00000000">
        <w:rPr>
          <w:rFonts w:ascii="Times New Roman" w:cs="Times New Roman" w:eastAsia="Times New Roman" w:hAnsi="Times New Roman"/>
          <w:color w:val="1b1b1c"/>
          <w:sz w:val="24"/>
          <w:szCs w:val="24"/>
          <w:highlight w:val="white"/>
          <w:rtl w:val="1"/>
        </w:rPr>
        <w:t xml:space="preserve">.[5]</w:t>
      </w:r>
    </w:p>
    <w:p w:rsidR="00000000" w:rsidDel="00000000" w:rsidP="00000000" w:rsidRDefault="00000000" w:rsidRPr="00000000" w14:paraId="0000002C">
      <w:pPr>
        <w:numPr>
          <w:ilvl w:val="0"/>
          <w:numId w:val="2"/>
        </w:numPr>
        <w:bidi w:val="1"/>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1"/>
        </w:rPr>
        <w:t xml:space="preserve">עדויות</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חיצוניות</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ר</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יצחק</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דמן</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עכו</w:t>
      </w:r>
      <w:r w:rsidDel="00000000" w:rsidR="00000000" w:rsidRPr="00000000">
        <w:rPr>
          <w:rFonts w:ascii="Times New Roman" w:cs="Times New Roman" w:eastAsia="Times New Roman" w:hAnsi="Times New Roman"/>
          <w:b w:val="1"/>
          <w:bCs w:val="1"/>
          <w:color w:val="1b1b1c"/>
          <w:sz w:val="24"/>
          <w:szCs w:val="24"/>
          <w:highlight w:val="white"/>
          <w:rtl w:val="1"/>
        </w:rPr>
        <w:t xml:space="preserve">):</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איגרתו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יצחק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דמן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עכו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התקופה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ראיה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קריטית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המקשרת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.[5] </w:t>
      </w:r>
      <w:r w:rsidDel="00000000" w:rsidR="00000000" w:rsidRPr="00000000">
        <w:rPr>
          <w:rFonts w:ascii="Times New Roman" w:cs="Times New Roman" w:eastAsia="Times New Roman" w:hAnsi="Times New Roman"/>
          <w:color w:val="1b1b1c"/>
          <w:sz w:val="24"/>
          <w:szCs w:val="24"/>
          <w:highlight w:val="white"/>
          <w:rtl w:val="1"/>
        </w:rPr>
        <w:t xml:space="preserve">סיפור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הודאת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האלמנה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משמש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כתימוכין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למניע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התיאולוגי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לייחס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החיבור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לרשב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להבטיח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קבלתו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הקהל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הדתי</w:t>
      </w:r>
      <w:r w:rsidDel="00000000" w:rsidR="00000000" w:rsidRPr="00000000">
        <w:rPr>
          <w:rFonts w:ascii="Times New Roman" w:cs="Times New Roman" w:eastAsia="Times New Roman" w:hAnsi="Times New Roman"/>
          <w:color w:val="1b1b1c"/>
          <w:sz w:val="24"/>
          <w:szCs w:val="24"/>
          <w:highlight w:val="white"/>
          <w:rtl w:val="1"/>
        </w:rPr>
        <w:t xml:space="preserve">.[3, 6]</w:t>
      </w:r>
    </w:p>
    <w:p w:rsidR="00000000" w:rsidDel="00000000" w:rsidP="00000000" w:rsidRDefault="00000000" w:rsidRPr="00000000" w14:paraId="0000002D">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העובדה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שהפולמוס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סביב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התקיים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-14 </w:t>
      </w:r>
      <w:r w:rsidDel="00000000" w:rsidR="00000000" w:rsidRPr="00000000">
        <w:rPr>
          <w:rFonts w:ascii="Times New Roman" w:cs="Times New Roman" w:eastAsia="Times New Roman" w:hAnsi="Times New Roman"/>
          <w:color w:val="1b1b1c"/>
          <w:sz w:val="24"/>
          <w:szCs w:val="24"/>
          <w:highlight w:val="white"/>
          <w:rtl w:val="1"/>
        </w:rPr>
        <w:t xml:space="preserve">מראה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עוצמת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הספר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חרגה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מגבולות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השאלה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ההיסטורית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הקבלה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הממושכת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הייחוס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לרשב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ביהדות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האורתודוקסית</w:t>
      </w:r>
      <w:r w:rsidDel="00000000" w:rsidR="00000000" w:rsidRPr="00000000">
        <w:rPr>
          <w:rFonts w:ascii="Times New Roman" w:cs="Times New Roman" w:eastAsia="Times New Roman" w:hAnsi="Times New Roman"/>
          <w:color w:val="1b1b1c"/>
          <w:sz w:val="24"/>
          <w:szCs w:val="24"/>
          <w:highlight w:val="white"/>
          <w:rtl w:val="1"/>
        </w:rPr>
        <w:t xml:space="preserve"> [2] </w:t>
      </w:r>
      <w:r w:rsidDel="00000000" w:rsidR="00000000" w:rsidRPr="00000000">
        <w:rPr>
          <w:rFonts w:ascii="Times New Roman" w:cs="Times New Roman" w:eastAsia="Times New Roman" w:hAnsi="Times New Roman"/>
          <w:color w:val="1b1b1c"/>
          <w:sz w:val="24"/>
          <w:szCs w:val="24"/>
          <w:highlight w:val="white"/>
          <w:rtl w:val="1"/>
        </w:rPr>
        <w:t xml:space="preserve">היא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שיקוף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הערך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האינטרינזי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הטקסט</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שנתפס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עמוק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שדורות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מקובלים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העדיפו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סמכותו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ההתגלותית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הדיוק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ההיסטורי</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2E">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C</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הדיון</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במחקר</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הרב</w:t>
      </w:r>
      <w:r w:rsidDel="00000000" w:rsidR="00000000" w:rsidRPr="00000000">
        <w:rPr>
          <w:rFonts w:ascii="Times New Roman" w:cs="Times New Roman" w:eastAsia="Times New Roman" w:hAnsi="Times New Roman"/>
          <w:b w:val="1"/>
          <w:bCs w:val="1"/>
          <w:color w:val="1b1b1c"/>
          <w:sz w:val="21"/>
          <w:szCs w:val="21"/>
          <w:highlight w:val="white"/>
          <w:rtl w:val="1"/>
        </w:rPr>
        <w:t xml:space="preserve">-</w:t>
      </w:r>
      <w:r w:rsidDel="00000000" w:rsidR="00000000" w:rsidRPr="00000000">
        <w:rPr>
          <w:rFonts w:ascii="Times New Roman" w:cs="Times New Roman" w:eastAsia="Times New Roman" w:hAnsi="Times New Roman"/>
          <w:b w:val="1"/>
          <w:bCs w:val="1"/>
          <w:color w:val="1b1b1c"/>
          <w:sz w:val="21"/>
          <w:szCs w:val="21"/>
          <w:highlight w:val="white"/>
          <w:rtl w:val="1"/>
        </w:rPr>
        <w:t xml:space="preserve">שכבתי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הזוהר</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כקורפוס</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קבוצתי</w:t>
      </w:r>
    </w:p>
    <w:p w:rsidR="00000000" w:rsidDel="00000000" w:rsidP="00000000" w:rsidRDefault="00000000" w:rsidRPr="00000000" w14:paraId="0000002F">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אף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ששלום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נטה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לייחס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ספר</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כולו</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[5], </w:t>
      </w:r>
      <w:r w:rsidDel="00000000" w:rsidR="00000000" w:rsidRPr="00000000">
        <w:rPr>
          <w:rFonts w:ascii="Times New Roman" w:cs="Times New Roman" w:eastAsia="Times New Roman" w:hAnsi="Times New Roman"/>
          <w:color w:val="1b1b1c"/>
          <w:sz w:val="24"/>
          <w:szCs w:val="24"/>
          <w:highlight w:val="white"/>
          <w:rtl w:val="1"/>
        </w:rPr>
        <w:t xml:space="preserve">ישעיהו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תשבי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נתחבר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מקובלים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שבראשם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עמד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ליאון</w:t>
      </w:r>
      <w:r w:rsidDel="00000000" w:rsidR="00000000" w:rsidRPr="00000000">
        <w:rPr>
          <w:rFonts w:ascii="Times New Roman" w:cs="Times New Roman" w:eastAsia="Times New Roman" w:hAnsi="Times New Roman"/>
          <w:color w:val="1b1b1c"/>
          <w:sz w:val="24"/>
          <w:szCs w:val="24"/>
          <w:highlight w:val="white"/>
          <w:rtl w:val="1"/>
        </w:rPr>
        <w:t xml:space="preserve">".[4] </w:t>
      </w:r>
      <w:r w:rsidDel="00000000" w:rsidR="00000000" w:rsidRPr="00000000">
        <w:rPr>
          <w:rFonts w:ascii="Times New Roman" w:cs="Times New Roman" w:eastAsia="Times New Roman" w:hAnsi="Times New Roman"/>
          <w:color w:val="1b1b1c"/>
          <w:sz w:val="24"/>
          <w:szCs w:val="24"/>
          <w:highlight w:val="white"/>
          <w:rtl w:val="1"/>
        </w:rPr>
        <w:t xml:space="preserve">הדבר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מוביל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למודל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קורפוס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שכבתי</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30">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המחקר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המאוחר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הדגים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קיימים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פערים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מהותיים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בתוך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עצמו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בדגש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מדרש</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הנעלם</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יחידה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שאינה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משתלבת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בקלות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בייחוס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[5]:</w:t>
      </w:r>
    </w:p>
    <w:p w:rsidR="00000000" w:rsidDel="00000000" w:rsidP="00000000" w:rsidRDefault="00000000" w:rsidRPr="00000000" w14:paraId="00000031">
      <w:pPr>
        <w:numPr>
          <w:ilvl w:val="0"/>
          <w:numId w:val="3"/>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1"/>
        </w:rPr>
        <w:t xml:space="preserve">הבדל</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לשוני</w:t>
      </w:r>
      <w:r w:rsidDel="00000000" w:rsidR="00000000" w:rsidRPr="00000000">
        <w:rPr>
          <w:rFonts w:ascii="Times New Roman" w:cs="Times New Roman" w:eastAsia="Times New Roman" w:hAnsi="Times New Roman"/>
          <w:b w:val="1"/>
          <w:bCs w:val="1"/>
          <w:color w:val="1b1b1c"/>
          <w:sz w:val="24"/>
          <w:szCs w:val="24"/>
          <w:highlight w:val="white"/>
          <w:rtl w:val="1"/>
        </w:rPr>
        <w:t xml:space="preserve">:</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גוף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בארמית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ואילו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מדרש</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הנעלם</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עברית</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ברובה</w:t>
      </w:r>
      <w:r w:rsidDel="00000000" w:rsidR="00000000" w:rsidRPr="00000000">
        <w:rPr>
          <w:rFonts w:ascii="Times New Roman" w:cs="Times New Roman" w:eastAsia="Times New Roman" w:hAnsi="Times New Roman"/>
          <w:color w:val="1b1b1c"/>
          <w:sz w:val="24"/>
          <w:szCs w:val="24"/>
          <w:highlight w:val="white"/>
          <w:rtl w:val="0"/>
        </w:rPr>
        <w:t xml:space="preserve">.[5]</w:t>
      </w:r>
    </w:p>
    <w:p w:rsidR="00000000" w:rsidDel="00000000" w:rsidP="00000000" w:rsidRDefault="00000000" w:rsidRPr="00000000" w14:paraId="00000032">
      <w:pPr>
        <w:numPr>
          <w:ilvl w:val="0"/>
          <w:numId w:val="3"/>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1"/>
        </w:rPr>
        <w:t xml:space="preserve">הבדל</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רעיוני</w:t>
      </w:r>
      <w:r w:rsidDel="00000000" w:rsidR="00000000" w:rsidRPr="00000000">
        <w:rPr>
          <w:rFonts w:ascii="Times New Roman" w:cs="Times New Roman" w:eastAsia="Times New Roman" w:hAnsi="Times New Roman"/>
          <w:b w:val="1"/>
          <w:bCs w:val="1"/>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מדרש</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הנעלם</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נוקט</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בפרשנות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אלגוריסטית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להבדיל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מהדרך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b w:val="1"/>
          <w:bCs w:val="1"/>
          <w:color w:val="1b1b1c"/>
          <w:sz w:val="24"/>
          <w:szCs w:val="24"/>
          <w:highlight w:val="white"/>
          <w:rtl w:val="1"/>
        </w:rPr>
        <w:t xml:space="preserve">סימבולית</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של</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קבלת</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הספירות</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המאפיינת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גוף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Fonts w:ascii="Times New Roman" w:cs="Times New Roman" w:eastAsia="Times New Roman" w:hAnsi="Times New Roman"/>
          <w:color w:val="1b1b1c"/>
          <w:sz w:val="24"/>
          <w:szCs w:val="24"/>
          <w:highlight w:val="white"/>
          <w:rtl w:val="0"/>
        </w:rPr>
        <w:t xml:space="preserve">.[5]</w:t>
      </w:r>
    </w:p>
    <w:p w:rsidR="00000000" w:rsidDel="00000000" w:rsidP="00000000" w:rsidRDefault="00000000" w:rsidRPr="00000000" w14:paraId="00000033">
      <w:pPr>
        <w:numPr>
          <w:ilvl w:val="0"/>
          <w:numId w:val="3"/>
        </w:numPr>
        <w:bidi w:val="1"/>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1"/>
        </w:rPr>
        <w:t xml:space="preserve">העדר</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מקבילה</w:t>
      </w:r>
      <w:r w:rsidDel="00000000" w:rsidR="00000000" w:rsidRPr="00000000">
        <w:rPr>
          <w:rFonts w:ascii="Times New Roman" w:cs="Times New Roman" w:eastAsia="Times New Roman" w:hAnsi="Times New Roman"/>
          <w:b w:val="1"/>
          <w:bCs w:val="1"/>
          <w:color w:val="1b1b1c"/>
          <w:sz w:val="24"/>
          <w:szCs w:val="24"/>
          <w:highlight w:val="white"/>
          <w:rtl w:val="1"/>
        </w:rPr>
        <w:t xml:space="preserve">:</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i w:val="1"/>
          <w:iCs w:val="1"/>
          <w:color w:val="1b1b1c"/>
          <w:sz w:val="24"/>
          <w:szCs w:val="24"/>
          <w:highlight w:val="white"/>
          <w:rtl w:val="1"/>
        </w:rPr>
        <w:t xml:space="preserve">מדרש</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הנעלם</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מקבילה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בכתביו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".[5]</w:t>
      </w:r>
    </w:p>
    <w:p w:rsidR="00000000" w:rsidDel="00000000" w:rsidP="00000000" w:rsidRDefault="00000000" w:rsidRPr="00000000" w14:paraId="00000034">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הבדלים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מצביעים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כעורך</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מגבש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מרכזי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שאסף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ואיחד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יחידות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טקסטואליות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תוך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תורם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החלק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כולו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יחד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המסגרת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הסיפורית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רשב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וחבורתו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הנרטיב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הדרמטי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הייתה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הספרותי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שיצר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להעניק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לחיבור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כולו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אחידות</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35">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V</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אנליזה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השוואתית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הפער</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והזהות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בין</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כתבי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רמד</w:t>
      </w:r>
      <w:r w:rsidDel="00000000" w:rsidR="00000000" w:rsidRPr="00000000">
        <w:rPr>
          <w:rFonts w:ascii="Times New Roman" w:cs="Times New Roman" w:eastAsia="Times New Roman" w:hAnsi="Times New Roman"/>
          <w:b w:val="1"/>
          <w:bCs w:val="1"/>
          <w:color w:val="1b1b1c"/>
          <w:sz w:val="21"/>
          <w:szCs w:val="21"/>
          <w:highlight w:val="white"/>
          <w:rtl w:val="1"/>
        </w:rPr>
        <w:t xml:space="preserve">"</w:t>
      </w:r>
      <w:r w:rsidDel="00000000" w:rsidR="00000000" w:rsidRPr="00000000">
        <w:rPr>
          <w:rFonts w:ascii="Times New Roman" w:cs="Times New Roman" w:eastAsia="Times New Roman" w:hAnsi="Times New Roman"/>
          <w:b w:val="1"/>
          <w:bCs w:val="1"/>
          <w:color w:val="1b1b1c"/>
          <w:sz w:val="21"/>
          <w:szCs w:val="21"/>
          <w:highlight w:val="white"/>
          <w:rtl w:val="1"/>
        </w:rPr>
        <w:t xml:space="preserve">ל</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לזוהר</w:t>
      </w:r>
    </w:p>
    <w:p w:rsidR="00000000" w:rsidDel="00000000" w:rsidP="00000000" w:rsidRDefault="00000000" w:rsidRPr="00000000" w14:paraId="00000036">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A</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הוכחת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הזהות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והקרבה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היתרה</w:t>
      </w:r>
    </w:p>
    <w:p w:rsidR="00000000" w:rsidDel="00000000" w:rsidP="00000000" w:rsidRDefault="00000000" w:rsidRPr="00000000" w14:paraId="0000003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הזהות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הרעיונית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והלשונית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העמוקה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המודפסים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כגון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שקל</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הקודש</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מהווה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הראיה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המרכזית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לקשר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ביניהם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התיאולוגיה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המרכזית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העוסקת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במבנה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האלוהי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ובסודות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התיאורגיים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מופיעה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בבהירות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משכנעת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בשני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הקורפוסים</w:t>
      </w:r>
      <w:r w:rsidDel="00000000" w:rsidR="00000000" w:rsidRPr="00000000">
        <w:rPr>
          <w:rFonts w:ascii="Times New Roman" w:cs="Times New Roman" w:eastAsia="Times New Roman" w:hAnsi="Times New Roman"/>
          <w:color w:val="1b1b1c"/>
          <w:sz w:val="24"/>
          <w:szCs w:val="24"/>
          <w:highlight w:val="white"/>
          <w:rtl w:val="1"/>
        </w:rPr>
        <w:t xml:space="preserve">.[5] </w:t>
      </w:r>
      <w:r w:rsidDel="00000000" w:rsidR="00000000" w:rsidRPr="00000000">
        <w:rPr>
          <w:rFonts w:ascii="Times New Roman" w:cs="Times New Roman" w:eastAsia="Times New Roman" w:hAnsi="Times New Roman"/>
          <w:color w:val="1b1b1c"/>
          <w:sz w:val="24"/>
          <w:szCs w:val="24"/>
          <w:highlight w:val="white"/>
          <w:rtl w:val="1"/>
        </w:rPr>
        <w:t xml:space="preserve">ביחס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גוף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הזוהר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המרכזי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נמצאת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קרבה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יתרה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לספריו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.[5] </w:t>
      </w:r>
      <w:r w:rsidDel="00000000" w:rsidR="00000000" w:rsidRPr="00000000">
        <w:rPr>
          <w:rFonts w:ascii="Times New Roman" w:cs="Times New Roman" w:eastAsia="Times New Roman" w:hAnsi="Times New Roman"/>
          <w:color w:val="1b1b1c"/>
          <w:sz w:val="24"/>
          <w:szCs w:val="24"/>
          <w:highlight w:val="white"/>
          <w:rtl w:val="1"/>
        </w:rPr>
        <w:t xml:space="preserve">הדמיון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שימושי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ודרכי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מחשבה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זהים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מעיד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כוונת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משותפת</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38">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B</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הצגת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הפערים</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הרדיקליים</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0"/>
        </w:rPr>
        <w:t xml:space="preserve">Liebes</w:t>
      </w:r>
      <w:r w:rsidDel="00000000" w:rsidR="00000000" w:rsidRPr="00000000">
        <w:rPr>
          <w:rFonts w:ascii="Times New Roman" w:cs="Times New Roman" w:eastAsia="Times New Roman" w:hAnsi="Times New Roman"/>
          <w:b w:val="1"/>
          <w:bCs w:val="1"/>
          <w:color w:val="1b1b1c"/>
          <w:sz w:val="21"/>
          <w:szCs w:val="21"/>
          <w:highlight w:val="white"/>
          <w:rtl w:val="0"/>
        </w:rPr>
        <w:t xml:space="preserve">'</w:t>
      </w:r>
      <w:r w:rsidDel="00000000" w:rsidR="00000000" w:rsidRPr="00000000">
        <w:rPr>
          <w:rFonts w:ascii="Times New Roman" w:cs="Times New Roman" w:eastAsia="Times New Roman" w:hAnsi="Times New Roman"/>
          <w:b w:val="1"/>
          <w:bCs w:val="1"/>
          <w:color w:val="1b1b1c"/>
          <w:sz w:val="21"/>
          <w:szCs w:val="21"/>
          <w:highlight w:val="white"/>
          <w:rtl w:val="0"/>
        </w:rPr>
        <w:t xml:space="preserve">s</w:t>
      </w:r>
      <w:r w:rsidDel="00000000" w:rsidR="00000000" w:rsidRPr="00000000">
        <w:rPr>
          <w:rFonts w:ascii="Times New Roman" w:cs="Times New Roman" w:eastAsia="Times New Roman" w:hAnsi="Times New Roman"/>
          <w:b w:val="1"/>
          <w:bCs w:val="1"/>
          <w:color w:val="1b1b1c"/>
          <w:sz w:val="21"/>
          <w:szCs w:val="21"/>
          <w:highlight w:val="white"/>
          <w:rtl w:val="0"/>
        </w:rPr>
        <w:t xml:space="preserve"> </w:t>
      </w:r>
      <w:r w:rsidDel="00000000" w:rsidR="00000000" w:rsidRPr="00000000">
        <w:rPr>
          <w:rFonts w:ascii="Times New Roman" w:cs="Times New Roman" w:eastAsia="Times New Roman" w:hAnsi="Times New Roman"/>
          <w:b w:val="1"/>
          <w:bCs w:val="1"/>
          <w:color w:val="1b1b1c"/>
          <w:sz w:val="21"/>
          <w:szCs w:val="21"/>
          <w:highlight w:val="white"/>
          <w:rtl w:val="0"/>
        </w:rPr>
        <w:t xml:space="preserve">Critique</w:t>
      </w:r>
      <w:r w:rsidDel="00000000" w:rsidR="00000000" w:rsidRPr="00000000">
        <w:rPr>
          <w:rFonts w:ascii="Times New Roman" w:cs="Times New Roman" w:eastAsia="Times New Roman" w:hAnsi="Times New Roman"/>
          <w:b w:val="1"/>
          <w:bCs w:val="1"/>
          <w:color w:val="1b1b1c"/>
          <w:sz w:val="21"/>
          <w:szCs w:val="21"/>
          <w:highlight w:val="white"/>
          <w:rtl w:val="1"/>
        </w:rPr>
        <w:t xml:space="preserve">)</w:t>
      </w:r>
    </w:p>
    <w:p w:rsidR="00000000" w:rsidDel="00000000" w:rsidP="00000000" w:rsidRDefault="00000000" w:rsidRPr="00000000" w14:paraId="00000039">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הסתכלות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ביקורתית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הסגנון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חושפת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פער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דרמטי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בעוצמה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הספרותית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והרעיונית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הקורפוסים</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3A">
      <w:pPr>
        <w:numPr>
          <w:ilvl w:val="0"/>
          <w:numId w:val="4"/>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1"/>
        </w:rPr>
        <w:t xml:space="preserve">איכות</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ספרותית</w:t>
      </w:r>
      <w:r w:rsidDel="00000000" w:rsidR="00000000" w:rsidRPr="00000000">
        <w:rPr>
          <w:rFonts w:ascii="Times New Roman" w:cs="Times New Roman" w:eastAsia="Times New Roman" w:hAnsi="Times New Roman"/>
          <w:b w:val="1"/>
          <w:bCs w:val="1"/>
          <w:color w:val="1b1b1c"/>
          <w:sz w:val="24"/>
          <w:szCs w:val="24"/>
          <w:highlight w:val="white"/>
          <w:rtl w:val="1"/>
        </w:rPr>
        <w:t xml:space="preserve">:</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מתוארים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ז</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אנר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נפוץ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המאופיין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אחידות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יחסית</w:t>
      </w:r>
      <w:r w:rsidDel="00000000" w:rsidR="00000000" w:rsidRPr="00000000">
        <w:rPr>
          <w:rFonts w:ascii="Times New Roman" w:cs="Times New Roman" w:eastAsia="Times New Roman" w:hAnsi="Times New Roman"/>
          <w:color w:val="1b1b1c"/>
          <w:sz w:val="24"/>
          <w:szCs w:val="24"/>
          <w:highlight w:val="white"/>
          <w:rtl w:val="1"/>
        </w:rPr>
        <w:t xml:space="preserve">.[5] </w:t>
      </w:r>
      <w:r w:rsidDel="00000000" w:rsidR="00000000" w:rsidRPr="00000000">
        <w:rPr>
          <w:rFonts w:ascii="Times New Roman" w:cs="Times New Roman" w:eastAsia="Times New Roman" w:hAnsi="Times New Roman"/>
          <w:color w:val="1b1b1c"/>
          <w:sz w:val="24"/>
          <w:szCs w:val="24"/>
          <w:highlight w:val="white"/>
          <w:rtl w:val="1"/>
        </w:rPr>
        <w:t xml:space="preserve">לעומת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נחשב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יצירה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שאין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כמוה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הביניים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גוניותו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עושר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הביטוי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מקוריות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המחשבה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והדמיון</w:t>
      </w:r>
      <w:r w:rsidDel="00000000" w:rsidR="00000000" w:rsidRPr="00000000">
        <w:rPr>
          <w:rFonts w:ascii="Times New Roman" w:cs="Times New Roman" w:eastAsia="Times New Roman" w:hAnsi="Times New Roman"/>
          <w:color w:val="1b1b1c"/>
          <w:sz w:val="24"/>
          <w:szCs w:val="24"/>
          <w:highlight w:val="white"/>
          <w:rtl w:val="1"/>
        </w:rPr>
        <w:t xml:space="preserve">".[5]</w:t>
      </w:r>
    </w:p>
    <w:p w:rsidR="00000000" w:rsidDel="00000000" w:rsidP="00000000" w:rsidRDefault="00000000" w:rsidRPr="00000000" w14:paraId="0000003B">
      <w:pPr>
        <w:numPr>
          <w:ilvl w:val="0"/>
          <w:numId w:val="4"/>
        </w:numPr>
        <w:bidi w:val="1"/>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1"/>
        </w:rPr>
        <w:t xml:space="preserve">השפה</w:t>
      </w:r>
      <w:r w:rsidDel="00000000" w:rsidR="00000000" w:rsidRPr="00000000">
        <w:rPr>
          <w:rFonts w:ascii="Times New Roman" w:cs="Times New Roman" w:eastAsia="Times New Roman" w:hAnsi="Times New Roman"/>
          <w:b w:val="1"/>
          <w:bCs w:val="1"/>
          <w:color w:val="1b1b1c"/>
          <w:sz w:val="24"/>
          <w:szCs w:val="24"/>
          <w:highlight w:val="white"/>
          <w:rtl w:val="1"/>
        </w:rPr>
        <w:t xml:space="preserve"> </w:t>
      </w:r>
      <w:r w:rsidDel="00000000" w:rsidR="00000000" w:rsidRPr="00000000">
        <w:rPr>
          <w:rFonts w:ascii="Times New Roman" w:cs="Times New Roman" w:eastAsia="Times New Roman" w:hAnsi="Times New Roman"/>
          <w:b w:val="1"/>
          <w:bCs w:val="1"/>
          <w:color w:val="1b1b1c"/>
          <w:sz w:val="24"/>
          <w:szCs w:val="24"/>
          <w:highlight w:val="white"/>
          <w:rtl w:val="1"/>
        </w:rPr>
        <w:t xml:space="preserve">והמיתוס</w:t>
      </w:r>
      <w:r w:rsidDel="00000000" w:rsidR="00000000" w:rsidRPr="00000000">
        <w:rPr>
          <w:rFonts w:ascii="Times New Roman" w:cs="Times New Roman" w:eastAsia="Times New Roman" w:hAnsi="Times New Roman"/>
          <w:b w:val="1"/>
          <w:bCs w:val="1"/>
          <w:color w:val="1b1b1c"/>
          <w:sz w:val="24"/>
          <w:szCs w:val="24"/>
          <w:highlight w:val="white"/>
          <w:rtl w:val="1"/>
        </w:rPr>
        <w:t xml:space="preserve">:</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הפער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בעוצמה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תוצאה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המניפולציה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הלשונית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והספרותית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הבחירה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לכתוב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בארמית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מיסטית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בעברית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הלימודית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זמנו</w:t>
      </w:r>
      <w:r w:rsidDel="00000000" w:rsidR="00000000" w:rsidRPr="00000000">
        <w:rPr>
          <w:rFonts w:ascii="Times New Roman" w:cs="Times New Roman" w:eastAsia="Times New Roman" w:hAnsi="Times New Roman"/>
          <w:color w:val="1b1b1c"/>
          <w:sz w:val="24"/>
          <w:szCs w:val="24"/>
          <w:highlight w:val="white"/>
          <w:rtl w:val="1"/>
        </w:rPr>
        <w:t xml:space="preserve"> [5] </w:t>
      </w:r>
      <w:r w:rsidDel="00000000" w:rsidR="00000000" w:rsidRPr="00000000">
        <w:rPr>
          <w:rFonts w:ascii="Times New Roman" w:cs="Times New Roman" w:eastAsia="Times New Roman" w:hAnsi="Times New Roman"/>
          <w:color w:val="1b1b1c"/>
          <w:sz w:val="24"/>
          <w:szCs w:val="24"/>
          <w:highlight w:val="white"/>
          <w:rtl w:val="1"/>
        </w:rPr>
        <w:t xml:space="preserve">הייתה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מכשיר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ספרותי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שנועד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ליצור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תחושה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קדמות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גילוי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מחודש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תורות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ומיתוסים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מימי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קדם</w:t>
      </w:r>
      <w:r w:rsidDel="00000000" w:rsidR="00000000" w:rsidRPr="00000000">
        <w:rPr>
          <w:rFonts w:ascii="Times New Roman" w:cs="Times New Roman" w:eastAsia="Times New Roman" w:hAnsi="Times New Roman"/>
          <w:color w:val="1b1b1c"/>
          <w:sz w:val="24"/>
          <w:szCs w:val="24"/>
          <w:highlight w:val="white"/>
          <w:rtl w:val="1"/>
        </w:rPr>
        <w:t xml:space="preserve">".[5] </w:t>
      </w:r>
      <w:r w:rsidDel="00000000" w:rsidR="00000000" w:rsidRPr="00000000">
        <w:rPr>
          <w:rFonts w:ascii="Times New Roman" w:cs="Times New Roman" w:eastAsia="Times New Roman" w:hAnsi="Times New Roman"/>
          <w:color w:val="1b1b1c"/>
          <w:sz w:val="24"/>
          <w:szCs w:val="24"/>
          <w:highlight w:val="white"/>
          <w:rtl w:val="1"/>
        </w:rPr>
        <w:t xml:space="preserve">הארמית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אפשרה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שימוש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חופשי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במטפורה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במיתוס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ובנרטיב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דרמטי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שהעברית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החזירה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לשיח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פחות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גאוני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ומקובל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יותר</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3C">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C</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מודל</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התפקיד</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הכפול</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והפער</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הלשוני</w:t>
      </w:r>
    </w:p>
    <w:p w:rsidR="00000000" w:rsidDel="00000000" w:rsidP="00000000" w:rsidRDefault="00000000" w:rsidRPr="00000000" w14:paraId="0000003D">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הפער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אינו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מוביל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בהכרח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לדחיית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ייחוסו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להבנה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מורכבת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תפקידו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שימש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כשומר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והמתווך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הידע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המיסטי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נועד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לשמש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כהתגלות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הדרמטית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ואילו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הכתבים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שקל</w:t>
      </w:r>
      <w:r w:rsidDel="00000000" w:rsidR="00000000" w:rsidRPr="00000000">
        <w:rPr>
          <w:rFonts w:ascii="Times New Roman" w:cs="Times New Roman" w:eastAsia="Times New Roman" w:hAnsi="Times New Roman"/>
          <w:i w:val="1"/>
          <w:iCs w:val="1"/>
          <w:color w:val="1b1b1c"/>
          <w:sz w:val="24"/>
          <w:szCs w:val="24"/>
          <w:highlight w:val="white"/>
          <w:rtl w:val="1"/>
        </w:rPr>
        <w:t xml:space="preserve"> </w:t>
      </w:r>
      <w:r w:rsidDel="00000000" w:rsidR="00000000" w:rsidRPr="00000000">
        <w:rPr>
          <w:rFonts w:ascii="Times New Roman" w:cs="Times New Roman" w:eastAsia="Times New Roman" w:hAnsi="Times New Roman"/>
          <w:i w:val="1"/>
          <w:iCs w:val="1"/>
          <w:color w:val="1b1b1c"/>
          <w:sz w:val="24"/>
          <w:szCs w:val="24"/>
          <w:highlight w:val="white"/>
          <w:rtl w:val="1"/>
        </w:rPr>
        <w:t xml:space="preserve">הקודש</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נועדו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להבהיר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המערכת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הטכנית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עבור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חוג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מצומצם</w:t>
      </w:r>
      <w:r w:rsidDel="00000000" w:rsidR="00000000" w:rsidRPr="00000000">
        <w:rPr>
          <w:rFonts w:ascii="Times New Roman" w:cs="Times New Roman" w:eastAsia="Times New Roman" w:hAnsi="Times New Roman"/>
          <w:color w:val="1b1b1c"/>
          <w:sz w:val="24"/>
          <w:szCs w:val="24"/>
          <w:highlight w:val="white"/>
          <w:rtl w:val="1"/>
        </w:rPr>
        <w:t xml:space="preserve">.[7] </w:t>
      </w:r>
      <w:r w:rsidDel="00000000" w:rsidR="00000000" w:rsidRPr="00000000">
        <w:rPr>
          <w:rFonts w:ascii="Times New Roman" w:cs="Times New Roman" w:eastAsia="Times New Roman" w:hAnsi="Times New Roman"/>
          <w:color w:val="1b1b1c"/>
          <w:sz w:val="24"/>
          <w:szCs w:val="24"/>
          <w:highlight w:val="white"/>
          <w:rtl w:val="1"/>
        </w:rPr>
        <w:t xml:space="preserve">העובדה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השתמש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לעיתים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בביטויים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זוהריים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באופן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מדויק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בכתביו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העבריים</w:t>
      </w:r>
      <w:r w:rsidDel="00000000" w:rsidR="00000000" w:rsidRPr="00000000">
        <w:rPr>
          <w:rFonts w:ascii="Times New Roman" w:cs="Times New Roman" w:eastAsia="Times New Roman" w:hAnsi="Times New Roman"/>
          <w:color w:val="1b1b1c"/>
          <w:sz w:val="24"/>
          <w:szCs w:val="24"/>
          <w:highlight w:val="white"/>
          <w:rtl w:val="1"/>
        </w:rPr>
        <w:t xml:space="preserve"> [5] </w:t>
      </w:r>
      <w:r w:rsidDel="00000000" w:rsidR="00000000" w:rsidRPr="00000000">
        <w:rPr>
          <w:rFonts w:ascii="Times New Roman" w:cs="Times New Roman" w:eastAsia="Times New Roman" w:hAnsi="Times New Roman"/>
          <w:color w:val="1b1b1c"/>
          <w:sz w:val="24"/>
          <w:szCs w:val="24"/>
          <w:highlight w:val="white"/>
          <w:rtl w:val="1"/>
        </w:rPr>
        <w:t xml:space="preserve">מחזקת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המודל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לפיו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הארמי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המקור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המכונן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וכתביו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האישיים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נגזרות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משניות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אשר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הצליחו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לשחזר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העוצמה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הספרותית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המקור</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3E">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VI</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סיכום</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ומסקנות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מקומו</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של</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משה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די</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ליאון</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בתולדות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המיסטיקה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היהודית</w:t>
      </w:r>
    </w:p>
    <w:p w:rsidR="00000000" w:rsidDel="00000000" w:rsidP="00000000" w:rsidRDefault="00000000" w:rsidRPr="00000000" w14:paraId="0000003F">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A</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רמד</w:t>
      </w:r>
      <w:r w:rsidDel="00000000" w:rsidR="00000000" w:rsidRPr="00000000">
        <w:rPr>
          <w:rFonts w:ascii="Times New Roman" w:cs="Times New Roman" w:eastAsia="Times New Roman" w:hAnsi="Times New Roman"/>
          <w:b w:val="1"/>
          <w:bCs w:val="1"/>
          <w:color w:val="1b1b1c"/>
          <w:sz w:val="21"/>
          <w:szCs w:val="21"/>
          <w:highlight w:val="white"/>
          <w:rtl w:val="1"/>
        </w:rPr>
        <w:t xml:space="preserve">"</w:t>
      </w:r>
      <w:r w:rsidDel="00000000" w:rsidR="00000000" w:rsidRPr="00000000">
        <w:rPr>
          <w:rFonts w:ascii="Times New Roman" w:cs="Times New Roman" w:eastAsia="Times New Roman" w:hAnsi="Times New Roman"/>
          <w:b w:val="1"/>
          <w:bCs w:val="1"/>
          <w:color w:val="1b1b1c"/>
          <w:sz w:val="21"/>
          <w:szCs w:val="21"/>
          <w:highlight w:val="white"/>
          <w:rtl w:val="1"/>
        </w:rPr>
        <w:t xml:space="preserve">ל</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כיוצר</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פרדיגמת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הקבלה</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המודרנית</w:t>
      </w:r>
    </w:p>
    <w:p w:rsidR="00000000" w:rsidDel="00000000" w:rsidP="00000000" w:rsidRDefault="00000000" w:rsidRPr="00000000" w14:paraId="00000040">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יוצר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הפרדיגמה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הקבלה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המאוחרת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דאג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ליצירת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הקורפוס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התיאוסופי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הגדול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להפצתו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השיטתית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ובכך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הבטיח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קבלת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כקאנון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מרכזי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ביהדות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ייצג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מעבר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מהפילוסופיה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הביניים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לשיטה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מיסטית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חדשה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הצליח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למצב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הקבלה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כחזית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התיאולוגית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היהדות</w:t>
      </w:r>
      <w:r w:rsidDel="00000000" w:rsidR="00000000" w:rsidRPr="00000000">
        <w:rPr>
          <w:rFonts w:ascii="Times New Roman" w:cs="Times New Roman" w:eastAsia="Times New Roman" w:hAnsi="Times New Roman"/>
          <w:color w:val="1b1b1c"/>
          <w:sz w:val="24"/>
          <w:szCs w:val="24"/>
          <w:highlight w:val="white"/>
          <w:rtl w:val="1"/>
        </w:rPr>
        <w:t xml:space="preserve">.[1, 2]</w:t>
      </w:r>
    </w:p>
    <w:p w:rsidR="00000000" w:rsidDel="00000000" w:rsidP="00000000" w:rsidRDefault="00000000" w:rsidRPr="00000000" w14:paraId="00000041">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ההצלחה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ההיסטורית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כתביו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האישיים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[5] </w:t>
      </w:r>
      <w:r w:rsidDel="00000000" w:rsidR="00000000" w:rsidRPr="00000000">
        <w:rPr>
          <w:rFonts w:ascii="Times New Roman" w:cs="Times New Roman" w:eastAsia="Times New Roman" w:hAnsi="Times New Roman"/>
          <w:color w:val="1b1b1c"/>
          <w:sz w:val="24"/>
          <w:szCs w:val="24"/>
          <w:highlight w:val="white"/>
          <w:rtl w:val="1"/>
        </w:rPr>
        <w:t xml:space="preserve">מוכיחה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העוצמה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המיתית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גוניות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והמקוריות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הרעיונית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הטקסט</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הארמי</w:t>
      </w:r>
      <w:r w:rsidDel="00000000" w:rsidR="00000000" w:rsidRPr="00000000">
        <w:rPr>
          <w:rFonts w:ascii="Times New Roman" w:cs="Times New Roman" w:eastAsia="Times New Roman" w:hAnsi="Times New Roman"/>
          <w:color w:val="1b1b1c"/>
          <w:sz w:val="24"/>
          <w:szCs w:val="24"/>
          <w:highlight w:val="white"/>
          <w:rtl w:val="1"/>
        </w:rPr>
        <w:t xml:space="preserve"> [5] </w:t>
      </w:r>
      <w:r w:rsidDel="00000000" w:rsidR="00000000" w:rsidRPr="00000000">
        <w:rPr>
          <w:rFonts w:ascii="Times New Roman" w:cs="Times New Roman" w:eastAsia="Times New Roman" w:hAnsi="Times New Roman"/>
          <w:color w:val="1b1b1c"/>
          <w:sz w:val="24"/>
          <w:szCs w:val="24"/>
          <w:highlight w:val="white"/>
          <w:rtl w:val="1"/>
        </w:rPr>
        <w:t xml:space="preserve">הן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שהבטיחו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קאנוניזציה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סיפק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המנגנון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ההכרחי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הפסאודו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אפיגרפיה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שתוכן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גאוני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יתקבל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כהתגלות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קדמונית</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42">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B</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סיכום</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המחלוקת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מודל</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האותנטיות</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המורכבת</w:t>
      </w:r>
    </w:p>
    <w:p w:rsidR="00000000" w:rsidDel="00000000" w:rsidP="00000000" w:rsidRDefault="00000000" w:rsidRPr="00000000" w14:paraId="00000043">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ההשקפה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המחקרית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המאוזנת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רואה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המגבש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המפיץ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והכותב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העיקרי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באמצעות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שימוש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בארמית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קדומה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ובמסגרת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סיפורית</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היסטורית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מיוחסת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לרשב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.[5, 6] </w:t>
      </w:r>
      <w:r w:rsidDel="00000000" w:rsidR="00000000" w:rsidRPr="00000000">
        <w:rPr>
          <w:rFonts w:ascii="Times New Roman" w:cs="Times New Roman" w:eastAsia="Times New Roman" w:hAnsi="Times New Roman"/>
          <w:color w:val="1b1b1c"/>
          <w:sz w:val="24"/>
          <w:szCs w:val="24"/>
          <w:highlight w:val="white"/>
          <w:rtl w:val="1"/>
        </w:rPr>
        <w:t xml:space="preserve">הייחוס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הפסאודו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אפיגרפי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הטעיה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פשוטה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חיוני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ליצירת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סמכות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נוכח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האתגרים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האינטלקטואליים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זמנו</w:t>
      </w:r>
      <w:r w:rsidDel="00000000" w:rsidR="00000000" w:rsidRPr="00000000">
        <w:rPr>
          <w:rFonts w:ascii="Times New Roman" w:cs="Times New Roman" w:eastAsia="Times New Roman" w:hAnsi="Times New Roman"/>
          <w:color w:val="1b1b1c"/>
          <w:sz w:val="24"/>
          <w:szCs w:val="24"/>
          <w:highlight w:val="white"/>
          <w:rtl w:val="1"/>
        </w:rPr>
        <w:t xml:space="preserve">.[3]</w:t>
      </w:r>
    </w:p>
    <w:p w:rsidR="00000000" w:rsidDel="00000000" w:rsidP="00000000" w:rsidRDefault="00000000" w:rsidRPr="00000000" w14:paraId="00000044">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ההכרה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בפער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הסגנוני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ובעוצמת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כתביו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העבריים</w:t>
      </w:r>
      <w:r w:rsidDel="00000000" w:rsidR="00000000" w:rsidRPr="00000000">
        <w:rPr>
          <w:rFonts w:ascii="Times New Roman" w:cs="Times New Roman" w:eastAsia="Times New Roman" w:hAnsi="Times New Roman"/>
          <w:color w:val="1b1b1c"/>
          <w:sz w:val="24"/>
          <w:szCs w:val="24"/>
          <w:highlight w:val="white"/>
          <w:rtl w:val="1"/>
        </w:rPr>
        <w:t xml:space="preserve"> [5] </w:t>
      </w:r>
      <w:r w:rsidDel="00000000" w:rsidR="00000000" w:rsidRPr="00000000">
        <w:rPr>
          <w:rFonts w:ascii="Times New Roman" w:cs="Times New Roman" w:eastAsia="Times New Roman" w:hAnsi="Times New Roman"/>
          <w:color w:val="1b1b1c"/>
          <w:sz w:val="24"/>
          <w:szCs w:val="24"/>
          <w:highlight w:val="white"/>
          <w:rtl w:val="1"/>
        </w:rPr>
        <w:t xml:space="preserve">מחייבת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לראות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בחיבור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תהליך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יצירה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ייחודי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שבו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כעורך</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גאון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הוא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הצליח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לאגד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רעיונות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קיימים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שפותחו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ולהטמיע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אותם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במסגרת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דרמטית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ולשונית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שונה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שהבטיחה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הפיכת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החיבור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ספר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היסוד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הקבלה</w:t>
      </w:r>
      <w:r w:rsidDel="00000000" w:rsidR="00000000" w:rsidRPr="00000000">
        <w:rPr>
          <w:rFonts w:ascii="Times New Roman" w:cs="Times New Roman" w:eastAsia="Times New Roman" w:hAnsi="Times New Roman"/>
          <w:color w:val="1b1b1c"/>
          <w:sz w:val="24"/>
          <w:szCs w:val="24"/>
          <w:highlight w:val="white"/>
          <w:rtl w:val="1"/>
        </w:rPr>
        <w:t xml:space="preserve">".[5]</w:t>
      </w:r>
    </w:p>
    <w:p w:rsidR="00000000" w:rsidDel="00000000" w:rsidP="00000000" w:rsidRDefault="00000000" w:rsidRPr="00000000" w14:paraId="00000045">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C</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מורשתו</w:t>
      </w:r>
      <w:r w:rsidDel="00000000" w:rsidR="00000000" w:rsidRPr="00000000">
        <w:rPr>
          <w:rFonts w:ascii="Times New Roman" w:cs="Times New Roman" w:eastAsia="Times New Roman" w:hAnsi="Times New Roman"/>
          <w:b w:val="1"/>
          <w:bCs w:val="1"/>
          <w:color w:val="1b1b1c"/>
          <w:sz w:val="21"/>
          <w:szCs w:val="21"/>
          <w:highlight w:val="white"/>
          <w:rtl w:val="1"/>
        </w:rPr>
        <w:t xml:space="preserve"> </w:t>
      </w:r>
      <w:r w:rsidDel="00000000" w:rsidR="00000000" w:rsidRPr="00000000">
        <w:rPr>
          <w:rFonts w:ascii="Times New Roman" w:cs="Times New Roman" w:eastAsia="Times New Roman" w:hAnsi="Times New Roman"/>
          <w:b w:val="1"/>
          <w:bCs w:val="1"/>
          <w:color w:val="1b1b1c"/>
          <w:sz w:val="21"/>
          <w:szCs w:val="21"/>
          <w:highlight w:val="white"/>
          <w:rtl w:val="1"/>
        </w:rPr>
        <w:t xml:space="preserve">המתמשכת</w:t>
      </w:r>
    </w:p>
    <w:p w:rsidR="00000000" w:rsidDel="00000000" w:rsidP="00000000" w:rsidRDefault="00000000" w:rsidRPr="00000000" w14:paraId="00000046">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פעולתו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שהייתה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מחולקת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כתיבה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עצמית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שנדחתה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הקורפוס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כתיבה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מיוחסת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שהפכה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לקאנון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ממחישה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כוחה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הסמכות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המסורתית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ביהדות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שמשנתו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תתקבל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חייבת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מוצגת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כמעשה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גילוי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קדום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כהמצאה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חדשה</w:t>
      </w:r>
      <w:r w:rsidDel="00000000" w:rsidR="00000000" w:rsidRPr="00000000">
        <w:rPr>
          <w:rFonts w:ascii="Times New Roman" w:cs="Times New Roman" w:eastAsia="Times New Roman" w:hAnsi="Times New Roman"/>
          <w:color w:val="1b1b1c"/>
          <w:sz w:val="24"/>
          <w:szCs w:val="24"/>
          <w:highlight w:val="white"/>
          <w:rtl w:val="1"/>
        </w:rPr>
        <w:t xml:space="preserve">.[3] </w:t>
      </w:r>
      <w:r w:rsidDel="00000000" w:rsidR="00000000" w:rsidRPr="00000000">
        <w:rPr>
          <w:rFonts w:ascii="Times New Roman" w:cs="Times New Roman" w:eastAsia="Times New Roman" w:hAnsi="Times New Roman"/>
          <w:color w:val="1b1b1c"/>
          <w:sz w:val="24"/>
          <w:szCs w:val="24"/>
          <w:highlight w:val="white"/>
          <w:rtl w:val="1"/>
        </w:rPr>
        <w:t xml:space="preserve">תפקידו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כמחולל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i w:val="1"/>
          <w:iCs w:val="1"/>
          <w:color w:val="1b1b1c"/>
          <w:sz w:val="24"/>
          <w:szCs w:val="24"/>
          <w:highlight w:val="white"/>
          <w:rtl w:val="1"/>
        </w:rPr>
        <w:t xml:space="preserve">זוהר</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מבטיח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שרמד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יישאר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אחת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הדמויות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המרתקות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והמשפיעות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ביותר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בהיסטוריה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שעיצב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פניה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המיסטיקה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לדורות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הבאים</w:t>
      </w:r>
      <w:r w:rsidDel="00000000" w:rsidR="00000000" w:rsidRPr="00000000">
        <w:rPr>
          <w:rFonts w:ascii="Times New Roman" w:cs="Times New Roman" w:eastAsia="Times New Roman" w:hAnsi="Times New Roman"/>
          <w:color w:val="1b1b1c"/>
          <w:sz w:val="24"/>
          <w:szCs w:val="24"/>
          <w:highlight w:val="white"/>
          <w:rtl w:val="1"/>
        </w:rPr>
        <w:t xml:space="preserve">.</w:t>
      </w:r>
    </w:p>
    <w:p w:rsidR="00000000" w:rsidDel="00000000" w:rsidP="00000000" w:rsidRDefault="00000000" w:rsidRPr="00000000" w14:paraId="0000004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48">
      <w:pPr>
        <w:numPr>
          <w:ilvl w:val="0"/>
          <w:numId w:val="5"/>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לאון</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לקסיקון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לתרבות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ישראל</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תרבות</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il</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6">
        <w:r w:rsidDel="00000000" w:rsidR="00000000" w:rsidRPr="00000000">
          <w:rPr>
            <w:rFonts w:ascii="Times New Roman" w:cs="Times New Roman" w:eastAsia="Times New Roman" w:hAnsi="Times New Roman"/>
            <w:color w:val="4259ff"/>
            <w:sz w:val="24"/>
            <w:szCs w:val="24"/>
            <w:highlight w:val="white"/>
            <w:u w:val="single"/>
            <w:rtl w:val="0"/>
          </w:rPr>
          <w:t xml:space="preserve">https://tarbutil.cet.ac.il/lexicon/%D7%9E%D7%A9%D7%94-%D7%93%D7%99-%D7%9C%D7%90%D7%95%D7%9F/</w:t>
        </w:r>
      </w:hyperlink>
      <w:r w:rsidDel="00000000" w:rsidR="00000000" w:rsidRPr="00000000">
        <w:rPr>
          <w:rtl w:val="0"/>
        </w:rPr>
      </w:r>
    </w:p>
    <w:p w:rsidR="00000000" w:rsidDel="00000000" w:rsidP="00000000" w:rsidRDefault="00000000" w:rsidRPr="00000000" w14:paraId="00000049">
      <w:pPr>
        <w:numPr>
          <w:ilvl w:val="0"/>
          <w:numId w:val="5"/>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שקל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הקודש</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ליאון</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אוצר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הספרים</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7">
        <w:r w:rsidDel="00000000" w:rsidR="00000000" w:rsidRPr="00000000">
          <w:rPr>
            <w:rFonts w:ascii="Times New Roman" w:cs="Times New Roman" w:eastAsia="Times New Roman" w:hAnsi="Times New Roman"/>
            <w:color w:val="4259ff"/>
            <w:sz w:val="24"/>
            <w:szCs w:val="24"/>
            <w:highlight w:val="white"/>
            <w:u w:val="single"/>
            <w:rtl w:val="0"/>
          </w:rPr>
          <w:t xml:space="preserve">https://www.sefer.org.il/items/3733905-%D7%A9%D7%A7%D7%9C-%D7%94%D7%A7%D7%95%D7%93%D7%A9-%D7%A8-%D7%9E%D7%A9%D7%94-%D7%93%D7%99-%D7%9C%D7%99%D7%90%D7%95%D7%9F</w:t>
        </w:r>
      </w:hyperlink>
      <w:r w:rsidDel="00000000" w:rsidR="00000000" w:rsidRPr="00000000">
        <w:rPr>
          <w:rtl w:val="0"/>
        </w:rPr>
      </w:r>
    </w:p>
    <w:p w:rsidR="00000000" w:rsidDel="00000000" w:rsidP="00000000" w:rsidRDefault="00000000" w:rsidRPr="00000000" w14:paraId="0000004A">
      <w:pPr>
        <w:numPr>
          <w:ilvl w:val="0"/>
          <w:numId w:val="5"/>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August 4: Zohar, Hot Off the Press - Jewish Currents, </w:t>
      </w:r>
      <w:hyperlink r:id="rId8">
        <w:r w:rsidDel="00000000" w:rsidR="00000000" w:rsidRPr="00000000">
          <w:rPr>
            <w:rFonts w:ascii="Times New Roman" w:cs="Times New Roman" w:eastAsia="Times New Roman" w:hAnsi="Times New Roman"/>
            <w:color w:val="4259ff"/>
            <w:sz w:val="24"/>
            <w:szCs w:val="24"/>
            <w:highlight w:val="white"/>
            <w:u w:val="single"/>
            <w:rtl w:val="0"/>
          </w:rPr>
          <w:t xml:space="preserve">https://jewishcurrents.org/august-4-zohar-hot-off-the-press</w:t>
        </w:r>
      </w:hyperlink>
      <w:r w:rsidDel="00000000" w:rsidR="00000000" w:rsidRPr="00000000">
        <w:rPr>
          <w:rtl w:val="0"/>
        </w:rPr>
      </w:r>
    </w:p>
    <w:p w:rsidR="00000000" w:rsidDel="00000000" w:rsidP="00000000" w:rsidRDefault="00000000" w:rsidRPr="00000000" w14:paraId="0000004B">
      <w:pPr>
        <w:numPr>
          <w:ilvl w:val="0"/>
          <w:numId w:val="5"/>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הזוהר</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מנחם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כשר</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9">
        <w:r w:rsidDel="00000000" w:rsidR="00000000" w:rsidRPr="00000000">
          <w:rPr>
            <w:rFonts w:ascii="Times New Roman" w:cs="Times New Roman" w:eastAsia="Times New Roman" w:hAnsi="Times New Roman"/>
            <w:color w:val="4259ff"/>
            <w:sz w:val="24"/>
            <w:szCs w:val="24"/>
            <w:highlight w:val="white"/>
            <w:u w:val="single"/>
            <w:rtl w:val="0"/>
          </w:rPr>
          <w:t xml:space="preserve">https://www.daat.ac.il/daat/kitveyet/sinay/hazohar-2.htm</w:t>
        </w:r>
      </w:hyperlink>
      <w:r w:rsidDel="00000000" w:rsidR="00000000" w:rsidRPr="00000000">
        <w:rPr>
          <w:rtl w:val="0"/>
        </w:rPr>
      </w:r>
    </w:p>
    <w:p w:rsidR="00000000" w:rsidDel="00000000" w:rsidP="00000000" w:rsidRDefault="00000000" w:rsidRPr="00000000" w14:paraId="0000004C">
      <w:pPr>
        <w:numPr>
          <w:ilvl w:val="0"/>
          <w:numId w:val="5"/>
        </w:numPr>
        <w:bidi w:val="1"/>
        <w:spacing w:after="0" w:afterAutospacing="0" w:lineRule="auto"/>
        <w:ind w:left="720" w:hanging="360"/>
        <w:rPr>
          <w:sz w:val="24"/>
          <w:szCs w:val="24"/>
        </w:rPr>
      </w:pP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כיצד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נתחבר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הזוהר</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יהודה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ליבס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פרופסור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אמריטוס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בקתדרת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גרשם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שלום</w:t>
      </w:r>
      <w:r w:rsidDel="00000000" w:rsidR="00000000" w:rsidRPr="00000000">
        <w:rPr>
          <w:rFonts w:ascii="Times New Roman" w:cs="Times New Roman" w:eastAsia="Times New Roman" w:hAnsi="Times New Roman"/>
          <w:color w:val="1b1b1c"/>
          <w:sz w:val="24"/>
          <w:szCs w:val="24"/>
          <w:highlight w:val="white"/>
          <w:rtl w:val="1"/>
        </w:rPr>
        <w:t xml:space="preserve"> ..., </w:t>
      </w:r>
      <w:hyperlink r:id="rId10">
        <w:r w:rsidDel="00000000" w:rsidR="00000000" w:rsidRPr="00000000">
          <w:rPr>
            <w:rFonts w:ascii="Times New Roman" w:cs="Times New Roman" w:eastAsia="Times New Roman" w:hAnsi="Times New Roman"/>
            <w:color w:val="4259ff"/>
            <w:sz w:val="24"/>
            <w:szCs w:val="24"/>
            <w:highlight w:val="white"/>
            <w:u w:val="single"/>
            <w:rtl w:val="0"/>
          </w:rPr>
          <w:t xml:space="preserve">https://liebes.huji.ac.il/files/nthbr.pdf</w:t>
        </w:r>
      </w:hyperlink>
      <w:r w:rsidDel="00000000" w:rsidR="00000000" w:rsidRPr="00000000">
        <w:rPr>
          <w:rtl w:val="0"/>
        </w:rPr>
      </w:r>
    </w:p>
    <w:p w:rsidR="00000000" w:rsidDel="00000000" w:rsidP="00000000" w:rsidRDefault="00000000" w:rsidRPr="00000000" w14:paraId="0000004D">
      <w:pPr>
        <w:numPr>
          <w:ilvl w:val="0"/>
          <w:numId w:val="5"/>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ISAAC BEN SAMUEL OF ACRE - JewishEncyclopedia.com, </w:t>
      </w:r>
      <w:hyperlink r:id="rId11">
        <w:r w:rsidDel="00000000" w:rsidR="00000000" w:rsidRPr="00000000">
          <w:rPr>
            <w:rFonts w:ascii="Times New Roman" w:cs="Times New Roman" w:eastAsia="Times New Roman" w:hAnsi="Times New Roman"/>
            <w:color w:val="4259ff"/>
            <w:sz w:val="24"/>
            <w:szCs w:val="24"/>
            <w:highlight w:val="white"/>
            <w:u w:val="single"/>
            <w:rtl w:val="0"/>
          </w:rPr>
          <w:t xml:space="preserve">https://www.jewishencyclopedia.com/articles/8213-isaac-ben-samuel-of-acre</w:t>
        </w:r>
      </w:hyperlink>
      <w:r w:rsidDel="00000000" w:rsidR="00000000" w:rsidRPr="00000000">
        <w:rPr>
          <w:rtl w:val="0"/>
        </w:rPr>
      </w:r>
    </w:p>
    <w:p w:rsidR="00000000" w:rsidDel="00000000" w:rsidP="00000000" w:rsidRDefault="00000000" w:rsidRPr="00000000" w14:paraId="0000004E">
      <w:pPr>
        <w:numPr>
          <w:ilvl w:val="0"/>
          <w:numId w:val="5"/>
        </w:numPr>
        <w:bidi w:val="1"/>
        <w:spacing w:after="18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ספר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שקל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הקודש</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ויקיטקסט</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12">
        <w:r w:rsidDel="00000000" w:rsidR="00000000" w:rsidRPr="00000000">
          <w:rPr>
            <w:rFonts w:ascii="Times New Roman" w:cs="Times New Roman" w:eastAsia="Times New Roman" w:hAnsi="Times New Roman"/>
            <w:color w:val="4259ff"/>
            <w:sz w:val="24"/>
            <w:szCs w:val="24"/>
            <w:highlight w:val="white"/>
            <w:u w:val="single"/>
            <w:rtl w:val="0"/>
          </w:rPr>
          <w:t xml:space="preserve">https://he.wikisource.org/wiki/%D7%A1%D7%A4%D7%A8_%D7%A9%D7%A7%D7%9C_%D7%94%D7%A7%D7%95%D7%93%D7%A9</w:t>
        </w:r>
      </w:hyperlink>
      <w:r w:rsidDel="00000000" w:rsidR="00000000" w:rsidRPr="00000000">
        <w:rPr>
          <w:rtl w:val="0"/>
        </w:rPr>
      </w:r>
    </w:p>
    <w:p w:rsidR="00000000" w:rsidDel="00000000" w:rsidP="00000000" w:rsidRDefault="00000000" w:rsidRPr="00000000" w14:paraId="0000004F">
      <w:pPr>
        <w:bidi w:val="1"/>
        <w:rPr/>
      </w:pPr>
      <w:r w:rsidDel="00000000" w:rsidR="00000000" w:rsidRPr="00000000">
        <w:rPr>
          <w:rtl w:val="0"/>
        </w:rPr>
      </w:r>
    </w:p>
    <w:p w:rsidR="00000000" w:rsidDel="00000000" w:rsidP="00000000" w:rsidRDefault="00000000" w:rsidRPr="00000000" w14:paraId="00000050">
      <w:pPr>
        <w:bidi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jewishencyclopedia.com/articles/8213-isaac-ben-samuel-of-acre" TargetMode="External"/><Relationship Id="rId10" Type="http://schemas.openxmlformats.org/officeDocument/2006/relationships/hyperlink" Target="https://liebes.huji.ac.il/files/nthbr.pdf" TargetMode="External"/><Relationship Id="rId12" Type="http://schemas.openxmlformats.org/officeDocument/2006/relationships/hyperlink" Target="https://he.wikisource.org/wiki/%D7%A1%D7%A4%D7%A8_%D7%A9%D7%A7%D7%9C_%D7%94%D7%A7%D7%95%D7%93%D7%A9" TargetMode="External"/><Relationship Id="rId9" Type="http://schemas.openxmlformats.org/officeDocument/2006/relationships/hyperlink" Target="https://www.daat.ac.il/daat/kitveyet/sinay/hazohar-2.htm" TargetMode="External"/><Relationship Id="rId5" Type="http://schemas.openxmlformats.org/officeDocument/2006/relationships/styles" Target="styles.xml"/><Relationship Id="rId6" Type="http://schemas.openxmlformats.org/officeDocument/2006/relationships/hyperlink" Target="https://tarbutil.cet.ac.il/lexicon/%D7%9E%D7%A9%D7%94-%D7%93%D7%99-%D7%9C%D7%90%D7%95%D7%9F/" TargetMode="External"/><Relationship Id="rId7" Type="http://schemas.openxmlformats.org/officeDocument/2006/relationships/hyperlink" Target="https://www.sefer.org.il/items/3733905-%D7%A9%D7%A7%D7%9C-%D7%94%D7%A7%D7%95%D7%93%D7%A9-%D7%A8-%D7%9E%D7%A9%D7%94-%D7%93%D7%99-%D7%9C%D7%99%D7%90%D7%95%D7%9F" TargetMode="External"/><Relationship Id="rId8" Type="http://schemas.openxmlformats.org/officeDocument/2006/relationships/hyperlink" Target="https://jewishcurrents.org/august-4-zohar-hot-off-the-pr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