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THE HIGH COURT OF DELHI AT NEW DELHI</w:t>
      </w:r>
    </w:p>
    <w:p>
      <w:pPr>
        <w:jc w:val="center"/>
      </w:pPr>
      <w:r>
        <w:rPr>
          <w:b/>
          <w:i w:val="0"/>
        </w:rPr>
        <w:t>O.M.P. (COMM) 187 OF 2021</w:t>
      </w:r>
    </w:p>
    <w:p>
      <w:pPr>
        <w:jc w:val="center"/>
      </w:pPr>
      <w:r>
        <w:t>(Under Section 34 of the Arbitration and Conciliation Act, 1996)</w:t>
      </w:r>
    </w:p>
    <w:p/>
    <w:p>
      <w:r>
        <w:rPr>
          <w:b/>
          <w:i w:val="0"/>
        </w:rPr>
        <w:t>M/s ABC CONSTRUCTIONS PVT. LTD.</w:t>
        <w:br/>
        <w:t>Registered Office: Plot No. 5, Okhla Industrial Area, Phase-II, New Delhi – 110020</w:t>
        <w:br/>
        <w:t>... PETITIONER</w:t>
      </w:r>
    </w:p>
    <w:p>
      <w:r>
        <w:t>VERSUS</w:t>
      </w:r>
    </w:p>
    <w:p>
      <w:r>
        <w:rPr>
          <w:b/>
          <w:i w:val="0"/>
        </w:rPr>
        <w:t>M/s XYZ DEVELOPERS LTD.</w:t>
        <w:br/>
        <w:t>Registered Office: Tower A, DLF Cyber City, Gurugram, Haryana – 122002</w:t>
        <w:br/>
        <w:t>... RESPONDENT</w:t>
      </w:r>
    </w:p>
    <w:p/>
    <w:p>
      <w:pPr>
        <w:pStyle w:val="Heading2"/>
      </w:pPr>
      <w:r>
        <w:t>SUBJECT</w:t>
      </w:r>
    </w:p>
    <w:p>
      <w:r>
        <w:t>Petition under Section 34 of the Arbitration and Conciliation Act, 1996 for setting aside the Arbitral Award dated 30th June 2021, passed in arbitration proceedings arising out of a Construction Agreement dated 01st April 2018 between the parties.</w:t>
      </w:r>
    </w:p>
    <w:p>
      <w:pPr>
        <w:pStyle w:val="Heading2"/>
      </w:pPr>
      <w:r>
        <w:t>BACKGROUND AND FACTS</w:t>
      </w:r>
    </w:p>
    <w:p>
      <w:r>
        <w:t>1. The petitioner, M/s ABC Constructions Pvt. Ltd., entered into a Construction Agreement dated 01st April 2018 with the respondent M/s XYZ Developers Ltd. for the construction of a commercial complex at Sector 62, Noida, Uttar Pradesh, for a contract sum of Rs. 45,00,00,000/- (Rupees Forty-Five Crores only).</w:t>
      </w:r>
    </w:p>
    <w:p>
      <w:r>
        <w:t>2. The Agreement stipulated completion of the project within 24 months from the date of handing over of the site, i.e., by 31st March 2020, subject to force majeure and extension provisions.</w:t>
      </w:r>
    </w:p>
    <w:p>
      <w:r>
        <w:t>3. The petitioner claims that the respondent failed to hand over the site in a timely manner, caused repeated design changes, and failed to make payments as per the agreed payment schedule, resulting in delay and additional costs to the tune of Rs. 8,75,00,000/-.</w:t>
      </w:r>
    </w:p>
    <w:p>
      <w:r>
        <w:t>4. The respondent invoked the arbitration clause (Clause 26 of the Agreement) alleging that the petitioner had abandoned the project midway and was liable for liquidated damages of Rs. 5,00,00,000/- at the rate of 0.5% per week of the contract value for the delay of 22 weeks.</w:t>
      </w:r>
    </w:p>
    <w:p>
      <w:r>
        <w:t>5. The Sole Arbitrator, retired Justice M.K. Sharma (Retd. Judge, Delhi High Court), passed an award dated 30th June 2021, rejecting the petitioner's claims in entirety and awarding liquidated damages of Rs. 3,00,00,000/- in favour of the respondent.</w:t>
      </w:r>
    </w:p>
    <w:p>
      <w:pPr>
        <w:pStyle w:val="Heading2"/>
      </w:pPr>
      <w:r>
        <w:t>GROUNDS FOR CHALLENGE UNDER SECTION 34</w:t>
      </w:r>
    </w:p>
    <w:p>
      <w:r>
        <w:t>Ground 1 – Patent Illegality: The Arbitrator failed to consider the force majeure clause (Clause 18) which excused the petitioner from liability for delays caused by acts of the employer (respondent).</w:t>
      </w:r>
    </w:p>
    <w:p>
      <w:r>
        <w:t>Ground 2 – Violation of Natural Justice: Key documents submitted by the petitioner, specifically the site handover correspondence and design change notices, were not considered by the Arbitrator.</w:t>
      </w:r>
    </w:p>
    <w:p>
      <w:r>
        <w:t>Ground 3 – Conflict with Public Policy: The Arbitrator applied liquidated damages without examining whether the same were a genuine pre-estimate of loss as required by Section 74 of the Indian Contract Act, 1872.</w:t>
      </w:r>
    </w:p>
    <w:p>
      <w:r>
        <w:t>Ground 4 – Perversity: The finding that the petitioner abandoned the project is perverse and contrary to the evidence on record.</w:t>
      </w:r>
    </w:p>
    <w:p>
      <w:pPr>
        <w:pStyle w:val="Heading2"/>
      </w:pPr>
      <w:r>
        <w:t>RESPONDENT'S COUNTER CONTENTIONS</w:t>
      </w:r>
    </w:p>
    <w:p>
      <w:r>
        <w:t>1. The scope of challenge under Section 34 of the Act is narrow and limited to the grounds specified therein. Mere errors of law or fact do not qualify as grounds for setting aside an award.</w:t>
      </w:r>
    </w:p>
    <w:p>
      <w:r>
        <w:t>2. The learned Arbitrator has considered all documents and his findings on abandonment are based on evidence. The Court cannot re-appreciate evidence under Section 34.</w:t>
      </w:r>
    </w:p>
    <w:p>
      <w:r>
        <w:t>3. Reliance placed on Associate Builders v. Delhi Development Authority (2015) 3 SCC 49, wherein the Supreme Court held that the Court's jurisdiction under Section 34 is supervisory, not appellate.</w:t>
      </w:r>
    </w:p>
    <w:p>
      <w:r>
        <w:t>4. The liquidated damages clause was a mutual agreement and the respondent suffered real commercial losses due to the delay in project completion.</w:t>
      </w:r>
    </w:p>
    <w:p>
      <w:pPr>
        <w:pStyle w:val="Heading2"/>
      </w:pPr>
      <w:r>
        <w:t>APPLICABLE LAW</w:t>
      </w:r>
    </w:p>
    <w:p>
      <w:r>
        <w:t>Section 34, Arbitration and Conciliation Act, 1996 – Grounds for setting aside an arbitral award.</w:t>
      </w:r>
    </w:p>
    <w:p>
      <w:r>
        <w:t>Section 74, Indian Contract Act, 1872 – Compensation for breach of contract where penalty is stipulated.</w:t>
      </w:r>
    </w:p>
    <w:p>
      <w:r>
        <w:t>Ssangyong Engineering v. NHAI (2019) 15 SCC 131 – The award must not be so perverse or so irrational that no reasonable person could have arrived at it.</w:t>
      </w:r>
    </w:p>
    <w:p>
      <w:r>
        <w:t>ONGC Ltd. v. Saw Pipes Ltd. (2003) 5 SCC 705 – Patent illegality on the face of the award.</w:t>
      </w:r>
    </w:p>
    <w:p>
      <w:pPr>
        <w:pStyle w:val="Heading2"/>
      </w:pPr>
      <w:r>
        <w:t>COURT'S ANALYSIS AND DECISION</w:t>
      </w:r>
    </w:p>
    <w:p>
      <w:r>
        <w:t>After examining the arbitral record, the Award, and the submissions of the parties, this Court finds as follows:</w:t>
      </w:r>
    </w:p>
    <w:p>
      <w:r>
        <w:t>On Ground 1 (Force Majeure): The Arbitrator did address the force majeure clause at paragraphs 45-52 of the Award. The finding that the delays were not attributable to force majeure events is a plausible view based on the evidence. This Court cannot substitute its view under Section 34.</w:t>
      </w:r>
    </w:p>
    <w:p>
      <w:r>
        <w:t>On Ground 2 (Natural Justice): The Arbitrator has specifically mentioned the site handover correspondence at paragraph 38 of the Award and offered reasons for not relying upon the same. No violation of natural justice is made out.</w:t>
      </w:r>
    </w:p>
    <w:p>
      <w:r>
        <w:t>On Ground 3 (Liquidated Damages): This ground has merit. The Arbitrator failed to examine whether Rs. 5,00,00,000/- represented a genuine pre-estimate of loss. The mere invocation of a liquidated damages clause does not dispense with the requirement under Section 74 of the Contract Act to establish actual loss. The award of Rs. 3,00,00,000/- in liquidated damages is set aside.</w:t>
      </w:r>
    </w:p>
    <w:p>
      <w:r>
        <w:t>On Ground 4 (Perversity): The finding of abandonment is based on site inspection reports and correspondence. The same cannot be characterized as perverse.</w:t>
      </w:r>
    </w:p>
    <w:p>
      <w:r>
        <w:t>DECISION: The petition is partly allowed. The Arbitral Award dated 30th June 2021 is set aside to the limited extent of the award of liquidated damages of Rs. 3,00,00,000/-. The matter is remitted to the Arbitral Tribunal for fresh adjudication on the question of liquidated damages. The award rejecting the petitioner's claims is upheld.</w:t>
      </w:r>
    </w:p>
    <w:p>
      <w:r>
        <w:t>Pronounced on: 22nd November 2023.</w:t>
        <w:br/>
        <w:t>Sd/- HON'BLE JUSTICE PRADEEP NANDA, DELHI HIGH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