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9FDA"/>
          <w:sz w:val="16"/>
          <w:szCs w:val="16"/>
        </w:rPr>
        <w:t xml:space="preserve">WORLD BANK GROUP · POVERTY &amp; EQUITY · EAST ASIA &amp; PACIFIC</w:t>
      </w:r>
    </w:p>
    <w:p>
      <w:pPr>
        <w:spacing w:after="80"/>
      </w:pPr>
      <w:r>
        <w:rPr>
          <w:color w:val="555555"/>
          <w:sz w:val="16"/>
          <w:szCs w:val="16"/>
        </w:rPr>
        <w:t xml:space="preserve">Crisis note · June 2026</w:t>
      </w:r>
    </w:p>
    <w:p>
      <w:pPr>
        <w:pBdr>
          <w:bottom w:val="single" w:color="002244" w:sz="8" w:space="2"/>
        </w:pBdr>
        <w:spacing w:after="40"/>
      </w:pPr>
      <w:r>
        <w:rPr>
          <w:b/>
          <w:bCs/>
          <w:color w:val="002244"/>
          <w:sz w:val="30"/>
          <w:szCs w:val="30"/>
        </w:rPr>
        <w:t xml:space="preserve">Filipino households and the Middle East crisis: a cost-of-living shock</w:t>
      </w:r>
    </w:p>
    <w:p>
      <w:pPr>
        <w:spacing w:after="160"/>
      </w:pPr>
      <w:r>
        <w:rPr>
          <w:i/>
          <w:iCs/>
          <w:color w:val="555555"/>
          <w:sz w:val="18"/>
          <w:szCs w:val="18"/>
        </w:rPr>
        <w:t xml:space="preserve">Evidence from the L2PHL CATI panel, Rounds 6–7 (fielded April–May 2026)</w:t>
      </w:r>
    </w:p>
    <w:p>
      <w:pPr>
        <w:spacing w:after="120"/>
      </w:pPr>
      <w:r>
        <w:rPr>
          <w:b/>
          <w:bCs/>
          <w:sz w:val="20"/>
          <w:szCs w:val="20"/>
        </w:rPr>
        <w:t xml:space="preserve">Concern about the Middle East crisis is near-universal among Filipino households, and they experience it as an inflation shock. </w:t>
      </w:r>
      <w:r>
        <w:rPr>
          <w:sz w:val="20"/>
          <w:szCs w:val="20"/>
        </w:rPr>
        <w:t xml:space="preserve">In the two most recent panel rounds, </w:t>
      </w:r>
      <w:r>
        <w:rPr>
          <w:b/>
          <w:bCs/>
          <w:sz w:val="20"/>
          <w:szCs w:val="20"/>
        </w:rPr>
        <w:t xml:space="preserve">92 percent</w:t>
      </w:r>
      <w:r>
        <w:rPr>
          <w:sz w:val="20"/>
          <w:szCs w:val="20"/>
        </w:rPr>
        <w:t xml:space="preserve"> of responding households are concerned the crisis will affect them, and </w:t>
      </w:r>
      <w:r>
        <w:rPr>
          <w:b/>
          <w:bCs/>
          <w:sz w:val="20"/>
          <w:szCs w:val="20"/>
        </w:rPr>
        <w:t xml:space="preserve">89 percent</w:t>
      </w:r>
      <w:r>
        <w:rPr>
          <w:sz w:val="20"/>
          <w:szCs w:val="20"/>
        </w:rPr>
        <w:t xml:space="preserve"> perceive a moderate or severe impact on the Philippines. The channels they name are overwhelmingly prices — fuel, other goods, and food — rather than jobs or remittances. About </w:t>
      </w:r>
      <w:r>
        <w:rPr>
          <w:b/>
          <w:bCs/>
          <w:sz w:val="20"/>
          <w:szCs w:val="20"/>
        </w:rPr>
        <w:t xml:space="preserve">85 percent</w:t>
      </w:r>
      <w:r>
        <w:rPr>
          <w:sz w:val="20"/>
          <w:szCs w:val="20"/>
        </w:rPr>
        <w:t xml:space="preserve"> felt prices rising faster than usual, though their expectations for the month ahead eased between Round 6 and Round 7. Confidence in the public response is limited: only about one in four agree the government is doing enough, and households facing recent shocks lean mostly on family rather than formal support.</w:t>
      </w:r>
    </w:p>
    <w:p>
      <w:pPr>
        <w:pStyle w:val="Heading2"/>
      </w:pPr>
      <w:r>
        <w:t xml:space="preserve">Background</w:t>
      </w:r>
    </w:p>
    <w:p>
      <w:pPr>
        <w:spacing w:after="120"/>
      </w:pPr>
      <w:r>
        <w:rPr>
          <w:sz w:val="20"/>
          <w:szCs w:val="20"/>
        </w:rPr>
        <w:t xml:space="preserve">Heightened conflict and tension in the Middle East through 2025–26 raised global concern about energy prices, shipping routes, and the situation of migrant workers in the region. The Philippines is exposed on two main fronts: as a net importer of fuel and energy, where world price movements pass quickly into domestic prices, and as a major origin country for overseas Filipino workers (OFWs) in the Gulf, whose employment and remittances could be disrupted. To track how households read this risk, the Listening to the Philippines (L2PHL) panel added six rapid-response questions to its monthly phone survey beginning in Round 6 (April 2026) and repeated them in Round 7 (May 2026). L2PHL is a nationally representative panel that re-interviews households from the 2025 baseline; this note draws on the households that answered the new questions in those two rounds.</w:t>
      </w:r>
    </w:p>
    <w:p>
      <w:pPr>
        <w:pStyle w:val="Heading2"/>
      </w:pPr>
      <w: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left"/>
            </w:pPr>
            <w:r>
              <w:rPr>
                <w:b/>
                <w:bCs/>
                <w:color w:val="FFFFFF"/>
                <w:sz w:val="18"/>
                <w:szCs w:val="18"/>
              </w:rPr>
              <w:t xml:space="preserve">Indicator (share of responding households)</w:t>
            </w:r>
          </w:p>
        </w:tc>
        <w:tc>
          <w:tcPr>
            <w:tcW w:type="dxa" w:w="180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center"/>
            </w:pPr>
            <w:r>
              <w:rPr>
                <w:b/>
                <w:bCs/>
                <w:color w:val="FFFFFF"/>
                <w:sz w:val="18"/>
                <w:szCs w:val="18"/>
              </w:rPr>
              <w:t xml:space="preserve">Round 6</w:t>
            </w:r>
          </w:p>
        </w:tc>
        <w:tc>
          <w:tcPr>
            <w:tcW w:type="dxa" w:w="180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center"/>
            </w:pPr>
            <w:r>
              <w:rPr>
                <w:b/>
                <w:bCs/>
                <w:color w:val="FFFFFF"/>
                <w:sz w:val="18"/>
                <w:szCs w:val="18"/>
              </w:rPr>
              <w:t xml:space="preserve">Round 7</w:t>
            </w:r>
          </w:p>
        </w:tc>
        <w:tc>
          <w:tcPr>
            <w:tcW w:type="dxa" w:w="180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center"/>
            </w:pPr>
            <w:r>
              <w:rPr>
                <w:b/>
                <w:bCs/>
                <w:color w:val="FFFFFF"/>
                <w:sz w:val="18"/>
                <w:szCs w:val="18"/>
              </w:rPr>
              <w:t xml:space="preserve">Change (ppt)</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Concerned the crisis will affect their household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555555"/>
                <w:sz w:val="18"/>
                <w:szCs w:val="18"/>
              </w:rPr>
              <w:t xml:space="preserve">−0.2</w:t>
            </w:r>
          </w:p>
        </w:tc>
      </w:tr>
      <w:tr>
        <w:tc>
          <w:tcPr>
            <w:tcW w:type="dxa" w:w="39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   of which: very concerned</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55.0%</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49.5%</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CE1126"/>
                <w:sz w:val="18"/>
                <w:szCs w:val="18"/>
              </w:rPr>
              <w:t xml:space="preserve">−5.5</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See a moderate or severe impact on the Philippines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89.5%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88.7%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555555"/>
                <w:sz w:val="18"/>
                <w:szCs w:val="18"/>
              </w:rPr>
              <w:t xml:space="preserve">−0.8</w:t>
            </w:r>
          </w:p>
        </w:tc>
      </w:tr>
      <w:tr>
        <w:tc>
          <w:tcPr>
            <w:tcW w:type="dxa" w:w="39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   of which: severe impact</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69.6%</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64.5%</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CE1126"/>
                <w:sz w:val="18"/>
                <w:szCs w:val="18"/>
              </w:rPr>
              <w:t xml:space="preserve">−5.1</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Felt prices rise faster than usual (past 30 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87.0%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85.2%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555555"/>
                <w:sz w:val="18"/>
                <w:szCs w:val="18"/>
              </w:rPr>
              <w:t xml:space="preserve">−1.8</w:t>
            </w:r>
          </w:p>
        </w:tc>
      </w:tr>
      <w:tr>
        <w:tc>
          <w:tcPr>
            <w:tcW w:type="dxa" w:w="39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Expect prices to rise faster (next 30 days)</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79.4%</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67.9%</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CE1126"/>
                <w:sz w:val="18"/>
                <w:szCs w:val="18"/>
              </w:rPr>
              <w:t xml:space="preserve">−11.5</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Disagree the government is doing enough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48.9%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44.8%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CE1126"/>
                <w:sz w:val="18"/>
                <w:szCs w:val="18"/>
              </w:rPr>
              <w:t xml:space="preserve">−4.1</w:t>
            </w:r>
          </w:p>
        </w:tc>
      </w:tr>
      <w:tr>
        <w:tc>
          <w:tcPr>
            <w:tcW w:type="dxa" w:w="39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Agree the government is doing enough</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24.4%</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26.1%</w:t>
            </w:r>
          </w:p>
        </w:tc>
        <w:tc>
          <w:tcPr>
            <w:tcW w:type="dxa" w:w="18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555555"/>
                <w:sz w:val="18"/>
                <w:szCs w:val="18"/>
              </w:rPr>
              <w:t xml:space="preserve">+1.7</w:t>
            </w:r>
          </w:p>
        </w:tc>
      </w:tr>
    </w:tbl>
    <w:p>
      <w:pPr>
        <w:spacing w:after="120" w:before="120"/>
      </w:pPr>
      <w:r>
        <w:rPr>
          <w:b/>
          <w:bCs/>
          <w:sz w:val="20"/>
          <w:szCs w:val="20"/>
        </w:rPr>
        <w:t xml:space="preserve">Concern is both wide and deep. </w:t>
      </w:r>
      <w:r>
        <w:rPr>
          <w:sz w:val="20"/>
          <w:szCs w:val="20"/>
        </w:rPr>
        <w:t xml:space="preserve">Across the two rounds, more than nine in ten households are at least somewhat concerned, and around half describe themselves as very concerned. Perceived impact on the country is similarly high, with about two-thirds calling it severe. These shares barely moved between Round 6 and Round 7, indicating a settled, broad-based anxiety rather than a passing reaction.</w:t>
      </w:r>
    </w:p>
    <w:p>
      <w:pPr>
        <w:pStyle w:val="Heading2"/>
      </w:pPr>
      <w:r>
        <w:t xml:space="preserve">Concern is broad-based — across incomes and regions</w:t>
      </w:r>
    </w:p>
    <w:p>
      <w:pPr>
        <w:spacing w:after="120"/>
      </w:pPr>
      <w:r>
        <w:rPr>
          <w:b/>
          <w:bCs/>
          <w:sz w:val="20"/>
          <w:szCs w:val="20"/>
        </w:rPr>
        <w:t xml:space="preserve">The anxiety cuts across the income distribution. </w:t>
      </w:r>
      <w:r>
        <w:rPr>
          <w:sz w:val="20"/>
          <w:szCs w:val="20"/>
        </w:rPr>
        <w:t xml:space="preserve">Concern barely varies from the poorest to the richest fifth of households (94.0 percent in the bottom income quintile, 91.8 percent in the top), and the same flatness holds for perceived impact and expected inflation. A Middle East price shock is read as a near-universal cost-of-living concern rather than a problem confined to poorer households, and confidence in the government response is uniformly low across quintiles, between about 21 and 31 percent.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rPr>
          <w:tblHeader/>
        </w:trPr>
        <w:tc>
          <w:tcPr>
            <w:tcW w:type="dxa" w:w="264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left"/>
            </w:pPr>
            <w:r>
              <w:rPr>
                <w:b/>
                <w:bCs/>
                <w:color w:val="FFFFFF"/>
                <w:sz w:val="18"/>
                <w:szCs w:val="18"/>
              </w:rPr>
              <w:t xml:space="preserve">Income quintile</w:t>
            </w:r>
          </w:p>
        </w:tc>
        <w:tc>
          <w:tcPr>
            <w:tcW w:type="dxa" w:w="168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center"/>
            </w:pPr>
            <w:r>
              <w:rPr>
                <w:b/>
                <w:bCs/>
                <w:color w:val="FFFFFF"/>
                <w:sz w:val="18"/>
                <w:szCs w:val="18"/>
              </w:rPr>
              <w:t xml:space="preserve">Concerned</w:t>
            </w:r>
          </w:p>
        </w:tc>
        <w:tc>
          <w:tcPr>
            <w:tcW w:type="dxa" w:w="168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center"/>
            </w:pPr>
            <w:r>
              <w:rPr>
                <w:b/>
                <w:bCs/>
                <w:color w:val="FFFFFF"/>
                <w:sz w:val="18"/>
                <w:szCs w:val="18"/>
              </w:rPr>
              <w:t xml:space="preserve">Severe/mod. impact</w:t>
            </w:r>
          </w:p>
        </w:tc>
        <w:tc>
          <w:tcPr>
            <w:tcW w:type="dxa" w:w="168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center"/>
            </w:pPr>
            <w:r>
              <w:rPr>
                <w:b/>
                <w:bCs/>
                <w:color w:val="FFFFFF"/>
                <w:sz w:val="18"/>
                <w:szCs w:val="18"/>
              </w:rPr>
              <w:t xml:space="preserve">Expect faster prices</w:t>
            </w:r>
          </w:p>
        </w:tc>
        <w:tc>
          <w:tcPr>
            <w:tcW w:type="dxa" w:w="1680"/>
            <w:tcBorders>
              <w:top w:val="single" w:color="CCCCCC" w:sz="1"/>
              <w:left w:val="single" w:color="CCCCCC" w:sz="1"/>
              <w:bottom w:val="single" w:color="CCCCCC" w:sz="1"/>
              <w:right w:val="single" w:color="CCCCCC" w:sz="1"/>
            </w:tcBorders>
            <w:shd w:fill="002244" w:val="clear"/>
            <w:tcMar>
              <w:top w:type="dxa" w:w="60"/>
              <w:left w:type="dxa" w:w="120"/>
              <w:bottom w:type="dxa" w:w="60"/>
              <w:right w:type="dxa" w:w="120"/>
            </w:tcMar>
          </w:tcPr>
          <w:p>
            <w:pPr>
              <w:jc w:val="center"/>
            </w:pPr>
            <w:r>
              <w:rPr>
                <w:b/>
                <w:bCs/>
                <w:color w:val="FFFFFF"/>
                <w:sz w:val="18"/>
                <w:szCs w:val="18"/>
              </w:rPr>
              <w:t xml:space="preserve">Govt doing enough</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Q1 (poorest)</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94.0%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91.5%</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69.6%</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23.9%</w:t>
            </w:r>
          </w:p>
        </w:tc>
      </w:tr>
      <w:tr>
        <w:tc>
          <w:tcPr>
            <w:tcW w:type="dxa" w:w="26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Q2</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92.6%</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92.4%</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74.3%</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26.3%</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Q3</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92.2%</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89.9%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70.3%</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30.6%</w:t>
            </w:r>
          </w:p>
        </w:tc>
      </w:tr>
      <w:tr>
        <w:tc>
          <w:tcPr>
            <w:tcW w:type="dxa" w:w="26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Q4</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94.1%</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90.8%</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78.5%</w:t>
            </w:r>
          </w:p>
        </w:tc>
        <w:tc>
          <w:tcPr>
            <w:tcW w:type="dxa" w:w="168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21.1%</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Q5 (richest)</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91.8%</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89.4%</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75.1%</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24.4%</w:t>
            </w:r>
          </w:p>
        </w:tc>
      </w:tr>
    </w:tbl>
    <w:p>
      <w:pPr>
        <w:spacing w:after="120" w:before="120"/>
      </w:pPr>
      <w:r>
        <w:rPr>
          <w:b/>
          <w:bCs/>
          <w:sz w:val="20"/>
          <w:szCs w:val="20"/>
        </w:rPr>
        <w:t xml:space="preserve">Geographically, concern is again broad. </w:t>
      </w:r>
      <w:r>
        <w:rPr>
          <w:sz w:val="20"/>
          <w:szCs w:val="20"/>
        </w:rPr>
        <w:t xml:space="preserve">It is marginally lower in the National Capital Region (90.6 percent) than in the rest of Luzon, the Visayas, and Mindanao (around 93–94 percent). Confidence that the government is doing enough is lowest in the Visayas (23.2 percent) and Mindanao (20.7 percent).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left"/>
            </w:pPr>
            <w:r>
              <w:rPr>
                <w:b/>
                <w:bCs/>
                <w:color w:val="FFFFFF"/>
                <w:sz w:val="18"/>
                <w:szCs w:val="18"/>
              </w:rPr>
              <w:t xml:space="preserve">Region</w:t>
            </w:r>
          </w:p>
        </w:tc>
        <w:tc>
          <w:tcPr>
            <w:tcW w:type="dxa" w:w="224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center"/>
            </w:pPr>
            <w:r>
              <w:rPr>
                <w:b/>
                <w:bCs/>
                <w:color w:val="FFFFFF"/>
                <w:sz w:val="18"/>
                <w:szCs w:val="18"/>
              </w:rPr>
              <w:t xml:space="preserve">Concerned</w:t>
            </w:r>
          </w:p>
        </w:tc>
        <w:tc>
          <w:tcPr>
            <w:tcW w:type="dxa" w:w="224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center"/>
            </w:pPr>
            <w:r>
              <w:rPr>
                <w:b/>
                <w:bCs/>
                <w:color w:val="FFFFFF"/>
                <w:sz w:val="18"/>
                <w:szCs w:val="18"/>
              </w:rPr>
              <w:t xml:space="preserve">Severe/mod. impact</w:t>
            </w:r>
          </w:p>
        </w:tc>
        <w:tc>
          <w:tcPr>
            <w:tcW w:type="dxa" w:w="224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center"/>
            </w:pPr>
            <w:r>
              <w:rPr>
                <w:b/>
                <w:bCs/>
                <w:color w:val="FFFFFF"/>
                <w:sz w:val="18"/>
                <w:szCs w:val="18"/>
              </w:rPr>
              <w:t xml:space="preserve">Govt doing enough</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NCR</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90.6%</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89.8%</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25.8%</w:t>
            </w:r>
          </w:p>
        </w:tc>
      </w:tr>
      <w:tr>
        <w:tc>
          <w:tcPr>
            <w:tcW w:type="dxa" w:w="26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Luzon (ex-NCR)</w:t>
            </w:r>
          </w:p>
        </w:tc>
        <w:tc>
          <w:tcPr>
            <w:tcW w:type="dxa" w:w="22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93.1%</w:t>
            </w:r>
          </w:p>
        </w:tc>
        <w:tc>
          <w:tcPr>
            <w:tcW w:type="dxa" w:w="22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90.0%</w:t>
            </w:r>
          </w:p>
        </w:tc>
        <w:tc>
          <w:tcPr>
            <w:tcW w:type="dxa" w:w="22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28.2%</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Visayas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93.5%</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92.6%</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23.2%</w:t>
            </w:r>
          </w:p>
        </w:tc>
      </w:tr>
      <w:tr>
        <w:tc>
          <w:tcPr>
            <w:tcW w:type="dxa" w:w="26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Mindanao</w:t>
            </w:r>
          </w:p>
        </w:tc>
        <w:tc>
          <w:tcPr>
            <w:tcW w:type="dxa" w:w="22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93.6%</w:t>
            </w:r>
          </w:p>
        </w:tc>
        <w:tc>
          <w:tcPr>
            <w:tcW w:type="dxa" w:w="22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91.2%</w:t>
            </w:r>
          </w:p>
        </w:tc>
        <w:tc>
          <w:tcPr>
            <w:tcW w:type="dxa" w:w="224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20.7%</w:t>
            </w:r>
          </w:p>
        </w:tc>
      </w:tr>
    </w:tbl>
    <w:p>
      <w:pPr>
        <w:pStyle w:val="Heading2"/>
      </w:pPr>
      <w:r>
        <w:t xml:space="preserve">Households read the crisis through the cost of living</w:t>
      </w:r>
    </w:p>
    <w:p>
      <w:pPr>
        <w:spacing w:after="120"/>
      </w:pPr>
      <w:r>
        <w:rPr>
          <w:sz w:val="20"/>
          <w:szCs w:val="20"/>
        </w:rPr>
        <w:t xml:space="preserve">Asked for the single most important channel of impact, households point almost entirely to prices: fuel and energy, other goods, and food together account for roughly 89 percent of first-ranked responses. The labor-market and remittance channels — the routes through which a Middle East shock most directly reaches the Philippine economy — are named by barely 1 percent each. Households therefore frame the crisis as a domestic cost-of-living problem, not as a threat to overseas jobs or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left"/>
            </w:pPr>
            <w:r>
              <w:rPr>
                <w:b/>
                <w:bCs/>
                <w:color w:val="FFFFFF"/>
                <w:sz w:val="18"/>
                <w:szCs w:val="18"/>
              </w:rPr>
              <w:t xml:space="preserve">Single most important channel of impact (top-ranked)</w:t>
            </w:r>
          </w:p>
        </w:tc>
        <w:tc>
          <w:tcPr>
            <w:tcW w:type="dxa" w:w="300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center"/>
            </w:pPr>
            <w:r>
              <w:rPr>
                <w:b/>
                <w:bCs/>
                <w:color w:val="FFFFFF"/>
                <w:sz w:val="18"/>
                <w:szCs w:val="18"/>
              </w:rPr>
              <w:t xml:space="preserve">Share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Higher prices of fuel and energy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35.2%</w:t>
            </w:r>
          </w:p>
        </w:tc>
      </w:tr>
      <w:tr>
        <w:tc>
          <w:tcPr>
            <w:tcW w:type="dxa" w:w="63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Higher prices of other goods</w:t>
            </w:r>
          </w:p>
        </w:tc>
        <w:tc>
          <w:tcPr>
            <w:tcW w:type="dxa" w:w="30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34.4%</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Higher food prices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19.9%</w:t>
            </w:r>
          </w:p>
        </w:tc>
      </w:tr>
      <w:tr>
        <w:tc>
          <w:tcPr>
            <w:tcW w:type="dxa" w:w="63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Effects on employment and jobs</w:t>
            </w:r>
          </w:p>
        </w:tc>
        <w:tc>
          <w:tcPr>
            <w:tcW w:type="dxa" w:w="30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1.1%</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Effects on international remittances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0.1%</w:t>
            </w:r>
          </w:p>
        </w:tc>
      </w:tr>
    </w:tbl>
    <w:p>
      <w:pPr>
        <w:pStyle w:val="Heading2"/>
      </w:pPr>
      <w:r>
        <w:t xml:space="preserve">Felt inflation stays high, but expectations ease</w:t>
      </w:r>
    </w:p>
    <w:p>
      <w:pPr>
        <w:spacing w:after="120"/>
      </w:pPr>
      <w:r>
        <w:rPr>
          <w:sz w:val="20"/>
          <w:szCs w:val="20"/>
        </w:rPr>
        <w:t xml:space="preserve">Felt inflation is broad and stable: 86.9 percent of households in Round 6 and 85.2 percent in Round 7 say prices rose faster than usual over the past 30 days. Expectations, however, softened — the share expecting prices to keep rising faster over the next 30 days fell from 80.0 to 68.0 percent between the two rounds, while the shares expecting a typical or slower pace both rose. This is a tentative sign that the initial price scare may be receding, even as the level of felt inflation remains elevated.</w:t>
      </w:r>
    </w:p>
    <w:p>
      <w:pPr>
        <w:pStyle w:val="Heading2"/>
      </w:pPr>
      <w:r>
        <w:t xml:space="preserve">How households are coping</w:t>
      </w:r>
    </w:p>
    <w:p>
      <w:pPr>
        <w:spacing w:after="120"/>
      </w:pPr>
      <w:r>
        <w:rPr>
          <w:b/>
          <w:bCs/>
          <w:sz w:val="20"/>
          <w:szCs w:val="20"/>
        </w:rPr>
        <w:t xml:space="preserve">Among households that reported a recent shock, coping relies heavily on informal networks. </w:t>
      </w:r>
      <w:r>
        <w:rPr>
          <w:sz w:val="20"/>
          <w:szCs w:val="20"/>
        </w:rPr>
        <w:t xml:space="preserve">Borrowing from and receiving help from friends and family together account for more than 40 percent of coping responses, and about one in ten households reduced or shifted to cheaper food. Formal channels are thin: government assistance (7.2 percent) and loans from financial institutions (2.5 percent) are used by relatively few. The pattern suggests that, faced with rising prices, many households absorb the pressure through family support and consumption cuts rather than through savings, credit, or public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left"/>
            </w:pPr>
            <w:r>
              <w:rPr>
                <w:b/>
                <w:bCs/>
                <w:color w:val="FFFFFF"/>
                <w:sz w:val="18"/>
                <w:szCs w:val="18"/>
              </w:rPr>
              <w:t xml:space="preserve">How households coped with recent shocks (among those reporting a shock)</w:t>
            </w:r>
          </w:p>
        </w:tc>
        <w:tc>
          <w:tcPr>
            <w:tcW w:type="dxa" w:w="3000"/>
            <w:tcBorders>
              <w:top w:val="single" w:color="CCCCCC" w:sz="1"/>
              <w:left w:val="single" w:color="CCCCCC" w:sz="1"/>
              <w:bottom w:val="single" w:color="CCCCCC" w:sz="1"/>
              <w:right w:val="single" w:color="CCCCCC" w:sz="1"/>
            </w:tcBorders>
            <w:shd w:fill="009FDA" w:val="clear"/>
            <w:tcMar>
              <w:top w:type="dxa" w:w="60"/>
              <w:left w:type="dxa" w:w="120"/>
              <w:bottom w:type="dxa" w:w="60"/>
              <w:right w:type="dxa" w:w="120"/>
            </w:tcMar>
          </w:tcPr>
          <w:p>
            <w:pPr>
              <w:jc w:val="center"/>
            </w:pPr>
            <w:r>
              <w:rPr>
                <w:b/>
                <w:bCs/>
                <w:color w:val="FFFFFF"/>
                <w:sz w:val="18"/>
                <w:szCs w:val="18"/>
              </w:rPr>
              <w:t xml:space="preserve">Share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Borrowed from friends or family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24.9%</w:t>
            </w:r>
          </w:p>
        </w:tc>
      </w:tr>
      <w:tr>
        <w:tc>
          <w:tcPr>
            <w:tcW w:type="dxa" w:w="63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Received assistance from friends or family</w:t>
            </w:r>
          </w:p>
        </w:tc>
        <w:tc>
          <w:tcPr>
            <w:tcW w:type="dxa" w:w="30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17.9%</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Reduced or shifted to cheaper food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10.3%</w:t>
            </w:r>
          </w:p>
        </w:tc>
      </w:tr>
      <w:tr>
        <w:tc>
          <w:tcPr>
            <w:tcW w:type="dxa" w:w="63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Took on additional income activities</w:t>
            </w:r>
          </w:p>
        </w:tc>
        <w:tc>
          <w:tcPr>
            <w:tcW w:type="dxa" w:w="30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9.1%</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Relied on savings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7.4%</w:t>
            </w:r>
          </w:p>
        </w:tc>
      </w:tr>
      <w:tr>
        <w:tc>
          <w:tcPr>
            <w:tcW w:type="dxa" w:w="63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Received assistance from government</w:t>
            </w:r>
          </w:p>
        </w:tc>
        <w:tc>
          <w:tcPr>
            <w:tcW w:type="dxa" w:w="30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7.2%</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b w:val="false"/>
                <w:bCs w:val="false"/>
                <w:color w:val="000000"/>
                <w:sz w:val="18"/>
                <w:szCs w:val="18"/>
              </w:rPr>
              <w:t xml:space="preserve">Increased hours of 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b w:val="false"/>
                <w:bCs w:val="false"/>
                <w:color w:val="000000"/>
                <w:sz w:val="18"/>
                <w:szCs w:val="18"/>
              </w:rPr>
              <w:t xml:space="preserve">5.6%</w:t>
            </w:r>
          </w:p>
        </w:tc>
      </w:tr>
      <w:tr>
        <w:tc>
          <w:tcPr>
            <w:tcW w:type="dxa" w:w="636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left"/>
            </w:pPr>
            <w:r>
              <w:rPr>
                <w:b w:val="false"/>
                <w:bCs w:val="false"/>
                <w:color w:val="000000"/>
                <w:sz w:val="18"/>
                <w:szCs w:val="18"/>
              </w:rPr>
              <w:t xml:space="preserve">Took a loan from a financial institution</w:t>
            </w:r>
          </w:p>
        </w:tc>
        <w:tc>
          <w:tcPr>
            <w:tcW w:type="dxa" w:w="3000"/>
            <w:tcBorders>
              <w:top w:val="single" w:color="CCCCCC" w:sz="1"/>
              <w:left w:val="single" w:color="CCCCCC" w:sz="1"/>
              <w:bottom w:val="single" w:color="CCCCCC" w:sz="1"/>
              <w:right w:val="single" w:color="CCCCCC" w:sz="1"/>
            </w:tcBorders>
            <w:shd w:fill="F2F6F9" w:val="clear"/>
            <w:tcMar>
              <w:top w:type="dxa" w:w="60"/>
              <w:left w:type="dxa" w:w="120"/>
              <w:bottom w:type="dxa" w:w="60"/>
              <w:right w:type="dxa" w:w="120"/>
            </w:tcMar>
          </w:tcPr>
          <w:p>
            <w:pPr>
              <w:jc w:val="center"/>
            </w:pPr>
            <w:r>
              <w:rPr>
                <w:b w:val="false"/>
                <w:bCs w:val="false"/>
                <w:color w:val="000000"/>
                <w:sz w:val="18"/>
                <w:szCs w:val="18"/>
              </w:rPr>
              <w:t xml:space="preserve">2.5%</w:t>
            </w:r>
          </w:p>
        </w:tc>
      </w:tr>
    </w:tbl>
    <w:p>
      <w:pPr>
        <w:pStyle w:val="Heading2"/>
      </w:pPr>
      <w:r>
        <w:t xml:space="preserve">Confidence in the public response is limited</w:t>
      </w:r>
    </w:p>
    <w:p>
      <w:pPr>
        <w:spacing w:after="120"/>
      </w:pPr>
      <w:r>
        <w:rPr>
          <w:sz w:val="20"/>
          <w:szCs w:val="20"/>
        </w:rPr>
        <w:t xml:space="preserve">Households are skeptical that the government is doing enough: about half disagree (49.3 percent in Round 6, 45.7 percent in Round 7) and only around a quarter agree (24.6 and 25.5 percent), with the rest neutral. Because the crisis registers mainly through prices, its household-welfare consequences will track domestic fuel and food prices rather than labor-market or remittance disruptions. The low share that sees the response as adequate, combined with thin use of formal support, points to room for clearer public communication on price and energy measures and for strengthening the formal safety net that few households currently draw on.</w:t>
      </w:r>
    </w:p>
    <w:p>
      <w:pPr>
        <w:pStyle w:val="Heading2"/>
      </w:pPr>
      <w:r>
        <w:t xml:space="preserve">About this note</w:t>
      </w:r>
    </w:p>
    <w:p>
      <w:pPr>
        <w:spacing w:after="120"/>
      </w:pPr>
      <w:r>
        <w:rPr>
          <w:b/>
          <w:bCs/>
          <w:sz w:val="16"/>
          <w:szCs w:val="16"/>
        </w:rPr>
        <w:t xml:space="preserve">Source: </w:t>
      </w:r>
      <w:r>
        <w:rPr>
          <w:color w:val="555555"/>
          <w:sz w:val="16"/>
          <w:szCs w:val="16"/>
        </w:rPr>
        <w:t xml:space="preserve">Listening to the Philippines (L2PHL / Project TIPON) CATI panel, Rounds 6 (n = 1,167) and 7 (n = 993), fielded April–May 2026; crisis-perception questions V13–V18 (Views module). Coping mechanisms are from the shocks module, among households reporting a recent shock (486 responses across the two rounds). Figures are survey-weighted shares of households using the CATI panel household weights (hhw); the coping figures are unweighted. Breakdowns by region and income quintile use the household’s barangay: region from the barangay PSGC, and an income quintile from the small-area (barangay-level) S2S imputed per-capita income, matched to 99.3 percent of respondents via the PSGC code. The quintile is therefore a small-area income measure rather than an exact household ranking.</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L2PHL · Listening to the Philippines (Project TIPON) · World Bank Group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Garamond" w:cs="Garamond" w:eastAsia="Garamond" w:hAnsi="Garamond"/>
      <w:b/>
      <w:bCs/>
      <w:color w:val="0022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2026-06-25T01:42:05.852Z</dcterms:created>
  <dcterms:modified xsi:type="dcterms:W3CDTF">2026-06-25T01:42:05.853Z</dcterms:modified>
</cp:coreProperties>
</file>

<file path=docProps/custom.xml><?xml version="1.0" encoding="utf-8"?>
<Properties xmlns="http://schemas.openxmlformats.org/officeDocument/2006/custom-properties" xmlns:vt="http://schemas.openxmlformats.org/officeDocument/2006/docPropsVTypes"/>
</file>