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09FDA"/>
          <w:sz w:val="16"/>
          <w:szCs w:val="16"/>
        </w:rPr>
        <w:t xml:space="preserve">WORLD BANK GROUP · POVERTY &amp; EQUITY · EAST ASIA &amp; PACIFIC</w:t>
      </w:r>
    </w:p>
    <w:p>
      <w:pPr>
        <w:spacing w:after="80"/>
      </w:pPr>
      <w:r>
        <w:rPr>
          <w:color w:val="555555"/>
          <w:sz w:val="16"/>
          <w:szCs w:val="16"/>
        </w:rPr>
        <w:t xml:space="preserve">Crisis note · June 2026</w:t>
      </w:r>
    </w:p>
    <w:p>
      <w:pPr>
        <w:pBdr>
          <w:bottom w:val="single" w:color="002244" w:sz="8" w:space="2"/>
        </w:pBdr>
        <w:spacing w:after="40"/>
      </w:pPr>
      <w:r>
        <w:rPr>
          <w:b/>
          <w:bCs/>
          <w:color w:val="002244"/>
          <w:sz w:val="30"/>
          <w:szCs w:val="30"/>
        </w:rPr>
        <w:t xml:space="preserve">Filipino households and the Middle East crisis: a cost-of-living shock</w:t>
      </w:r>
    </w:p>
    <w:p>
      <w:pPr>
        <w:spacing w:after="160"/>
      </w:pPr>
      <w:r>
        <w:rPr>
          <w:i/>
          <w:iCs/>
          <w:color w:val="555555"/>
          <w:sz w:val="18"/>
          <w:szCs w:val="18"/>
        </w:rPr>
        <w:t xml:space="preserve">Evidence from the L2PHL CATI panel, Rounds 6–7 (fielded April–May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Concern about the Middle East crisis is near-universal among Filipino households, and they experience it as an inflation shock. </w:t>
      </w:r>
      <w:r>
        <w:rPr>
          <w:sz w:val="20"/>
          <w:szCs w:val="20"/>
        </w:rPr>
        <w:t xml:space="preserve">In the two most recent panel rounds, </w:t>
      </w:r>
      <w:r>
        <w:rPr>
          <w:b/>
          <w:bCs/>
          <w:sz w:val="20"/>
          <w:szCs w:val="20"/>
        </w:rPr>
        <w:t xml:space="preserve">92 percent</w:t>
      </w:r>
      <w:r>
        <w:rPr>
          <w:sz w:val="20"/>
          <w:szCs w:val="20"/>
        </w:rPr>
        <w:t xml:space="preserve"> of responding households are concerned the crisis will affect them, and </w:t>
      </w:r>
      <w:r>
        <w:rPr>
          <w:b/>
          <w:bCs/>
          <w:sz w:val="20"/>
          <w:szCs w:val="20"/>
        </w:rPr>
        <w:t xml:space="preserve">89 percent</w:t>
      </w:r>
      <w:r>
        <w:rPr>
          <w:sz w:val="20"/>
          <w:szCs w:val="20"/>
        </w:rPr>
        <w:t xml:space="preserve"> perceive a moderate or severe impact on the Philippines. The channels households name are overwhelmingly prices — fuel, other goods, and food — rather than jobs or remittances. About </w:t>
      </w:r>
      <w:r>
        <w:rPr>
          <w:b/>
          <w:bCs/>
          <w:sz w:val="20"/>
          <w:szCs w:val="20"/>
        </w:rPr>
        <w:t xml:space="preserve">85 percent</w:t>
      </w:r>
      <w:r>
        <w:rPr>
          <w:sz w:val="20"/>
          <w:szCs w:val="20"/>
        </w:rPr>
        <w:t xml:space="preserve"> felt prices rising faster than usual, although their expectations for the month ahead eased between Round 6 and Round 7. Confidence in the government response is limited: only about one in four agree it is doing enough.</w:t>
      </w:r>
    </w:p>
    <w:p>
      <w:pPr>
        <w:pStyle w:val="Heading2"/>
      </w:pPr>
      <w:r>
        <w:t xml:space="preserve">Key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224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 (share of responding households)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224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Round 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224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Round 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224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Concerned the crisis will affect their household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92.5%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92.0%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55555"/>
                <w:sz w:val="18"/>
                <w:szCs w:val="18"/>
              </w:rPr>
              <w:t xml:space="preserve">−0.5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   of which: very concerned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55.4%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49.8%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CE1126"/>
                <w:sz w:val="18"/>
                <w:szCs w:val="18"/>
              </w:rPr>
              <w:t xml:space="preserve">−5.7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See a moderate or severe impact on the Philippines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89.2%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89.0%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55555"/>
                <w:sz w:val="18"/>
                <w:szCs w:val="18"/>
              </w:rPr>
              <w:t xml:space="preserve">−0.2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Felt prices rise faster than usual (past 30 days)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86.9%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85.2%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55555"/>
                <w:sz w:val="18"/>
                <w:szCs w:val="18"/>
              </w:rPr>
              <w:t xml:space="preserve">−1.7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Expect prices to rise faster (next 30 days)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80.0%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68.0%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CE1126"/>
                <w:sz w:val="18"/>
                <w:szCs w:val="18"/>
              </w:rPr>
              <w:t xml:space="preserve">−12.1</w:t>
            </w:r>
          </w:p>
        </w:tc>
      </w:tr>
      <w:tr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Agree the government is doing enough to respond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24.6%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25.5%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55555"/>
                <w:sz w:val="18"/>
                <w:szCs w:val="18"/>
              </w:rPr>
              <w:t xml:space="preserve">+0.9</w:t>
            </w:r>
          </w:p>
        </w:tc>
      </w:tr>
    </w:tbl>
    <w:p>
      <w:pPr>
        <w:spacing w:after="120" w:before="120"/>
      </w:pPr>
      <w:r>
        <w:rPr>
          <w:b/>
          <w:bCs/>
          <w:sz w:val="20"/>
          <w:szCs w:val="20"/>
        </w:rPr>
        <w:t xml:space="preserve">Households read the crisis through the cost of living. </w:t>
      </w:r>
      <w:r>
        <w:rPr>
          <w:sz w:val="20"/>
          <w:szCs w:val="20"/>
        </w:rPr>
        <w:t xml:space="preserve">Asked for the single most important channel of impact, they point almost entirely to prices: fuel and energy (35.3 percent), other goods (34.1 percent), and food (19.7 percent). Labor-market and remittance channels — the routes through which a Middle East shock most directly reaches the Philippines — are named by barely 1 percent 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9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Most-cited channel of impact (top-ranked)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9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Higher prices of fuel and energy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35.3%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Higher prices of other goods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34.1%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Higher food prices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19.7%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Effects on employment and jobs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Effects on international remittances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0.3%</w:t>
            </w:r>
          </w:p>
        </w:tc>
      </w:tr>
    </w:tbl>
    <w:p>
      <w:pPr>
        <w:pStyle w:val="Heading2"/>
      </w:pPr>
      <w:r>
        <w:t xml:space="preserve">Felt inflation stays high, but expectations ease</w:t>
      </w:r>
    </w:p>
    <w:p>
      <w:pPr>
        <w:spacing w:after="120"/>
      </w:pPr>
      <w:r>
        <w:rPr>
          <w:sz w:val="20"/>
          <w:szCs w:val="20"/>
        </w:rPr>
        <w:t xml:space="preserve">Felt inflation is broad and stable: 86.9 percent of households in Round 6 and 85.2 percent in Round 7 say prices rose faster than usual over the past 30 days. Expectations, however, softened — the share expecting prices to keep rising faster over the next 30 days fell from 80.0 percent to 68.0 percent between the two rounds, while the shares expecting a typical or slower pace both rose. This is a tentative sign that the initial price scare may be receding, even as the level of felt inflation remains elevated.</w:t>
      </w:r>
    </w:p>
    <w:p>
      <w:pPr>
        <w:pStyle w:val="Heading2"/>
      </w:pPr>
      <w:r>
        <w:t xml:space="preserve">Low confidence in the public response</w:t>
      </w:r>
    </w:p>
    <w:p>
      <w:pPr>
        <w:spacing w:after="120"/>
      </w:pPr>
      <w:r>
        <w:rPr>
          <w:sz w:val="20"/>
          <w:szCs w:val="20"/>
        </w:rPr>
        <w:t xml:space="preserve">Households are skeptical that the government is doing enough: about half disagree (49.3 percent in Round 6, 45.7 percent in Round 7) and only around a quarter agree (24.6 and 25.5 percent), with the remainder neutral. Because the crisis registers mainly through prices, its household-welfare consequences will track domestic fuel and food prices rather than labor-market or remittance disruptions, and the low share agreeing the response is adequate suggests room for clearer public communication on price and energy measures.</w:t>
      </w:r>
    </w:p>
    <w:p>
      <w:pPr>
        <w:pStyle w:val="Heading2"/>
      </w:pPr>
      <w:r>
        <w:t xml:space="preserve">About this note</w:t>
      </w:r>
    </w:p>
    <w:p>
      <w:pPr>
        <w:spacing w:after="120"/>
      </w:pPr>
      <w:r>
        <w:rPr>
          <w:b/>
          <w:bCs/>
          <w:sz w:val="16"/>
          <w:szCs w:val="16"/>
        </w:rPr>
        <w:t xml:space="preserve">Source: </w:t>
      </w:r>
      <w:r>
        <w:rPr>
          <w:color w:val="555555"/>
          <w:sz w:val="16"/>
          <w:szCs w:val="16"/>
        </w:rPr>
        <w:t xml:space="preserve">Listening to the Philippines (L2PHL / Project TIPON) CATI panel, Rounds 6 (n = 1,167) and 7 (n = 993), fielded April–May 2026; questions V13–V18 (Views module). Figures are shares of responding households. Survey-weighted estimates and breakdowns by region and income quintile are pending a household crosswalk and will follow in a revised version.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L2PHL · Listening to the Philippines (Project TIPON) · World Bank Group —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2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2026-06-24T23:37:11.433Z</dcterms:created>
  <dcterms:modified xsi:type="dcterms:W3CDTF">2026-06-24T23:37:11.433Z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