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1e2223cbf2f1e4f9ae740ac289ebed48165f26"/>
    <w:p>
      <w:pPr>
        <w:pStyle w:val="Heading1"/>
      </w:pPr>
      <w:r>
        <w:t xml:space="preserve">How Avraa’s World Cup 2026 Prediction Model Works</w:t>
      </w:r>
    </w:p>
    <w:bookmarkStart w:id="20" w:name="X980e713f7575772fe736595d1a5fa3e5d7f525e"/>
    <w:p>
      <w:pPr>
        <w:pStyle w:val="Heading3"/>
      </w:pPr>
      <w:r>
        <w:t xml:space="preserve">A detailed, plain-language walkthrough — from raw data to a filled bracket</w:t>
      </w:r>
    </w:p>
    <w:p>
      <w:r>
        <w:pict>
          <v:rect style="width:0;height:1.5pt" o:hralign="center" o:hrstd="t" o:hr="t"/>
        </w:pict>
      </w:r>
    </w:p>
    <w:bookmarkEnd w:id="20"/>
    <w:bookmarkStart w:id="21" w:name="the-goal-shapes-everything"/>
    <w:p>
      <w:pPr>
        <w:pStyle w:val="Heading2"/>
      </w:pPr>
      <w:r>
        <w:t xml:space="preserve">0. The goal shapes everything</w:t>
      </w:r>
    </w:p>
    <w:p>
      <w:pPr>
        <w:pStyle w:val="FirstParagraph"/>
      </w:pPr>
      <w:r>
        <w:t xml:space="preserve">Before any math, understand the target. In your pool, each match scores: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points</w:t>
      </w:r>
      <w:r>
        <w:t xml:space="preserve"> </w:t>
      </w:r>
      <w:r>
        <w:t xml:space="preserve">for the exact scoreline (you said 2-1, it finished 2-1)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points</w:t>
      </w:r>
      <w:r>
        <w:t xml:space="preserve"> </w:t>
      </w:r>
      <w:r>
        <w:t xml:space="preserve">for the correct result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goal difference (you said 2-1, it finished 3-2 — right winner, right margin, wrong exact score)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point</w:t>
      </w:r>
      <w:r>
        <w:t xml:space="preserve"> </w:t>
      </w:r>
      <w:r>
        <w:t xml:space="preserve">for the correct result only (you said 2-1, it finished 3-0 — right winner, wrong margin)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 points</w:t>
      </w:r>
      <w:r>
        <w:t xml:space="preserve"> </w:t>
      </w:r>
      <w:r>
        <w:t xml:space="preserve">otherwise</w:t>
      </w:r>
    </w:p>
    <w:p>
      <w:pPr>
        <w:pStyle w:val="FirstParagraph"/>
      </w:pPr>
      <w:r>
        <w:t xml:space="preserve">This one rule drives every design decision. It means the question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“who will win?”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rPr>
          <w:b/>
          <w:bCs/>
        </w:rPr>
        <w:t xml:space="preserve">what exact score earns the most points on average?</w:t>
      </w:r>
      <w:r>
        <w:t xml:space="preserve">”</w:t>
      </w:r>
      <w:r>
        <w:t xml:space="preserve"> </w:t>
      </w:r>
      <w:r>
        <w:t xml:space="preserve">Those are different questions, and the gap between them is where the model earns its edge. The middle tier matters: it rewards getting the</w:t>
      </w:r>
      <w:r>
        <w:t xml:space="preserve"> </w:t>
      </w:r>
      <w:r>
        <w:rPr>
          <w:i/>
          <w:iCs/>
        </w:rPr>
        <w:t xml:space="preserve">margin</w:t>
      </w:r>
      <w:r>
        <w:t xml:space="preserve"> </w:t>
      </w:r>
      <w:r>
        <w:t xml:space="preserve">right, which pulls the picks toward one-goal results like 1-0, and it makes a 1-1 draw the best bet on the most evenly-matched games (every draw shares goal difference zero, so 1-1 banks 2 points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draw). Hold that thought — it returns in Stage 3.</w:t>
      </w:r>
    </w:p>
    <w:p>
      <w:pPr>
        <w:pStyle w:val="BodyText"/>
      </w:pPr>
      <w:r>
        <w:t xml:space="preserve">The whole pipeline has six stages:</w:t>
      </w:r>
    </w:p>
    <w:p>
      <w:pPr>
        <w:pStyle w:val="SourceCode"/>
      </w:pPr>
      <w:r>
        <w:rPr>
          <w:rStyle w:val="VerbatimChar"/>
        </w:rPr>
        <w:t xml:space="preserve">INPUTS → CLEAN THE ODDS → PREDICT EACH MATCH → SIMULATE 200,000 TOURNAMENTS</w:t>
      </w:r>
      <w:r>
        <w:br/>
      </w:r>
      <w:r>
        <w:rPr>
          <w:rStyle w:val="VerbatimChar"/>
        </w:rPr>
        <w:t xml:space="preserve">        → OPTIMIZE THE BRACKET → CHECK THE RISK (machine learning)</w:t>
      </w:r>
    </w:p>
    <w:p>
      <w:r>
        <w:pict>
          <v:rect style="width:0;height:1.5pt" o:hralign="center" o:hrstd="t" o:hr="t"/>
        </w:pict>
      </w:r>
    </w:p>
    <w:bookmarkEnd w:id="21"/>
    <w:bookmarkStart w:id="22" w:name="inputs-what-goes-in"/>
    <w:p>
      <w:pPr>
        <w:pStyle w:val="Heading2"/>
      </w:pPr>
      <w:r>
        <w:t xml:space="preserve">1. Inputs — what goes in</w:t>
      </w:r>
    </w:p>
    <w:p>
      <w:pPr>
        <w:pStyle w:val="FirstParagraph"/>
      </w:pPr>
      <w:r>
        <w:t xml:space="preserve">Four datasets, all collected June 5–7, 2026 (four days before kickoff):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Bookmaker odds</w:t>
            </w:r>
          </w:p>
        </w:tc>
        <w:tc>
          <w:tcPr/>
          <w:p>
            <w:pPr>
              <w:pStyle w:val="Compact"/>
            </w:pPr>
            <w:r>
              <w:t xml:space="preserve">bet365, FanDuel, Betfair, plus Polymarket &amp; Kalshi prediction markets</w:t>
            </w:r>
          </w:p>
        </w:tc>
        <w:tc>
          <w:tcPr/>
          <w:p>
            <w:pPr>
              <w:pStyle w:val="Compact"/>
            </w:pPr>
            <w:r>
              <w:t xml:space="preserve">The single best public estimate of each match’s probabilities. Beating the betting market is</w:t>
            </w:r>
            <w:r>
              <w:t xml:space="preserve"> </w:t>
            </w:r>
            <w:r>
              <w:rPr>
                <w:i/>
                <w:iCs/>
              </w:rPr>
              <w:t xml:space="preserve">hard</w:t>
            </w:r>
            <w:r>
              <w:t xml:space="preserve"> </w:t>
            </w:r>
            <w:r>
              <w:t xml:space="preserve">— so we start from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Elo ratings</w:t>
            </w:r>
          </w:p>
        </w:tc>
        <w:tc>
          <w:tcPr/>
          <w:p>
            <w:pPr>
              <w:pStyle w:val="Compact"/>
            </w:pPr>
            <w:r>
              <w:t xml:space="preserve">A single strength number per team (Spain 2165, Qatar 1423)</w:t>
            </w:r>
          </w:p>
        </w:tc>
        <w:tc>
          <w:tcPr/>
          <w:p>
            <w:pPr>
              <w:pStyle w:val="Compact"/>
            </w:pPr>
            <w:r>
              <w:t xml:space="preserve">Needed where the market has no odds yet — especially hypothetical knockout matchups that haven’t been drawn.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news</w:t>
            </w:r>
          </w:p>
        </w:tc>
        <w:tc>
          <w:tcPr/>
          <w:p>
            <w:pPr>
              <w:pStyle w:val="Compact"/>
            </w:pPr>
            <w:r>
              <w:t xml:space="preserve">Confirmed injuries: Rodrygo (Brazil), Xavi Simons (Netherlands), Mitoma (Japan) out</w:t>
            </w:r>
          </w:p>
        </w:tc>
        <w:tc>
          <w:tcPr/>
          <w:p>
            <w:pPr>
              <w:pStyle w:val="Compact"/>
            </w:pPr>
            <w:r>
              <w:t xml:space="preserve">Lets us nudge a team’s strength down when a key player is missing.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Tournament structure</w:t>
            </w:r>
          </w:p>
        </w:tc>
        <w:tc>
          <w:tcPr/>
          <w:p>
            <w:pPr>
              <w:pStyle w:val="Compact"/>
            </w:pPr>
            <w:r>
              <w:t xml:space="preserve">All 104 fixtures, venues, and the 48-team bracket rules</w:t>
            </w:r>
          </w:p>
        </w:tc>
        <w:tc>
          <w:tcPr/>
          <w:p>
            <w:pPr>
              <w:pStyle w:val="Compact"/>
            </w:pPr>
            <w:r>
              <w:t xml:space="preserve">The bracket’s wiring — including the tricky rule that 8 of 12 third-placed teams advance — is itself a major part of the problem.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 model is only as good as these inputs. Because the group-stage probabilities come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betting market, the model can’t be sharper than the market on any single match. Its edge comes entirely from two things it does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those probabilities: smart scoreline selection (Stage 3) and smart bracket routing (Stage 5).</w:t>
      </w:r>
    </w:p>
    <w:p>
      <w:r>
        <w:pict>
          <v:rect style="width:0;height:1.5pt" o:hralign="center" o:hrstd="t" o:hr="t"/>
        </w:pict>
      </w:r>
    </w:p>
    <w:bookmarkEnd w:id="22"/>
    <w:bookmarkStart w:id="23" w:name="Xb4b1cbd0eaf67b55ed7e8bd165b2b6339cd481f"/>
    <w:p>
      <w:pPr>
        <w:pStyle w:val="Heading2"/>
      </w:pPr>
      <w:r>
        <w:t xml:space="preserve">2. Clean the odds — from prices to fair probabilities</w:t>
      </w:r>
    </w:p>
    <w:p>
      <w:pPr>
        <w:pStyle w:val="FirstParagraph"/>
      </w:pPr>
      <w:r>
        <w:t xml:space="preserve">Bookmakers don’t publish true probabilities. Their odds include a hidden profit margin (the</w:t>
      </w:r>
      <w:r>
        <w:t xml:space="preserve"> </w:t>
      </w:r>
      <w:r>
        <w:t xml:space="preserve">“vig”</w:t>
      </w:r>
      <w:r>
        <w:t xml:space="preserve">), so the implied probabilities add up to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100%.</w:t>
      </w:r>
    </w:p>
    <w:p>
      <w:pPr>
        <w:pStyle w:val="BodyText"/>
      </w:pPr>
      <w:r>
        <w:rPr>
          <w:b/>
          <w:bCs/>
        </w:rPr>
        <w:t xml:space="preserve">Example.</w:t>
      </w:r>
      <w:r>
        <w:t xml:space="preserve"> </w:t>
      </w:r>
      <w:r>
        <w:t xml:space="preserve">If the odds imply Home 50%, Draw 30%, Away 28%, that sums to 108% — the extra 8% is the bookmaker’s built-in edge. We strip it by simple normalization: divide each by the total.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fair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odds</m:t>
              </m:r>
            </m:num>
            <m:den>
              <m:r>
                <m:rPr>
                  <m:sty m:val="p"/>
                </m:rPr>
                <m:t>∑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nor/>
                      <m:sty m:val="p"/>
                    </m:rPr>
                    <m:t>odds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So 50/30/28 becomes 46/28/26, now summing to 100%. These are the</w:t>
      </w:r>
      <w:r>
        <w:t xml:space="preserve"> </w:t>
      </w:r>
      <w:r>
        <w:rPr>
          <w:b/>
          <w:bCs/>
        </w:rPr>
        <w:t xml:space="preserve">fair probabilities</w:t>
      </w:r>
      <w:r>
        <w:t xml:space="preserve"> </w:t>
      </w:r>
      <w:r>
        <w:t xml:space="preserve">we actually use.</w:t>
      </w:r>
    </w:p>
    <w:p>
      <w:pPr>
        <w:pStyle w:val="BodyText"/>
      </w:pPr>
      <w:r>
        <w:t xml:space="preserve">For the ~24 matchday-3 fixtures with no published odds yet, we fall back to Elo-based estimates (the weakest data tier — we flag those honestly).</w:t>
      </w:r>
    </w:p>
    <w:p>
      <w:r>
        <w:pict>
          <v:rect style="width:0;height:1.5pt" o:hralign="center" o:hrstd="t" o:hr="t"/>
        </w:pict>
      </w:r>
    </w:p>
    <w:bookmarkEnd w:id="23"/>
    <w:bookmarkStart w:id="28" w:name="X4321e083245a60aba3784e3cd20c623f69adb8c"/>
    <w:p>
      <w:pPr>
        <w:pStyle w:val="Heading2"/>
      </w:pPr>
      <w:r>
        <w:t xml:space="preserve">3. Predict each match — the Poisson scoreline model</w:t>
      </w:r>
    </w:p>
    <w:p>
      <w:pPr>
        <w:pStyle w:val="FirstParagraph"/>
      </w:pPr>
      <w:r>
        <w:t xml:space="preserve">This is the cleverest part, and the Netherlands–Japan example shows exactly why.</w:t>
      </w:r>
    </w:p>
    <w:bookmarkStart w:id="24" w:name="the-setup"/>
    <w:p>
      <w:pPr>
        <w:pStyle w:val="Heading3"/>
      </w:pPr>
      <w:r>
        <w:t xml:space="preserve">The setup</w:t>
      </w:r>
    </w:p>
    <w:p>
      <w:pPr>
        <w:pStyle w:val="FirstParagraph"/>
      </w:pPr>
      <w:r>
        <w:t xml:space="preserve">Goals in football follow a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— a standard model for</w:t>
      </w:r>
      <w:r>
        <w:t xml:space="preserve"> </w:t>
      </w:r>
      <w:r>
        <w:t xml:space="preserve">“how many rare events happen in a fixed time.”</w:t>
      </w:r>
      <w:r>
        <w:t xml:space="preserve"> </w:t>
      </w:r>
      <w:r>
        <w:t xml:space="preserve">Each team gets a goal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): the average number of goals we’d expect it to score. We find the two rates (</w:t>
      </w:r>
      <m:oMath>
        <m:r>
          <m:t>λ</m:t>
        </m:r>
      </m:oMath>
      <w:r>
        <w:t xml:space="preserve"> </w:t>
      </w:r>
      <w:r>
        <w:t xml:space="preserve">for each team) that reproduce the match’s fair probabilities.</w:t>
      </w:r>
    </w:p>
    <w:bookmarkEnd w:id="24"/>
    <w:bookmarkStart w:id="25" w:name="worked-example-netherlands-vs-japan"/>
    <w:p>
      <w:pPr>
        <w:pStyle w:val="Heading3"/>
      </w:pPr>
      <w:r>
        <w:t xml:space="preserve">Worked example: Netherlands vs Japan</w:t>
      </w:r>
    </w:p>
    <w:p>
      <w:pPr>
        <w:pStyle w:val="Compact"/>
        <w:numPr>
          <w:ilvl w:val="0"/>
          <w:numId w:val="1002"/>
        </w:numPr>
      </w:pPr>
      <w:r>
        <w:t xml:space="preserve">Fair probabilities from odds:</w:t>
      </w:r>
      <w:r>
        <w:t xml:space="preserve"> </w:t>
      </w:r>
      <w:r>
        <w:rPr>
          <w:b/>
          <w:bCs/>
        </w:rPr>
        <w:t xml:space="preserve">Netherlands 46% / Draw 26% / Japan 28%</w:t>
      </w:r>
    </w:p>
    <w:p>
      <w:pPr>
        <w:pStyle w:val="Compact"/>
        <w:numPr>
          <w:ilvl w:val="0"/>
          <w:numId w:val="1002"/>
        </w:numPr>
      </w:pPr>
      <w:r>
        <w:t xml:space="preserve">The fitted rates that reproduce those: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NED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1.5 goals,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JPN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1.1 goals</w:t>
      </w:r>
    </w:p>
    <w:p>
      <w:pPr>
        <w:pStyle w:val="FirstParagraph"/>
      </w:pPr>
      <w:r>
        <w:t xml:space="preserve">From those two rates, we can compute the probability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possible scoreline: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Scoreline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12.3%</w:t>
            </w:r>
            <w:r>
              <w:t xml:space="preserve"> </w:t>
            </w:r>
            <w:r>
              <w:t xml:space="preserve">← most likely score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2-0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8.2%</w:t>
            </w:r>
          </w:p>
        </w:tc>
      </w:tr>
    </w:tbl>
    <w:bookmarkEnd w:id="25"/>
    <w:bookmarkStart w:id="26" w:name="the-crucial-subtlety"/>
    <w:p>
      <w:pPr>
        <w:pStyle w:val="Heading3"/>
      </w:pPr>
      <w:r>
        <w:t xml:space="preserve">The crucial subtlety</w:t>
      </w:r>
    </w:p>
    <w:p>
      <w:pPr>
        <w:pStyle w:val="FirstParagraph"/>
      </w:pPr>
      <w:r>
        <w:t xml:space="preserve">Look closely: the single most likely scoreline is</w:t>
      </w:r>
      <w:r>
        <w:t xml:space="preserve"> </w:t>
      </w:r>
      <w:r>
        <w:rPr>
          <w:b/>
          <w:bCs/>
        </w:rPr>
        <w:t xml:space="preserve">1-1, a draw</w:t>
      </w:r>
      <w:r>
        <w:t xml:space="preserve"> </w:t>
      </w:r>
      <w:r>
        <w:t xml:space="preserve">— but the Netherlands is</w:t>
      </w:r>
      <w:r>
        <w:t xml:space="preserve"> </w:t>
      </w:r>
      <w:r>
        <w:rPr>
          <w:i/>
          <w:iCs/>
        </w:rPr>
        <w:t xml:space="preserve">favored to win</w:t>
      </w:r>
      <w:r>
        <w:t xml:space="preserve"> </w:t>
      </w:r>
      <w:r>
        <w:t xml:space="preserve">(46% vs 28%). If we naively predicted the most likely score (1-1), we’d be predicting a draw for a match we think the Netherlands wins. Under your scoring, that’s a bad bet: we’d throw away the 1 outcome-point most of the time.</w:t>
      </w:r>
    </w:p>
    <w:p>
      <w:pPr>
        <w:pStyle w:val="BodyText"/>
      </w:pPr>
      <w:r>
        <w:t xml:space="preserve">So the rule is:</w:t>
      </w:r>
      <w:r>
        <w:t xml:space="preserve"> </w:t>
      </w:r>
      <w:r>
        <w:rPr>
          <w:b/>
          <w:bCs/>
        </w:rPr>
        <w:t xml:space="preserve">pick the most likely scoreline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among the predicted outcome</w:t>
      </w:r>
      <w:r>
        <w:rPr>
          <w:b/>
          <w:bCs/>
        </w:rPr>
        <w:t xml:space="preserve">.</w:t>
      </w:r>
      <w:r>
        <w:t xml:space="preserve"> </w:t>
      </w:r>
      <w:r>
        <w:t xml:space="preserve">The Netherlands is favored, so we look only at Netherlands-win scores and take the most likely one →</w:t>
      </w:r>
      <w:r>
        <w:t xml:space="preserve"> </w:t>
      </w:r>
      <w:r>
        <w:rPr>
          <w:b/>
          <w:bCs/>
        </w:rPr>
        <w:t xml:space="preserve">1-0</w:t>
      </w:r>
      <w:r>
        <w:t xml:space="preserve">.</w:t>
      </w:r>
    </w:p>
    <w:p>
      <w:pPr>
        <w:pStyle w:val="BodyText"/>
      </w:pPr>
      <w:r>
        <w:t xml:space="preserve">This is why almost all the picks are 1-0, 2-0, or 2-1: those are simply the most common winning scorelines in football. It’s not timidity — it’s the mathematically optimal play under</w:t>
      </w:r>
      <w:r>
        <w:t xml:space="preserve"> </w:t>
      </w:r>
      <w:r>
        <w:t xml:space="preserve">“exact score beats outcome.”</w:t>
      </w:r>
    </w:p>
    <w:p>
      <w:pPr>
        <w:pStyle w:val="BodyText"/>
      </w:pPr>
      <w:r>
        <w:t xml:space="preserve">We checked this formally: across all 72 group matches, this rule produces the exact same pick as a brute-force expected-points maximizer in 71 of 72 cases.</w:t>
      </w:r>
    </w:p>
    <w:bookmarkEnd w:id="26"/>
    <w:bookmarkStart w:id="27" w:name="knockouts-elo-win-expectancy"/>
    <w:p>
      <w:pPr>
        <w:pStyle w:val="Heading3"/>
      </w:pPr>
      <w:r>
        <w:t xml:space="preserve">Knockouts: Elo win-expectancy</w:t>
      </w:r>
    </w:p>
    <w:p>
      <w:pPr>
        <w:pStyle w:val="FirstParagraph"/>
      </w:pPr>
      <w:r>
        <w:t xml:space="preserve">Hypothetical knockout matchups (e.g. </w:t>
      </w:r>
      <w:r>
        <w:t xml:space="preserve">“Spain vs Portugal in the Round of 16”</w:t>
      </w:r>
      <w:r>
        <w:t xml:space="preserve">) have no betting odds — they haven’t been drawn yet. For those we use the</w:t>
      </w:r>
      <w:r>
        <w:t xml:space="preserve"> </w:t>
      </w:r>
      <w:r>
        <w:rPr>
          <w:b/>
          <w:bCs/>
        </w:rPr>
        <w:t xml:space="preserve">Elo formula</w:t>
      </w:r>
      <w:r>
        <w:t xml:space="preserve">, the same one chess uses: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 beats 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400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A 100-point Elo gap ≈ 64% win chance; 200 points ≈ 76%. We adjust the ratings for injuries (Brazil −20 for Rodrygo) and home advantage (Mexico/USA +40 at their own stadiums).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imulate-the-tournament-200000-times"/>
    <w:p>
      <w:pPr>
        <w:pStyle w:val="Heading2"/>
      </w:pPr>
      <w:r>
        <w:t xml:space="preserve">4. Simulate the tournament 200,000 times</w:t>
      </w:r>
    </w:p>
    <w:p>
      <w:pPr>
        <w:pStyle w:val="FirstParagraph"/>
      </w:pPr>
      <w:r>
        <w:t xml:space="preserve">Now we have a probability for every possible match. But a tournament is a</w:t>
      </w:r>
      <w:r>
        <w:t xml:space="preserve"> </w:t>
      </w:r>
      <w:r>
        <w:rPr>
          <w:i/>
          <w:iCs/>
        </w:rPr>
        <w:t xml:space="preserve">chain</w:t>
      </w:r>
      <w:r>
        <w:t xml:space="preserve"> </w:t>
      </w:r>
      <w:r>
        <w:t xml:space="preserve">— who Spain plays in the quarter-final depends on dozens of earlier results. There’s no formula for</w:t>
      </w:r>
      <w:r>
        <w:t xml:space="preserve"> </w:t>
      </w:r>
      <w:r>
        <w:t xml:space="preserve">“who wins the World Cup.”</w:t>
      </w:r>
      <w:r>
        <w:t xml:space="preserve"> </w:t>
      </w:r>
      <w:r>
        <w:t xml:space="preserve">So we</w:t>
      </w:r>
      <w:r>
        <w:t xml:space="preserve"> </w:t>
      </w:r>
      <w:r>
        <w:rPr>
          <w:b/>
          <w:bCs/>
        </w:rPr>
        <w:t xml:space="preserve">simulate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simulation</w:t>
      </w:r>
      <w:r>
        <w:t xml:space="preserve"> </w:t>
      </w:r>
      <w:r>
        <w:t xml:space="preserve">= play the entire World Cup once:</w:t>
      </w:r>
      <w:r>
        <w:t xml:space="preserve"> </w:t>
      </w:r>
      <w:r>
        <w:t xml:space="preserve">1. For each of the 72 group matches,</w:t>
      </w:r>
      <w:r>
        <w:t xml:space="preserve"> </w:t>
      </w:r>
      <w:r>
        <w:rPr>
          <w:i/>
          <w:iCs/>
        </w:rPr>
        <w:t xml:space="preserve">roll the dice</w:t>
      </w:r>
      <w:r>
        <w:t xml:space="preserve"> </w:t>
      </w:r>
      <w:r>
        <w:t xml:space="preserve">using its fitted goal rates to get a random but realistic scoreline.</w:t>
      </w:r>
      <w:r>
        <w:t xml:space="preserve"> </w:t>
      </w:r>
      <w:r>
        <w:t xml:space="preserve">2. Tally the group tables (points, goal difference, goals scored), apply FIFA’s tiebreakers, and rank the third-placed teams — the best 8 of 12 advance, slotted into the bracket by FIFA’s official allocation table.</w:t>
      </w:r>
      <w:r>
        <w:t xml:space="preserve"> </w:t>
      </w:r>
      <w:r>
        <w:t xml:space="preserve">3. Play all 31 knockout matches as Elo-weighted coin flips (a 70% favorite wins 70% of the time, loses 30%).</w:t>
      </w:r>
      <w:r>
        <w:t xml:space="preserve"> </w:t>
      </w:r>
      <w:r>
        <w:t xml:space="preserve">4. Record who won, who reached each round, who played whom.</w:t>
      </w:r>
    </w:p>
    <w:p>
      <w:pPr>
        <w:pStyle w:val="BodyText"/>
      </w:pPr>
      <w:r>
        <w:t xml:space="preserve">Then do that</w:t>
      </w:r>
      <w:r>
        <w:t xml:space="preserve"> </w:t>
      </w:r>
      <w:r>
        <w:rPr>
          <w:b/>
          <w:bCs/>
        </w:rPr>
        <w:t xml:space="preserve">200,000 times.</w:t>
      </w:r>
      <w:r>
        <w:t xml:space="preserve"> </w:t>
      </w:r>
      <w:r>
        <w:t xml:space="preserve">Because each run has different dice, you get a full distribution: Spain wins about 27% of the simulated tournaments, Argentina 18%, and so on — and crucially, you see</w:t>
      </w:r>
      <w:r>
        <w:t xml:space="preserve"> </w:t>
      </w:r>
      <w:r>
        <w:rPr>
          <w:i/>
          <w:iCs/>
        </w:rPr>
        <w:t xml:space="preserve">how often each team reaches each round</w:t>
      </w:r>
      <w:r>
        <w:t xml:space="preserve">, and</w:t>
      </w:r>
      <w:r>
        <w:t xml:space="preserve"> </w:t>
      </w:r>
      <w:r>
        <w:rPr>
          <w:i/>
          <w:iCs/>
        </w:rPr>
        <w:t xml:space="preserve">which matchups actually tend to happen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200,000?</w:t>
      </w:r>
      <w:r>
        <w:t xml:space="preserve"> </w:t>
      </w:r>
      <w:r>
        <w:t xml:space="preserve">Statistical precision. With that many runs, each probability is accurate to about ±0.1 percentage point — fine enough that the numbers are stable, not simulation noise.</w:t>
      </w:r>
    </w:p>
    <w:p>
      <w:r>
        <w:pict>
          <v:rect style="width:0;height:1.5pt" o:hralign="center" o:hrstd="t" o:hr="t"/>
        </w:pict>
      </w:r>
    </w:p>
    <w:bookmarkEnd w:id="29"/>
    <w:bookmarkStart w:id="30" w:name="optimize-the-bracket-slot-emergence"/>
    <w:p>
      <w:pPr>
        <w:pStyle w:val="Heading2"/>
      </w:pPr>
      <w:r>
        <w:t xml:space="preserve">5. Optimize the bracket —</w:t>
      </w:r>
      <w:r>
        <w:t xml:space="preserve"> </w:t>
      </w:r>
      <w:r>
        <w:t xml:space="preserve">“slot emergence”</w:t>
      </w:r>
    </w:p>
    <w:p>
      <w:pPr>
        <w:pStyle w:val="FirstParagraph"/>
      </w:pPr>
      <w:r>
        <w:t xml:space="preserve">This is the model’s signature idea, and the</w:t>
      </w:r>
      <w:r>
        <w:t xml:space="preserve"> </w:t>
      </w:r>
      <w:r>
        <w:rPr>
          <w:b/>
          <w:bCs/>
        </w:rPr>
        <w:t xml:space="preserve">Portugal story</w:t>
      </w:r>
      <w:r>
        <w:t xml:space="preserve"> </w:t>
      </w:r>
      <w:r>
        <w:t xml:space="preserve">explains it best.</w:t>
      </w:r>
    </w:p>
    <w:p>
      <w:pPr>
        <w:pStyle w:val="BodyText"/>
      </w:pPr>
      <w:r>
        <w:t xml:space="preserve">In a bracket pool you write</w:t>
      </w:r>
      <w:r>
        <w:t xml:space="preserve"> </w:t>
      </w:r>
      <w:r>
        <w:rPr>
          <w:i/>
          <w:iCs/>
        </w:rPr>
        <w:t xml:space="preserve">one team per slot</w:t>
      </w:r>
      <w:r>
        <w:t xml:space="preserve">. Naively you’d write the stronger team. But a knockout pick only scores if that team</w:t>
      </w:r>
      <w:r>
        <w:t xml:space="preserve"> </w:t>
      </w:r>
      <w:r>
        <w:rPr>
          <w:b/>
          <w:bCs/>
        </w:rPr>
        <w:t xml:space="preserve">actually shows up in that slot</w:t>
      </w:r>
      <w:r>
        <w:t xml:space="preserve">. And here’s the trap: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strong</w:t>
      </w:r>
      <w:r>
        <w:t xml:space="preserve"> </w:t>
      </w:r>
      <w:r>
        <w:t xml:space="preserve">team that often wins its group gets routed to</w:t>
      </w:r>
      <w:r>
        <w:t xml:space="preserve"> </w:t>
      </w:r>
      <w:r>
        <w:rPr>
          <w:b/>
          <w:bCs/>
        </w:rPr>
        <w:t xml:space="preserve">different bracket slots</w:t>
      </w:r>
      <w:r>
        <w:t xml:space="preserve"> </w:t>
      </w:r>
      <w:r>
        <w:t xml:space="preserve">depending on whether it finished 1st or 2nd. Its probability is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across slots.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weaker but predictable</w:t>
      </w:r>
      <w:r>
        <w:t xml:space="preserve"> </w:t>
      </w:r>
      <w:r>
        <w:t xml:space="preserve">team that reliably finishes 2nd lands in</w:t>
      </w:r>
      <w:r>
        <w:t xml:space="preserve"> </w:t>
      </w:r>
      <w:r>
        <w:rPr>
          <w:b/>
          <w:bCs/>
        </w:rPr>
        <w:t xml:space="preserve">one specific slot</w:t>
      </w:r>
      <w:r>
        <w:t xml:space="preserve"> </w:t>
      </w:r>
      <w:r>
        <w:t xml:space="preserve">every time. Its probability is</w:t>
      </w:r>
      <w:r>
        <w:t xml:space="preserve"> </w:t>
      </w:r>
      <w:r>
        <w:rPr>
          <w:i/>
          <w:iCs/>
        </w:rPr>
        <w:t xml:space="preserve">concentrated</w:t>
      </w:r>
      <w:r>
        <w:t xml:space="preserve">.</w:t>
      </w:r>
    </w:p>
    <w:p>
      <w:pPr>
        <w:pStyle w:val="FirstParagraph"/>
      </w:pPr>
      <w:r>
        <w:t xml:space="preserve">When you can only name one team per slot, the concentrated team is often the better bet — even if it’s weaker — because it’s more likely to be standing there when the match is played.</w:t>
      </w:r>
    </w:p>
    <w:p>
      <w:pPr>
        <w:pStyle w:val="BodyText"/>
      </w:pPr>
      <w:r>
        <w:t xml:space="preserve">So instead of</w:t>
      </w:r>
      <w:r>
        <w:t xml:space="preserve"> </w:t>
      </w:r>
      <w:r>
        <w:t xml:space="preserve">“who’s stronger?”</w:t>
      </w:r>
      <w:r>
        <w:t xml:space="preserve">, we ask the simulation:</w:t>
      </w:r>
      <w:r>
        <w:t xml:space="preserve"> </w:t>
      </w:r>
      <w:r>
        <w:rPr>
          <w:b/>
          <w:bCs/>
        </w:rPr>
        <w:t xml:space="preserve">“which team most often occupies AND wins this exact slot?”</w:t>
      </w:r>
      <w:r>
        <w:t xml:space="preserve"> </w:t>
      </w:r>
      <w:r>
        <w:t xml:space="preserve">That number is</w:t>
      </w:r>
      <w:r>
        <w:t xml:space="preserve"> </w:t>
      </w:r>
      <w:r>
        <w:rPr>
          <w:i/>
          <w:iCs/>
        </w:rPr>
        <w:t xml:space="preserve">slot emergence</w:t>
      </w:r>
      <w:r>
        <w:t xml:space="preserve">, and we pick the team that maximizes it. This single criterion overturned three of our naive picks — and it’s why your sheet has some calls (like Portugal running deep) that look surprising but are actually higher-scoring.</w:t>
      </w:r>
    </w:p>
    <w:p>
      <w:r>
        <w:pict>
          <v:rect style="width:0;height:1.5pt" o:hralign="center" o:hrstd="t" o:hr="t"/>
        </w:pict>
      </w:r>
    </w:p>
    <w:bookmarkEnd w:id="30"/>
    <w:bookmarkStart w:id="31" w:name="X3a7c57177b9b6644cecf087ac29aad7cac631af"/>
    <w:p>
      <w:pPr>
        <w:pStyle w:val="Heading2"/>
      </w:pPr>
      <w:r>
        <w:t xml:space="preserve">6. Check the risk — the machine learning layer</w:t>
      </w:r>
    </w:p>
    <w:p>
      <w:pPr>
        <w:pStyle w:val="FirstParagraph"/>
      </w:pPr>
      <w:r>
        <w:t xml:space="preserve">The simulation gives us 200,000 labeled examples (</w:t>
      </w:r>
      <w:r>
        <w:t xml:space="preserve">“these group results → this many of Avraa’s picks were right”</w:t>
      </w:r>
      <w:r>
        <w:t xml:space="preserve">). That’s a dataset, so we can ask a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(two standard machine-learning models):</w:t>
      </w:r>
      <w:r>
        <w:t xml:space="preserve"> </w:t>
      </w:r>
      <w:r>
        <w:rPr>
          <w:i/>
          <w:iCs/>
        </w:rPr>
        <w:t xml:space="preserve">which group results matter most to the final score?</w:t>
      </w:r>
    </w:p>
    <w:p>
      <w:pPr>
        <w:pStyle w:val="BodyText"/>
      </w:pPr>
      <w:r>
        <w:t xml:space="preserve">Two honest findings came out: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Group-stage correctness explains only ~50% of your bracket score.</w:t>
      </w:r>
      <w:r>
        <w:t xml:space="preserve"> </w:t>
      </w:r>
      <w:r>
        <w:t xml:space="preserve">The other half is pure knockout luck that no forecast can control. Both models agree on this — it’s not a fluke of one method.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Not all group calls are equal.</w:t>
      </w:r>
      <w:r>
        <w:t xml:space="preserve"> </w:t>
      </w:r>
      <w:r>
        <w:t xml:space="preserve">Getting</w:t>
      </w:r>
      <w:r>
        <w:t xml:space="preserve"> </w:t>
      </w:r>
      <w:r>
        <w:rPr>
          <w:b/>
          <w:bCs/>
        </w:rPr>
        <w:t xml:space="preserve">Spain out of Group H</w:t>
      </w:r>
      <w:r>
        <w:t xml:space="preserve"> </w:t>
      </w:r>
      <w:r>
        <w:t xml:space="preserve">right is the single highest-leverage call — worth about</w:t>
      </w:r>
      <w:r>
        <w:t xml:space="preserve"> </w:t>
      </w:r>
      <w:r>
        <w:rPr>
          <w:b/>
          <w:bCs/>
        </w:rPr>
        <w:t xml:space="preserve">+0.8 points</w:t>
      </w:r>
      <w:r>
        <w:t xml:space="preserve"> </w:t>
      </w:r>
      <w:r>
        <w:t xml:space="preserve">on average, roughly three times the weakest group. Why? Because Spain’s predicted path runs six matches deep, so if Spain</w:t>
      </w:r>
      <w:r>
        <w:t xml:space="preserve"> </w:t>
      </w:r>
      <w:r>
        <w:rPr>
          <w:i/>
          <w:iCs/>
        </w:rPr>
        <w:t xml:space="preserve">doesn’t</w:t>
      </w:r>
      <w:r>
        <w:t xml:space="preserve"> </w:t>
      </w:r>
      <w:r>
        <w:t xml:space="preserve">top its group, your whole champion run collapses. The lesson: protect that one call above all.</w:t>
      </w:r>
    </w:p>
    <w:p>
      <w:pPr>
        <w:pStyle w:val="FirstParagraph"/>
      </w:pPr>
      <w:r>
        <w:t xml:space="preserve">(This ML layer is a</w:t>
      </w:r>
      <w:r>
        <w:t xml:space="preserve"> </w:t>
      </w:r>
      <w:r>
        <w:rPr>
          <w:i/>
          <w:iCs/>
        </w:rPr>
        <w:t xml:space="preserve">sensitivity analysis of our own simulation</w:t>
      </w:r>
      <w:r>
        <w:t xml:space="preserve"> </w:t>
      </w:r>
      <w:r>
        <w:t xml:space="preserve">— it tells us where our model’s risk is concentrated. It’s not an independent second forecast.)</w:t>
      </w:r>
    </w:p>
    <w:p>
      <w:r>
        <w:pict>
          <v:rect style="width:0;height:1.5pt" o:hralign="center" o:hrstd="t" o:hr="t"/>
        </w:pict>
      </w:r>
    </w:p>
    <w:bookmarkEnd w:id="31"/>
    <w:bookmarkStart w:id="32" w:name="putting-it-together-the-output"/>
    <w:p>
      <w:pPr>
        <w:pStyle w:val="Heading2"/>
      </w:pPr>
      <w:r>
        <w:t xml:space="preserve">7. Putting it together — the output</w:t>
      </w:r>
    </w:p>
    <w:p>
      <w:pPr>
        <w:pStyle w:val="FirstParagraph"/>
      </w:pPr>
      <w:r>
        <w:t xml:space="preserve">After all six stages, the model produces: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104 match predictions</w:t>
      </w:r>
      <w:r>
        <w:t xml:space="preserve"> </w:t>
      </w:r>
      <w:r>
        <w:t xml:space="preserve">— the exact scores filled into your submission sheet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Champion: Spain (27%)</w:t>
      </w:r>
      <w:r>
        <w:t xml:space="preserve">, beating Argentina 1-0 in the final, France third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full survival table</w:t>
      </w:r>
      <w:r>
        <w:t xml:space="preserve"> </w:t>
      </w:r>
      <w:r>
        <w:t xml:space="preserve">— every team’s odds of reaching each round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ranked risk list</w:t>
      </w:r>
      <w:r>
        <w:t xml:space="preserve"> </w:t>
      </w:r>
      <w:r>
        <w:t xml:space="preserve">— which results to watch, which calls to protect</w:t>
      </w:r>
    </w:p>
    <w:p>
      <w:pPr>
        <w:pStyle w:val="FirstParagraph"/>
      </w:pPr>
      <w:r>
        <w:t xml:space="preserve">And the honest headline that keeps it all in perspective:</w:t>
      </w:r>
      <w:r>
        <w:t xml:space="preserve"> </w:t>
      </w:r>
      <w:r>
        <w:rPr>
          <w:b/>
          <w:bCs/>
        </w:rPr>
        <w:t xml:space="preserve">even the most likely champion loses 73% of simulated tournaments.</w:t>
      </w:r>
      <w:r>
        <w:t xml:space="preserve"> </w:t>
      </w:r>
      <w:r>
        <w:t xml:space="preserve">The model doesn’t predict the future — it finds the single set of guesses that, on average, scores the most points. Math gets you the edge; luck still decides the night.</w:t>
      </w:r>
    </w:p>
    <w:p>
      <w:r>
        <w:pict>
          <v:rect style="width:0;height:1.5pt" o:hralign="center" o:hrstd="t" o:hr="t"/>
        </w:pict>
      </w:r>
    </w:p>
    <w:bookmarkEnd w:id="32"/>
    <w:bookmarkStart w:id="33" w:name="one-paragraph-summary"/>
    <w:p>
      <w:pPr>
        <w:pStyle w:val="Heading2"/>
      </w:pPr>
      <w:r>
        <w:t xml:space="preserve">One-paragraph summary</w:t>
      </w:r>
    </w:p>
    <w:p>
      <w:pPr>
        <w:pStyle w:val="FirstParagraph"/>
      </w:pPr>
      <w:r>
        <w:t xml:space="preserve">We start from the betting market (the best public guess), clean it into fair probabilities, and turn each match into its most-likely-winning scoreline with a Poisson goal model. We fill knockout gaps with chess-style Elo ratings, then play the entire tournament 200,000 times to see the full range of what could happen. We pick each bracket slot by</w:t>
      </w:r>
      <w:r>
        <w:t xml:space="preserve"> </w:t>
      </w:r>
      <w:r>
        <w:rPr>
          <w:i/>
          <w:iCs/>
        </w:rPr>
        <w:t xml:space="preserve">who most often actually wins that slot</w:t>
      </w:r>
      <w:r>
        <w:t xml:space="preserve">, not just who’s stronger, and finally use machine learning to find where the biggest risks hide. The result is a complete, points-optimized sheet — and a clear-eyed sense of how much is skill and how much is luck.</w:t>
      </w:r>
    </w:p>
    <w:p>
      <w:pPr>
        <w:pStyle w:val="BodyText"/>
      </w:pPr>
      <w:r>
        <w:rPr>
          <w:i/>
          <w:iCs/>
        </w:rPr>
        <w:t xml:space="preserve">— Built by Avralt-Od Purevjav, June 7, 2026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2026-06-08T07:39:10Z</dcterms:created>
  <dcterms:modified xsi:type="dcterms:W3CDTF">2026-06-08T07:39:10Z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