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Supporting</w:t>
      </w:r>
      <w:r>
        <w:t xml:space="preserve"> </w:t>
      </w:r>
      <w:r>
        <w:t xml:space="preserve">information</w:t>
      </w:r>
    </w:p>
    <w:p>
      <w:pPr>
        <w:pStyle w:val="FirstParagraph"/>
      </w:pPr>
      <w:r>
        <w:rPr>
          <w:bCs/>
          <w:b/>
        </w:rPr>
        <w:t xml:space="preserve">Table S1. Minimum reporting standard for studies using the DAC profile.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30"/>
        <w:gridCol w:w="628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information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 (t0)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used as t0; issuing institution; rule for choosing it; alternative thresholds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whose response is profiled; how acts of other levels are coded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counts as a firm commitment; what is excluded (inquiries, options, single-mission purchases)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of the distribution system at which delivery is recorded, identical across cases; secondary end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each delivery is linked to the order it fulfils; paired and unpaired intervals reported separately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each good, the number of paired orders and the spread of their order dates; which explanations each test can eliminate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Inclusion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 for each further sublayer: binding act, dedicated funding, counter-measure in either direction, reversal, institutionalisation, persistence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event with date, sublayer, description, source and source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Imprecise and contested 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Bounds and windows with their source wording; each reading of contested evidence; results under each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 and censored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Reported separately from each other and from bounded values; none imputed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Sources searched, date of search, documents that could not be accessed, reason for case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coders; agreement; whether rules were fixed before coding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files and code public, with a persistent identifier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Supporting information</dc:title>
  <dc:creator/>
  <cp:keywords/>
  <dcterms:created xsi:type="dcterms:W3CDTF">2026-10-20T12:25:53Z</dcterms:created>
  <dcterms:modified xsi:type="dcterms:W3CDTF">2026-10-20T12:25:53Z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