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276"/>
        <w:jc w:val="left"/>
      </w:pPr>
      <w:r>
        <w:rPr>
          <w:b/>
          <w:bCs/>
          <w:sz w:val="32"/>
          <w:szCs w:val="32"/>
        </w:rPr>
        <w:t xml:space="preserve">The diagnosticity condition: a dilution theorem for persistence-based evidence</w:t>
      </w:r>
    </w:p>
    <w:p>
      <w:pPr>
        <w:pStyle w:val="Heading1"/>
        <w:keepNext/>
        <w:spacing w:after="160" w:before="360"/>
      </w:pPr>
      <w:r>
        <w:rPr>
          <w:b/>
          <w:bCs/>
          <w:sz w:val="28"/>
          <w:szCs w:val="28"/>
        </w:rPr>
        <w:t xml:space="preserve">Abstract</w:t>
      </w:r>
    </w:p>
    <w:p>
      <w:pPr>
        <w:spacing w:after="160" w:line="360"/>
        <w:jc w:val="left"/>
      </w:pPr>
      <w:r>
        <w:t xml:space="preserve">Robustness checks such as specification curve analysis, multiverse analysis and vibration-of-effects analysis rest on a persistence logic: a result that survives a wide battery of reasonable analytical variations is more likely to be genuine. This paper shows that persistence does not by itself discriminate a real effect from a specific rival explanation. A confound that is correlated across the whole battery survives it exactly as a real effect would. In a synthetic worked example, an eight-transformation persistence score separates a genuine effect from such a confound at chance level (exact AUC = 0.500). The paper states the condition under which a transformation adds discriminating power, diagnosticity: its survival probability must differ between the hypothesis under test and the named rival. The central result is an exact theorem, derived from the Poisson-binomial distribution, for the unweighted-averaging rule that persistence-based checks ordinarily use. Averaging dilutes a diagnostic transformation's contribution by a closed-form factor γ, which generalizes the classical 1/√N rule to channels of unequal variance (γ = 0.288 in the example). A diagnostic transformation used alone separates the two cases at AUC = 0.738 (exact), but folded into the flat average it yields only AUC = 0.550. A causal-graphical criterion for recognizing diagnostic transformations before outcomes are seen is offered as an operational extension. The demonstration is entirely synthetic and reproducible; it establishes a possibility, not a prevalence, and no real dataset is analysed.</w:t>
      </w:r>
    </w:p>
    <w:p>
      <w:pPr>
        <w:spacing w:after="160" w:line="360"/>
        <w:jc w:val="left"/>
      </w:pPr>
      <w:r>
        <w:rPr>
          <w:b/>
          <w:bCs/>
        </w:rPr>
        <w:t xml:space="preserve">Keywords:</w:t>
      </w:r>
      <w:r>
        <w:t xml:space="preserve"> robustness analysis; diagnosticity; specification curve analysis; multiverse analysis; aggregation theorem; confirmation theory</w:t>
      </w:r>
    </w:p>
    <w:p>
      <w:pPr>
        <w:pStyle w:val="Heading1"/>
        <w:keepNext/>
        <w:spacing w:after="160" w:before="360"/>
      </w:pPr>
      <w:r>
        <w:rPr>
          <w:b/>
          <w:bCs/>
          <w:sz w:val="28"/>
          <w:szCs w:val="28"/>
        </w:rPr>
        <w:t xml:space="preserve">1 Introduction</w:t>
      </w:r>
    </w:p>
    <w:p>
      <w:pPr>
        <w:spacing w:after="160" w:line="360"/>
        <w:jc w:val="left"/>
      </w:pPr>
      <w:r>
        <w:t xml:space="preserve">A finding that survives a wide range of reasonable analytical choices is treated, across empirical science, as more credible than one that depends on a single specification. This intuition motivates an entire family of methods — vibration-of-effects analysis, specification curve analysis, multiverse analysis — that re-run an analysis across the space of defensible choices and report how the result holds up. The implicit logic is persistence logic: a result that keeps appearing is harder to dismiss as an artifact of any one choice.</w:t>
      </w:r>
    </w:p>
    <w:p>
      <w:pPr>
        <w:spacing w:after="160" w:line="360"/>
        <w:jc w:val="left"/>
      </w:pPr>
      <w:r>
        <w:t xml:space="preserve">This paper asks a narrow question about that logic: under what conditions does persistence across a battery of analytical or observational variations actually discriminate a genuine effect from a specific, named rival explanation — as opposed to merely discriminating a genuine effect from pure noise? The two questions are not the same, and the difference matters. A battery of variations can fail to discriminate a real effect from a confound for a simple, structural reason: if the confound is correlated across every member of the battery, it survives the battery exactly as a real effect would, and the battery's own internal agreement provides no basis for telling the two apart.</w:t>
      </w:r>
    </w:p>
    <w:p>
      <w:pPr>
        <w:spacing w:after="160" w:line="360"/>
        <w:jc w:val="left"/>
      </w:pPr>
      <w:r>
        <w:t xml:space="preserve">This paper demonstrates that failure directly, with a reproducible synthetic worked example, and then proves it analytically, rather than resting on simulation or philosophical assertion alone. It derives the specific, falsifiable condition — diagnosticity — under which a transformation does carry discriminating power against a named rival; proves, by an exact combinatorial argument, exactly how much of that power survives when the transformation is combined with others by the aggregation rule persistence-based checks ordinarily use; and states what a robustness check would have to do differently to recover the discriminating power that a flat, undifferentiated persistence average cannot supply.</w:t>
      </w:r>
    </w:p>
    <w:p>
      <w:pPr>
        <w:spacing w:after="160" w:line="360"/>
        <w:jc w:val="left"/>
      </w:pPr>
      <w:r>
        <w:t xml:space="preserve">The contribution is deliberately narrow, and it is worth being precise about what, exactly, is new. The </w:t>
      </w:r>
      <w:r>
        <w:rPr>
          <w:i/>
          <w:iCs/>
        </w:rPr>
        <w:t xml:space="preserve">definition</w:t>
      </w:r>
      <w:r>
        <w:t xml:space="preserve"> of diagnosticity — that an item of evidence counts against a rival hypothesis only if it behaves differently under that rival than under the hypothesis of interest — is not new; it is a direct descendant of likelihood-ratio reasoning in confirmation theory and of the analysis of competing hypotheses in intelligence tradecraft (Section 2). What is new is narrower and more concrete: a demonstration that this condition — even where domain experts informally choose transformations precisely because they believe them to discriminate structure from a suspected confound — is rarely formalized, rarely quantified, and rarely made an explicit, checkable step in current persistence-based robustness-analysis practice; and an exact theorem, not merely an empirical illustration, for the specific aggregation rule — unweighted averaging — that practice actually uses. The paper isolates one specific, previously unstated requirement and shows, with a derivation rather than an assertion, exactly what goes wrong when that requirement is left informal and unchecked rather than made explicit — and exactly how much is lost, and why, when it is only partly satisfied.</w:t>
      </w:r>
    </w:p>
    <w:p>
      <w:pPr>
        <w:pStyle w:val="Heading1"/>
        <w:keepNext/>
        <w:spacing w:after="160" w:before="360"/>
      </w:pPr>
      <w:r>
        <w:rPr>
          <w:b/>
          <w:bCs/>
          <w:sz w:val="28"/>
          <w:szCs w:val="28"/>
        </w:rPr>
        <w:t xml:space="preserve">2 Related work</w:t>
      </w:r>
    </w:p>
    <w:p>
      <w:pPr>
        <w:spacing w:after="160" w:line="360"/>
        <w:jc w:val="left"/>
      </w:pPr>
      <w:r>
        <w:t xml:space="preserve">Four lines of existing work bear directly on this question, and the present paper is best read as identifying a gap between the first and the other three, together with a gap the other three themselves leave open.</w:t>
      </w:r>
    </w:p>
    <w:p>
      <w:pPr>
        <w:spacing w:after="160" w:line="360"/>
        <w:jc w:val="left"/>
      </w:pPr>
      <w:r>
        <w:t xml:space="preserve">The first is the meta-scientific literature on analytical robustness. Patel, Burford, and Ioannidis (2015) introduced "vibration of effects" to quantify how far an association's estimated strength and significance shift across the space of reasonable model specifications. Young and Holsteen (2017) formalized this as a computational framework for exhaustively enumerating a model space and reporting the resulting distribution of estimates. Simonsohn, Simmons, and Nelson (2020) generalized the same logic into specification curve analysis, running an analysis across the full space of defensible analytical decisions. Steegen, Tuerlinckx, Gelman, and Vanpaemel (2016) proposed multiverse analysis as a reporting standard, presenting results across the full set of reasonable data-processing and modeling choices rather than a single selected specification. None of these methods states a condition under which a given specification is diagnostic with respect to a specific rival explanation, as opposed to being merely one more point in the reported distribution; each instead reports the full empirical spread and leaves the question of which variations would actually discriminate a real effect from a named confound to the reader's judgment. This is the gap the present paper addresses directly.</w:t>
      </w:r>
    </w:p>
    <w:p>
      <w:pPr>
        <w:spacing w:after="160" w:line="360"/>
        <w:jc w:val="left"/>
      </w:pPr>
      <w:r>
        <w:t xml:space="preserve">The second is a tradition in philosophy of science that treats robustness across independently derived results as grounds for confidence in a shared conclusion. Wimsatt (1981) characterized robustness analysis as the use of multiple independent means of determination to certify a result as real rather than an artifact of any single derivation, explicitly cautioning that robustness under varied derivation does not by itself certify the assumptions common to all the derivations used. Woodward (2003) developed a closely related invariance criterion for causal explanation, requiring that an explanatorily relevant relationship hold not under variation in general but specifically under the range of interventions relevant to the question being asked. Both anticipate, in qualitative terms, the condition this paper formalizes: Wimsatt's observation that shared assumptions are invisible to robustness analysis is, in the terms used here, the claim that a transformation set sharing a blind spot with respect to some rival explanation is non-diagnostic with respect to that rival regardless of how many such transformations are used; Woodward's requirement that invariance hold under the relevant interventions is, in the terms used here, a diagnosticity requirement rather than a general persistence requirement. Table 1 makes the comparison explicit.</w:t>
      </w:r>
    </w:p>
    <w:p>
      <w:pPr>
        <w:keepNext/>
        <w:spacing w:after="100" w:before="200" w:line="276"/>
        <w:jc w:val="left"/>
      </w:pPr>
      <w:r>
        <w:rPr>
          <w:b/>
          <w:bCs/>
          <w:sz w:val="20"/>
          <w:szCs w:val="20"/>
        </w:rPr>
        <w:t xml:space="preserve">Table 1</w:t>
      </w:r>
      <w:r>
        <w:rPr>
          <w:sz w:val="20"/>
          <w:szCs w:val="20"/>
        </w:rPr>
        <w:t xml:space="preserve"> What Wimsatt's robustness framework states qualitatively, and what the present paper adds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spacing w:after="0" w:line="252"/>
              <w:jc w:val="left"/>
            </w:pPr>
            <w:r>
              <w:rPr>
                <w:b/>
                <w:bCs/>
                <w:sz w:val="20"/>
                <w:szCs w:val="20"/>
              </w:rPr>
              <w:t xml:space="preserve"/>
            </w:r>
          </w:p>
        </w:tc>
        <w:tc>
          <w:tcPr>
            <w:tcW w:type="pct" w:w="3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spacing w:after="0" w:line="252"/>
              <w:jc w:val="left"/>
            </w:pPr>
            <w:r>
              <w:rPr>
                <w:b/>
                <w:bCs/>
                <w:sz w:val="20"/>
                <w:szCs w:val="20"/>
              </w:rPr>
              <w:t xml:space="preserve">Wimsatt (1981)</w:t>
            </w:r>
          </w:p>
        </w:tc>
        <w:tc>
          <w:tcPr>
            <w:tcW w:type="pct" w:w="44%"/>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spacing w:after="0" w:line="252"/>
              <w:jc w:val="left"/>
            </w:pPr>
            <w:r>
              <w:rPr>
                <w:b/>
                <w:bCs/>
                <w:sz w:val="20"/>
                <w:szCs w:val="20"/>
              </w:rPr>
              <w:t xml:space="preserve">The diagnosticity condition (this paper)</w:t>
            </w:r>
          </w:p>
        </w:tc>
      </w:tr>
      <w:tr>
        <w:trPr>
          <w:cantSplit/>
        </w:trPr>
        <w:tc>
          <w:tcPr>
            <w:tcW w:type="pct" w:w="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Form</w:t>
            </w:r>
          </w:p>
        </w:tc>
        <w:tc>
          <w:tcPr>
            <w:tcW w:type="pct" w:w="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Qualitative framework: multiple independent means of determination</w:t>
            </w:r>
          </w:p>
        </w:tc>
        <w:tc>
          <w:tcPr>
            <w:tcW w:type="pct" w:w="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Quantitative criterion: p(Ti ∣ H1) ≠ p(Ti ∣ H2)</w:t>
            </w:r>
          </w:p>
        </w:tc>
      </w:tr>
      <w:tr>
        <w:trPr>
          <w:cantSplit/>
        </w:trPr>
        <w:tc>
          <w:tcPr>
            <w:tcW w:type="pct" w:w="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What it warns about</w:t>
            </w:r>
          </w:p>
        </w:tc>
        <w:tc>
          <w:tcPr>
            <w:tcW w:type="pct" w:w="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Shared assumptions across derivations are invisible to robustness analysis</w:t>
            </w:r>
          </w:p>
        </w:tc>
        <w:tc>
          <w:tcPr>
            <w:tcW w:type="pct" w:w="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Specifies exactly which transformations are blind to a </w:t>
            </w:r>
            <w:r>
              <w:rPr>
                <w:b w:val="false"/>
                <w:bCs w:val="false"/>
                <w:i/>
                <w:iCs/>
                <w:sz w:val="20"/>
                <w:szCs w:val="20"/>
              </w:rPr>
              <w:t xml:space="preserve">named</w:t>
            </w:r>
            <w:r>
              <w:rPr>
                <w:b w:val="false"/>
                <w:bCs w:val="false"/>
                <w:sz w:val="20"/>
                <w:szCs w:val="20"/>
              </w:rPr>
              <w:t xml:space="preserve"> rival, and derives the consequence numerically</w:t>
            </w:r>
          </w:p>
        </w:tc>
      </w:tr>
      <w:tr>
        <w:trPr>
          <w:cantSplit/>
        </w:trPr>
        <w:tc>
          <w:tcPr>
            <w:tcW w:type="pct" w:w="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Comparison structure</w:t>
            </w:r>
          </w:p>
        </w:tc>
        <w:tc>
          <w:tcPr>
            <w:tcW w:type="pct" w:w="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Robust versus not robust (one axis)</w:t>
            </w:r>
          </w:p>
        </w:tc>
        <w:tc>
          <w:tcPr>
            <w:tcW w:type="pct" w:w="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H1 versus a specific, named H2 (always relative to a stated rival)</w:t>
            </w:r>
          </w:p>
        </w:tc>
      </w:tr>
      <w:tr>
        <w:trPr>
          <w:cantSplit/>
        </w:trPr>
        <w:tc>
          <w:tcPr>
            <w:tcW w:type="pct" w:w="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Aggregation</w:t>
            </w:r>
          </w:p>
        </w:tc>
        <w:tc>
          <w:tcPr>
            <w:tcW w:type="pct" w:w="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Not addressed</w:t>
            </w:r>
          </w:p>
        </w:tc>
        <w:tc>
          <w:tcPr>
            <w:tcW w:type="pct" w:w="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Proved exactly (Section 5.5): unweighted combination dilutes a diagnostic channel's contribution by a derivable factor γ</w:t>
            </w:r>
          </w:p>
        </w:tc>
      </w:tr>
      <w:tr>
        <w:trPr>
          <w:cantSplit/>
        </w:trPr>
        <w:tc>
          <w:tcPr>
            <w:tcW w:type="pct" w:w="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Operational status</w:t>
            </w:r>
          </w:p>
        </w:tc>
        <w:tc>
          <w:tcPr>
            <w:tcW w:type="pct" w:w="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Not computable without a worked case</w:t>
            </w:r>
          </w:p>
        </w:tc>
        <w:tc>
          <w:tcPr>
            <w:tcW w:type="pct" w:w="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Computable from stated survival probabilities; demonstrated numerically and derived exactly for the unweighted-average aggregation rule</w:t>
            </w:r>
          </w:p>
        </w:tc>
      </w:tr>
    </w:tbl>
    <w:p>
      <w:pPr>
        <w:spacing w:after="200"/>
      </w:pPr>
    </w:p>
    <w:p>
      <w:pPr>
        <w:spacing w:after="160" w:line="360"/>
        <w:jc w:val="left"/>
      </w:pPr>
      <w:r>
        <w:t xml:space="preserve">Neither Wimsatt nor Woodward operationalizes this as a computable quantity, and neither derives an aggregation consequence; this is the specific logical step neither author takes, as distinct from the broader observation — which both do make — that shared blind spots undermine robustness.</w:t>
      </w:r>
    </w:p>
    <w:p>
      <w:pPr>
        <w:spacing w:after="160" w:line="360"/>
        <w:jc w:val="left"/>
      </w:pPr>
      <w:r>
        <w:t xml:space="preserve">The third, and most directly relevant, is confirmation theory's treatment of diagnostic and discriminating evidence. Mayo's (1996) severe-testing account of inference requires that a test have a high probability of detecting an error if one is present and a low probability of passing a claim that is false — a requirement framed, like the present paper's, in terms of differential behavior across a claim and its potential error rather than behavior under the claim alone. Salmon (1984) argued that statistical relevance, not mere correlation with an outcome, is what makes a factor explanatorily important, a distinction that likewise turns on differential behavior across alternatives rather than fit with any single one. Lipton (2004) analyzed inference to the best explanation as inference to the explanation that would, if true, explain the evidence better than its rivals would — again a comparative, not an absolute, criterion. Heuer's (1999) analysis of competing hypotheses in intelligence analysis makes the comparative requirement explicit and operational: an item of evidence discriminates between two hypotheses only if it is more consistent with one than the other, and evidence consistent with every hypothesis under consideration, however large in volume, contributes nothing to discriminating between them. This is the same structure as likelihood-ratio diagnosticity in Bayesian confirmation theory: a transformation's evidential value against a specific rival depends on the difference in its survival probability under the two hypotheses, not on its survival probability under the hypothesis of interest alone.</w:t>
      </w:r>
    </w:p>
    <w:p>
      <w:pPr>
        <w:spacing w:after="160" w:line="360"/>
        <w:jc w:val="left"/>
      </w:pPr>
      <w:r>
        <w:t xml:space="preserve">None of these four traditions, however, states the condition in the specific form a persistence-based robustness check needs: a property of a transformation set, checkable in principle before data are collected, that determines whether an aggregate persistence score can discriminate a hypothesis of interest from a specific, named rival, together with an account of how that discriminating power survives — or fails to survive — the act of combining transformations into a single score. The diagnosticity </w:t>
      </w:r>
      <w:r>
        <w:rPr>
          <w:i/>
          <w:iCs/>
        </w:rPr>
        <w:t xml:space="preserve">definition</w:t>
      </w:r>
      <w:r>
        <w:t xml:space="preserve"> used here is not new; it is a restatement, for this specific application, of likelihood-ratio diagnosticity. What is new is narrower: showing that current robustness-analysis practice (the first paragraph above) rarely formalizes, quantifies, or makes this condition an explicit, checkable step — a claim about formalization, not about whether practitioners ever reason informally in diagnosticity's direction, since they plausibly sometimes do — and proving — not merely observing in one simulation — what happens to a diagnostic transformation's contribution under that same unweighted-averaging rule. Section 5.5 supplies that theorem.</w:t>
      </w:r>
    </w:p>
    <w:p>
      <w:pPr>
        <w:pStyle w:val="Heading1"/>
        <w:keepNext/>
        <w:spacing w:after="160" w:before="360"/>
      </w:pPr>
      <w:r>
        <w:rPr>
          <w:b/>
          <w:bCs/>
          <w:sz w:val="28"/>
          <w:szCs w:val="28"/>
        </w:rPr>
        <w:t xml:space="preserve">3 The Invariance Score and its statistical framework</w:t>
      </w:r>
    </w:p>
    <w:p>
      <w:pPr>
        <w:spacing w:after="160" w:line="360"/>
        <w:jc w:val="left"/>
      </w:pPr>
      <w:r>
        <w:t xml:space="preserve">To state the diagnosticity condition precisely, a minimal formal vocabulary for persistence-based robustness checking is needed. Let T = {T1, ..., TN} be a set of N independent transformations applicable to a given observational or analytical setup — differing instruments, differing analytical specifications, differing observers, differing scales, or differing measurement times are all admissible examples. For a candidate pattern and a transformation Ti, define a persistence indicator P(Ti) ∈ {0, 1}: P(Ti) = 1 if the pattern survives transformation Ti by a pre-specified detection criterion, and P(Ti) = 0 otherwise. The </w:t>
      </w:r>
      <w:r>
        <w:rPr>
          <w:b/>
          <w:bCs/>
        </w:rPr>
        <w:t xml:space="preserve">Invariance Score</w:t>
      </w:r>
      <w:r>
        <w:t xml:space="preserve"> is then</w:t>
      </w:r>
    </w:p>
    <w:p>
      <w:pPr>
        <w:spacing w:after="160" w:line="360"/>
        <w:jc w:val="left"/>
      </w:pPr>
      <w:r>
        <w:rPr>
          <w:b/>
          <w:bCs/>
        </w:rPr>
        <w:t xml:space="preserve">I = Σ P(Ti) / N.</w:t>
      </w:r>
    </w:p>
    <w:p>
      <w:pPr>
        <w:spacing w:after="160" w:line="360"/>
        <w:jc w:val="left"/>
      </w:pPr>
      <w:r>
        <w:t xml:space="preserve">By construction, I = 0 indicates complete instability and I = 1 indicates complete persistence across the transformation set tested; intermediate values indicate partial robustness. This is the same quantity vibration-of-effects, specification-curve, and multiverse analyses compute implicitly when they report what fraction of specifications support a given conclusion.</w:t>
      </w:r>
    </w:p>
    <w:p>
      <w:pPr>
        <w:spacing w:after="160" w:line="360"/>
        <w:jc w:val="left"/>
      </w:pPr>
      <w:r>
        <w:t xml:space="preserve">A descriptive score alone does not indicate whether an observed I exceeds what chance would produce. </w:t>
      </w:r>
      <w:r>
        <w:rPr>
          <w:b/>
          <w:bCs/>
        </w:rPr>
        <w:t xml:space="preserve">Null hypothesis (H0).</w:t>
      </w:r>
      <w:r>
        <w:t xml:space="preserve"> Observed persistence arises entirely from random processes, so that Iobserved ≈ Inull. </w:t>
      </w:r>
      <w:r>
        <w:rPr>
          <w:b/>
          <w:bCs/>
        </w:rPr>
        <w:t xml:space="preserve">Alternative hypothesis (H1).</w:t>
      </w:r>
      <w:r>
        <w:t xml:space="preserve"> Observed persistence exceeds the expectation generated by an appropriate null model: Iobserved &gt; Inull. A null distribution Inull is constructed by applying the identical transformation-and-detection procedure to randomized surrogates that preserve whatever structure is relevant to the domain, and the </w:t>
      </w:r>
      <w:r>
        <w:rPr>
          <w:b/>
          <w:bCs/>
        </w:rPr>
        <w:t xml:space="preserve">standardized score</w:t>
      </w:r>
    </w:p>
    <w:p>
      <w:pPr>
        <w:spacing w:after="160" w:line="360"/>
        <w:jc w:val="left"/>
      </w:pPr>
      <w:r>
        <w:rPr>
          <w:b/>
          <w:bCs/>
        </w:rPr>
        <w:t xml:space="preserve">ZI = (Iobserved − µnull) / σnull</w:t>
      </w:r>
    </w:p>
    <w:p>
      <w:pPr>
        <w:spacing w:after="160" w:line="360"/>
        <w:jc w:val="left"/>
      </w:pPr>
      <w:r>
        <w:t xml:space="preserve">gives a null-calibrated measure of how unusual the observed persistence is, with an associated one-sided p-value P(I ≥ Iobserved | H0) estimable from the surrogate distribution.</w:t>
      </w:r>
    </w:p>
    <w:p>
      <w:pPr>
        <w:spacing w:after="160" w:line="360"/>
        <w:jc w:val="left"/>
      </w:pPr>
      <w:r>
        <w:t xml:space="preserve">This machinery answers one question well: whether a candidate pattern persists more than pure noise would. Section 4 demonstrates that it does. Section 5 then asks a harder question this machinery does not automatically answer: whether persistence, computed this way, discriminates a genuine pattern from a </w:t>
      </w:r>
      <w:r>
        <w:rPr>
          <w:i/>
          <w:iCs/>
        </w:rPr>
        <w:t xml:space="preserve">specific, named rival</w:t>
      </w:r>
      <w:r>
        <w:t xml:space="preserve"> that is not pure noise — a confound, an artifact, a shared systematic bias — and shows exactly where the answer is no, exactly how much is lost when the answer is only partly yes, and why.</w:t>
      </w:r>
    </w:p>
    <w:p>
      <w:pPr>
        <w:pStyle w:val="Heading1"/>
        <w:keepNext/>
        <w:spacing w:after="160" w:before="360"/>
      </w:pPr>
      <w:r>
        <w:rPr>
          <w:b/>
          <w:bCs/>
          <w:sz w:val="28"/>
          <w:szCs w:val="28"/>
        </w:rPr>
        <w:t xml:space="preserve">4 Baseline demonstration: persistence against noise</w:t>
      </w:r>
    </w:p>
    <w:p>
      <w:pPr>
        <w:spacing w:after="160" w:line="360"/>
        <w:jc w:val="left"/>
      </w:pPr>
      <w:r>
        <w:t xml:space="preserve">Before asking whether persistence discriminates a real effect from a rival explanation, it is worth confirming that the Invariance Score discriminates a real effect from pure noise at all, since this is the easier and more basic claim the harder result in Section 5 depends on.</w:t>
      </w:r>
    </w:p>
    <w:p>
      <w:pPr>
        <w:spacing w:after="160" w:line="360"/>
        <w:jc w:val="left"/>
      </w:pPr>
      <w:r>
        <w:rPr>
          <w:b/>
          <w:bCs/>
        </w:rPr>
        <w:t xml:space="preserve">Design.</w:t>
      </w:r>
      <w:r>
        <w:t xml:space="preserve"> Two groups of 250 synthetic candidates each were generated (seed = 42, fully reproducible): a </w:t>
      </w:r>
      <w:r>
        <w:rPr>
          <w:i/>
          <w:iCs/>
        </w:rPr>
        <w:t xml:space="preserve">structure</w:t>
      </w:r>
      <w:r>
        <w:t xml:space="preserve"> group, each carrying a weak true signal (effect size 0.9, in standardized units) probed by N = 8 independent simulated transformations with heterogeneous per-transformation noise (σ ranging from 0.7 to 1.6), and a </w:t>
      </w:r>
      <w:r>
        <w:rPr>
          <w:i/>
          <w:iCs/>
        </w:rPr>
        <w:t xml:space="preserve">null</w:t>
      </w:r>
      <w:r>
        <w:t xml:space="preserve"> group, probed identically but carrying no true signal. Persistence was scored as "survived" if an observation crossed a one-sided detection threshold calibrated to a 10% false-positive rate per transformation. A continuous variant, scoring survival as a logistic function of distance from that same threshold, was also tested. The null distribution of I was built empirically from 2,000 additional pure-noise surrogates. All AUC values in this paper use the tie-averaged (mid-rank) convention standard to the Mann–Whitney U statistic.</w:t>
      </w:r>
    </w:p>
    <w:p>
      <w:pPr>
        <w:spacing w:after="160" w:line="360"/>
        <w:jc w:val="left"/>
      </w:pPr>
      <w:r>
        <w:rPr>
          <w:b/>
          <w:bCs/>
        </w:rPr>
        <w:t xml:space="preserve">Result.</w:t>
      </w:r>
      <w:r>
        <w:t xml:space="preserve"> At this effect size, any single transformation detects the true signal only about 35% of the time on average (exact model value; 32% in the seed-42 draw) — realistically weak. Persistence-based detection using the binary Invariance Score separates the structure group from the null group with AUC = 0.865, compared with AUC = 0.734 for detection based on a single observation alone. The continuous variant raises this to AUC = 0.945 (Fig. 1). These are the values for the single pre-specified draw (seed = 42). Over 2,000 independent replications of the same design the mean AUCs are 0.761, 0.887 and 0.958 (SD 0.021, 0.014 and 0.008), so seed 42 is a modestly unfavourable draw (5th to 9th percentile) rather than a typical one; the replication script is in the code repository (Data and code availability). This advantage held, and grew, across a swept range of signal strengths (0.6–1.1) and transformation counts (N = 5, 8): the continuous form outperformed the binary form in all tested configurations.</w:t>
      </w:r>
    </w:p>
    <w:p>
      <w:pPr>
        <w:keepNext/>
        <w:spacing w:after="80" w:before="120"/>
        <w:jc w:val="center"/>
      </w:pPr>
      <w:r>
        <w:drawing>
          <wp:inline distT="0" distB="0" distL="0" distR="0">
            <wp:extent cx="3931920" cy="3427828"/>
            <wp:effectExtent t="0" r="0" b="0" l="0"/>
            <wp:docPr id="1" name="figure_continuous.png" descr="ROC curves for single-observation, binary and continuous Invariance Score detection" title="figure_continuo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31920" cy="3427828"/>
                    </a:xfrm>
                    <a:prstGeom prst="rect">
                      <a:avLst/>
                    </a:prstGeom>
                  </pic:spPr>
                </pic:pic>
              </a:graphicData>
            </a:graphic>
          </wp:inline>
        </w:drawing>
      </w:r>
    </w:p>
    <w:p>
      <w:pPr>
        <w:keepLines/>
        <w:spacing w:after="280" w:line="276"/>
        <w:jc w:val="left"/>
      </w:pPr>
      <w:r>
        <w:rPr>
          <w:b/>
          <w:bCs/>
          <w:sz w:val="20"/>
          <w:szCs w:val="20"/>
        </w:rPr>
        <w:t xml:space="preserve">Fig. 1</w:t>
      </w:r>
      <w:r>
        <w:rPr>
          <w:sz w:val="20"/>
          <w:szCs w:val="20"/>
        </w:rPr>
        <w:t xml:space="preserve"> ROC curves comparing single-observation detection (AUC = 0.734), binary Invariance Score detection (AUC = 0.865) and continuous Invariance Score detection (AUC = 0.945), structure versus null, primary configuration (seed = 42)</w:t>
      </w:r>
    </w:p>
    <w:p>
      <w:pPr>
        <w:spacing w:after="160" w:line="360"/>
        <w:jc w:val="left"/>
      </w:pPr>
      <w:r>
        <w:rPr>
          <w:b/>
          <w:bCs/>
        </w:rPr>
        <w:t xml:space="preserve">What this does and does not establish.</w:t>
      </w:r>
      <w:r>
        <w:t xml:space="preserve"> This confirms that the Invariance Score, as specified, correctly and substantially improves weak-signal detection relative to a single observation, on fully disclosed synthetic data with a known ground truth. It establishes nothing about discrimination against a specific rival hypothesis other than pure noise — that is the question Section 5 addresses, and the answer is not the same.</w:t>
      </w:r>
    </w:p>
    <w:p>
      <w:pPr>
        <w:pStyle w:val="Heading1"/>
        <w:keepNext/>
        <w:spacing w:after="160" w:before="360"/>
      </w:pPr>
      <w:r>
        <w:rPr>
          <w:b/>
          <w:bCs/>
          <w:sz w:val="28"/>
          <w:szCs w:val="28"/>
        </w:rPr>
        <w:t xml:space="preserve">5 The diagnosticity condition</w:t>
      </w:r>
    </w:p>
    <w:p>
      <w:pPr>
        <w:pStyle w:val="Heading2"/>
        <w:keepNext/>
        <w:spacing w:after="120" w:before="240"/>
      </w:pPr>
      <w:r>
        <w:rPr>
          <w:b/>
          <w:bCs/>
          <w:sz w:val="24"/>
          <w:szCs w:val="24"/>
        </w:rPr>
        <w:t xml:space="preserve">5.1 Why Section 4 does not answer the harder question</w:t>
      </w:r>
    </w:p>
    <w:p>
      <w:pPr>
        <w:spacing w:after="160" w:line="360"/>
        <w:jc w:val="left"/>
      </w:pPr>
      <w:r>
        <w:t xml:space="preserve">An elevated Iobserved relative to Inull shows that </w:t>
      </w:r>
      <w:r>
        <w:rPr>
          <w:i/>
          <w:iCs/>
        </w:rPr>
        <w:t xml:space="preserve">something</w:t>
      </w:r>
      <w:r>
        <w:t xml:space="preserve"> survived transformation more often than chance predicts. It does not show that the something is the structure an investigator has in mind rather than a confound that happens to survive the same transformations. Vibration-of-effects and specification-curve analyses face an analogous worry and manage it by varying a wide space of analytical choices; the implicit hope is that varying instrument, observer, scale, and temporal transformations as well as analytical ones adds discriminating power that analytical variation alone cannot supply. That hope is empirical, and it can fail. This section tests it directly, then proves the failure analytically.</w:t>
      </w:r>
    </w:p>
    <w:p>
      <w:pPr>
        <w:pStyle w:val="Heading2"/>
        <w:keepNext/>
        <w:spacing w:after="120" w:before="240"/>
      </w:pPr>
      <w:r>
        <w:rPr>
          <w:b/>
          <w:bCs/>
          <w:sz w:val="24"/>
          <w:szCs w:val="24"/>
        </w:rPr>
        <w:t xml:space="preserve">5.2 Worked example: a confound engineered to survive naive persistence</w:t>
      </w:r>
    </w:p>
    <w:p>
      <w:pPr>
        <w:spacing w:after="160" w:line="360"/>
        <w:jc w:val="left"/>
      </w:pPr>
      <w:r>
        <w:t xml:space="preserve">Three groups of 250 synthetic candidates were generated (seed = 42, fully reproducible, same noise model and eight heterogeneous transformations T1–T8 as Section 4):</w:t>
      </w:r>
    </w:p>
    <w:p>
      <w:pPr>
        <w:pStyle w:val="ListParagraph"/>
        <w:numPr>
          <w:ilvl w:val="0"/>
          <w:numId w:val="1"/>
        </w:numPr>
        <w:spacing w:after="100" w:line="360"/>
      </w:pPr>
      <w:r>
        <w:rPr>
          <w:b/>
          <w:bCs/>
        </w:rPr>
        <w:t xml:space="preserve">Structure.</w:t>
      </w:r>
      <w:r>
        <w:t xml:space="preserve"> A genuine target effect (standardized magnitude 0.9) is present identically across T1–T8 and a ninth transformation, T9, introduced below.</w:t>
      </w:r>
    </w:p>
    <w:p>
      <w:pPr>
        <w:pStyle w:val="ListParagraph"/>
        <w:numPr>
          <w:ilvl w:val="0"/>
          <w:numId w:val="1"/>
        </w:numPr>
        <w:spacing w:after="100" w:line="360"/>
      </w:pPr>
      <w:r>
        <w:rPr>
          <w:b/>
          <w:bCs/>
        </w:rPr>
        <w:t xml:space="preserve">Artifact.</w:t>
      </w:r>
      <w:r>
        <w:t xml:space="preserve"> No genuine target effect is present. Instead, a confound of the same magnitude (0.9) is injected identically across T1–T8 only — standing in for a shared systematic bias (instrument drift common to the transformation battery, a correlated analyst or pipeline choice, a batch effect) that happens, by construction, to survive exactly the eight naive transformations a real effect would. T9 carries no confound for this group.</w:t>
      </w:r>
    </w:p>
    <w:p>
      <w:pPr>
        <w:pStyle w:val="ListParagraph"/>
        <w:numPr>
          <w:ilvl w:val="0"/>
          <w:numId w:val="1"/>
        </w:numPr>
        <w:spacing w:after="100" w:line="360"/>
      </w:pPr>
      <w:r>
        <w:rPr>
          <w:b/>
          <w:bCs/>
        </w:rPr>
        <w:t xml:space="preserve">Null.</w:t>
      </w:r>
      <w:r>
        <w:t xml:space="preserve"> No effect and no confound anywhere.</w:t>
      </w:r>
    </w:p>
    <w:p>
      <w:pPr>
        <w:spacing w:after="160" w:line="360"/>
        <w:jc w:val="left"/>
      </w:pPr>
      <w:r>
        <w:t xml:space="preserve">By design, the Artifact group is statistically indistinguishable from the Structure group on T1–T8 alone: both carry the identical signal magnitude into the identical noise model.</w:t>
      </w:r>
    </w:p>
    <w:p>
      <w:pPr>
        <w:spacing w:after="160" w:line="360"/>
        <w:jc w:val="left"/>
      </w:pPr>
      <w:r>
        <w:rPr>
          <w:b/>
          <w:bCs/>
        </w:rPr>
        <w:t xml:space="preserve">A note on construction, and what this example does and does not claim.</w:t>
      </w:r>
      <w:r>
        <w:t xml:space="preserve"> This is deliberate, and it is the sharpest version of the objection in 5.1: a confound an investigator did not anticipate, mimicking real persistence across every transformation actually run. It should be read as establishing a </w:t>
      </w:r>
      <w:r>
        <w:rPr>
          <w:i/>
          <w:iCs/>
        </w:rPr>
        <w:t xml:space="preserve">possibility</w:t>
      </w:r>
      <w:r>
        <w:t xml:space="preserve"> claim, not a </w:t>
      </w:r>
      <w:r>
        <w:rPr>
          <w:i/>
          <w:iCs/>
        </w:rPr>
        <w:t xml:space="preserve">prevalence</w:t>
      </w:r>
      <w:r>
        <w:t xml:space="preserve"> claim. The example shows that persistence computed this way </w:t>
      </w:r>
      <w:r>
        <w:rPr>
          <w:b/>
          <w:bCs/>
        </w:rPr>
        <w:t xml:space="preserve">can</w:t>
      </w:r>
      <w:r>
        <w:t xml:space="preserve"> fail, decisively and by construction, to discriminate a real effect from a rival; it says nothing about how often real confounds in any given empirical domain share this exact statistical signature, nor how severe the resulting failure would typically be outside this engineered case. A possibility, demonstrated rather than merely asserted, is sufficient to refute the inference from "Iobserved exceeds Inull" to "this is not a confound" — refuting that inference does not require, and this paper does not offer, any estimate of how often the inference would in fact mislead in practice.</w:t>
      </w:r>
    </w:p>
    <w:p>
      <w:pPr>
        <w:spacing w:after="160" w:line="360"/>
        <w:jc w:val="left"/>
      </w:pPr>
      <w:r>
        <w:rPr>
          <w:b/>
          <w:bCs/>
        </w:rPr>
        <w:t xml:space="preserve">Result 1 — naive persistence fails exactly as the objection predicts.</w:t>
      </w:r>
      <w:r>
        <w:t xml:space="preserve"> Using the eight-transformation Invariance Score of Section 3 exactly as specified, Structure is not distinguishable from Artifact. The exact AUC implied by the underlying model, computed without simulation in Section 5.5, is 0.500 — chance — since the two groups are constructed to share an identical distribution on this battery. The single pre-specified draw (seed = 42) gave AUC = 0.410. That is a low draw, not a different phenomenon: over 2,000 independent replications the simulated AUC averages 0.500 (SD 0.026), and seed 42 lies in the lowest 0.1% of that distribution. It is reported unaltered, as the seed used throughout this paper, while the exact value and the replication mean are the quantities that carry the argument. A single-best-specification detector — choosing the single strongest of the eight specifications, a conservative proxy for what persistence-based reasoning reduces to in the worst case, not a reproduction of specification curve analysis's own reporting practice, which presents the full distribution of estimates rather than selecting one — does no better: its exact AUC is also 0.500, because the two groups are exchangeable on this battery (2,000-seed mean 0.500; seed 42: 0.447). </w:t>
      </w:r>
      <w:r>
        <w:rPr>
          <w:b/>
          <w:bCs/>
        </w:rPr>
        <w:t xml:space="preserve">Persistence, computed this way, is not evidence that discriminates a real effect from this confound, and the same engineered confound is, by construction, equally invisible to this conservative single-specification comparison.</w:t>
      </w:r>
      <w:r>
        <w:t xml:space="preserve"> An elevated Iobserved, by itself, establishes only that something survived; it does not establish what.</w:t>
      </w:r>
    </w:p>
    <w:p>
      <w:pPr>
        <w:spacing w:after="160" w:line="360"/>
        <w:jc w:val="left"/>
      </w:pPr>
      <w:r>
        <w:rPr>
          <w:b/>
          <w:bCs/>
        </w:rPr>
        <w:t xml:space="preserve">Result 2 — adding a diagnostic transformation to the same flat average does not fix this.</w:t>
      </w:r>
      <w:r>
        <w:t xml:space="preserve"> A ninth transformation, T9, was then added, constructed on independent mechanistic grounds (not fit to the group labels): Structure carries the real effect into T9 exactly as into T1–T8; Artifact's confound mechanism, by the terms of its own construction, does not pass through T9 at all. This represents, in practice, a measurement channel, covariate adjustment, or data source known on grounds external to the Invariance Score itself not to share the specific confound's pathway. Folding T9 into the same unweighted nine-way average barely moves the result: the exact AUC is 0.550 (Section 5.5; 2,000-seed mean 0.550; seed 42: 0.460). </w:t>
      </w:r>
      <w:r>
        <w:rPr>
          <w:b/>
          <w:bCs/>
        </w:rPr>
        <w:t xml:space="preserve">Simply adding more, or more heterogeneous, transformations to a flat average is not sufficient</w:t>
      </w:r>
      <w:r>
        <w:t xml:space="preserve">, because the one diagnostic channel is diluted across eight others that remain, with respect to this specific rival hypothesis, uninformative. Section 5.5 proves exactly how much is lost, and why.</w:t>
      </w:r>
    </w:p>
    <w:p>
      <w:pPr>
        <w:spacing w:after="160" w:line="360"/>
        <w:jc w:val="left"/>
      </w:pPr>
      <w:r>
        <w:rPr>
          <w:b/>
          <w:bCs/>
        </w:rPr>
        <w:t xml:space="preserve">Result 3 — the diagnostic transformation, examined on its own terms, carries real information.</w:t>
      </w:r>
      <w:r>
        <w:t xml:space="preserve"> T9 alone, without folding it into I at all, separates Structure from Artifact at an exact AUC of 0.738 (2,000-seed mean 0.738; seed 42: 0.761; Fig. 2). Combining the naive eight-transformation score with T9 by a logistic regression fitted in-sample gave AUC = 0.775 in the seed-42 draw, which might look like an improvement on T9 alone. It is not. Over 2,000 replications the in-sample combination averages 0.739, indistinguishable from T9 alone, because the eight naive transformations carry no information about Structure versus Artifact, so the optimal weight on them is zero and the excess in seed 42 is overfitting. Weighting by diagnosticity therefore recovers T9's full discriminating power, not more.</w:t>
      </w:r>
    </w:p>
    <w:p>
      <w:pPr>
        <w:keepNext/>
        <w:spacing w:after="80" w:before="120"/>
        <w:jc w:val="center"/>
      </w:pPr>
      <w:r>
        <w:drawing>
          <wp:inline distT="0" distB="0" distL="0" distR="0">
            <wp:extent cx="5943600" cy="2498035"/>
            <wp:effectExtent t="0" r="0" b="0" l="0"/>
            <wp:docPr id="1" name="figure_diagnosticity.png" descr="Histograms showing the naive Invariance Score fails to separate Structure from Artifact while diagnostic transformation T9 does" title="figure_diagnosti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98035"/>
                    </a:xfrm>
                    <a:prstGeom prst="rect">
                      <a:avLst/>
                    </a:prstGeom>
                  </pic:spPr>
                </pic:pic>
              </a:graphicData>
            </a:graphic>
          </wp:inline>
        </w:drawing>
      </w:r>
    </w:p>
    <w:p>
      <w:pPr>
        <w:keepLines/>
        <w:spacing w:after="280" w:line="276"/>
        <w:jc w:val="left"/>
      </w:pPr>
      <w:r>
        <w:rPr>
          <w:b/>
          <w:bCs/>
          <w:sz w:val="20"/>
          <w:szCs w:val="20"/>
        </w:rPr>
        <w:t xml:space="preserve">Fig. 2</w:t>
      </w:r>
      <w:r>
        <w:rPr>
          <w:sz w:val="20"/>
          <w:szCs w:val="20"/>
        </w:rPr>
        <w:t xml:space="preserve"> (a) The naive eight-transformation Invariance Score cannot separate a genuine effect (Structure) from an engineered confound (Artifact) that survives the same eight transformations (exact AUC = 0.500; seed-42 draw 0.410). (b) A single transformation chosen because the confound mechanism cannot pass through it separates the same two groups (exact AUC = 0.738; seed-42 draw 0.761). Persistence is informative only through transformations that meet the diagnosticity condition below; adding transformations without regard to diagnosticity, even heterogeneous ones, does not reproduce this gain (Result 2; proved in Section 5.5)</w:t>
      </w:r>
    </w:p>
    <w:p>
      <w:pPr>
        <w:keepNext/>
        <w:spacing w:after="100" w:before="200" w:line="276"/>
        <w:jc w:val="left"/>
      </w:pPr>
      <w:r>
        <w:rPr>
          <w:b/>
          <w:bCs/>
          <w:sz w:val="20"/>
          <w:szCs w:val="20"/>
        </w:rPr>
        <w:t xml:space="preserve">Table 2</w:t>
      </w:r>
      <w:r>
        <w:rPr>
          <w:sz w:val="20"/>
          <w:szCs w:val="20"/>
        </w:rPr>
        <w:t xml:space="preserve"> Structure-versus-Artifact discrimination (AUC) in the worked example (250 candidates per group). Seed 42 is the single pre-specified draw; the mean (SD) is over 2,000 independent replications; exact values are derived analytically in Section 5.5 where available. The single-best-specification row is a conservative worst-case proxy, not a reproduction of specification curve analysis's own reporting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4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spacing w:after="0" w:line="252"/>
              <w:jc w:val="left"/>
            </w:pPr>
            <w:r>
              <w:rPr>
                <w:b/>
                <w:bCs/>
                <w:sz w:val="20"/>
                <w:szCs w:val="20"/>
              </w:rPr>
              <w:t xml:space="preserve">Detector</w:t>
            </w:r>
          </w:p>
        </w:tc>
        <w:tc>
          <w:tcPr>
            <w:tcW w:type="pct" w:w="14%"/>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spacing w:after="0" w:line="252"/>
              <w:jc w:val="left"/>
            </w:pPr>
            <w:r>
              <w:rPr>
                <w:b/>
                <w:bCs/>
                <w:sz w:val="20"/>
                <w:szCs w:val="20"/>
              </w:rPr>
              <w:t xml:space="preserve">Seed 42</w:t>
            </w:r>
          </w:p>
        </w:tc>
        <w:tc>
          <w:tcPr>
            <w:tcW w:type="pct" w:w="24%"/>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spacing w:after="0" w:line="252"/>
              <w:jc w:val="left"/>
            </w:pPr>
            <w:r>
              <w:rPr>
                <w:b/>
                <w:bCs/>
                <w:sz w:val="20"/>
                <w:szCs w:val="20"/>
              </w:rPr>
              <w:t xml:space="preserve">Mean (SD), 2,000 seeds</w:t>
            </w:r>
          </w:p>
        </w:tc>
        <w:tc>
          <w:tcPr>
            <w:tcW w:type="pct" w:w="1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spacing w:after="0" w:line="252"/>
              <w:jc w:val="left"/>
            </w:pPr>
            <w:r>
              <w:rPr>
                <w:b/>
                <w:bCs/>
                <w:sz w:val="20"/>
                <w:szCs w:val="20"/>
              </w:rPr>
              <w:t xml:space="preserve">Exact</w:t>
            </w:r>
          </w:p>
        </w:tc>
      </w:tr>
      <w:tr>
        <w:trPr>
          <w:cantSplit/>
        </w:trPr>
        <w:tc>
          <w:tcPr>
            <w:tcW w:type="pct" w:w="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Single best specification (conservative baseline)</w:t>
            </w:r>
          </w:p>
        </w:tc>
        <w:tc>
          <w:tcPr>
            <w:tcW w:type="pct" w:w="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0.447</w:t>
            </w:r>
          </w:p>
        </w:tc>
        <w:tc>
          <w:tcPr>
            <w:tcW w:type="pct" w:w="2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0.500 (0.026)</w:t>
            </w:r>
          </w:p>
        </w:tc>
        <w:tc>
          <w:tcPr>
            <w:tcW w:type="pct" w:w="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0.500</w:t>
            </w:r>
          </w:p>
        </w:tc>
      </w:tr>
      <w:tr>
        <w:trPr>
          <w:cantSplit/>
        </w:trPr>
        <w:tc>
          <w:tcPr>
            <w:tcW w:type="pct" w:w="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Flat Invariance Score, 8 naive transformations (as specified in Section 3)</w:t>
            </w:r>
          </w:p>
        </w:tc>
        <w:tc>
          <w:tcPr>
            <w:tcW w:type="pct" w:w="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0.410</w:t>
            </w:r>
          </w:p>
        </w:tc>
        <w:tc>
          <w:tcPr>
            <w:tcW w:type="pct" w:w="2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0.500 (0.026)</w:t>
            </w:r>
          </w:p>
        </w:tc>
        <w:tc>
          <w:tcPr>
            <w:tcW w:type="pct" w:w="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0.500</w:t>
            </w:r>
          </w:p>
        </w:tc>
      </w:tr>
      <w:tr>
        <w:trPr>
          <w:cantSplit/>
        </w:trPr>
        <w:tc>
          <w:tcPr>
            <w:tcW w:type="pct" w:w="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Flat Invariance Score, 8 naive + 1 diagnostic transformation, unweighted</w:t>
            </w:r>
          </w:p>
        </w:tc>
        <w:tc>
          <w:tcPr>
            <w:tcW w:type="pct" w:w="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0.460</w:t>
            </w:r>
          </w:p>
        </w:tc>
        <w:tc>
          <w:tcPr>
            <w:tcW w:type="pct" w:w="2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0.550 (0.025)</w:t>
            </w:r>
          </w:p>
        </w:tc>
        <w:tc>
          <w:tcPr>
            <w:tcW w:type="pct" w:w="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0.550</w:t>
            </w:r>
          </w:p>
        </w:tc>
      </w:tr>
      <w:tr>
        <w:trPr>
          <w:cantSplit/>
        </w:trPr>
        <w:tc>
          <w:tcPr>
            <w:tcW w:type="pct" w:w="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Diagnostic transformation (T9) alone</w:t>
            </w:r>
          </w:p>
        </w:tc>
        <w:tc>
          <w:tcPr>
            <w:tcW w:type="pct" w:w="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0.761</w:t>
            </w:r>
          </w:p>
        </w:tc>
        <w:tc>
          <w:tcPr>
            <w:tcW w:type="pct" w:w="2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0.738 (0.022)</w:t>
            </w:r>
          </w:p>
        </w:tc>
        <w:tc>
          <w:tcPr>
            <w:tcW w:type="pct" w:w="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0.738</w:t>
            </w:r>
          </w:p>
        </w:tc>
      </w:tr>
      <w:tr>
        <w:trPr>
          <w:cantSplit/>
        </w:trPr>
        <w:tc>
          <w:tcPr>
            <w:tcW w:type="pct" w:w="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Logistic combination of I8 and T9 (fitted in-sample)</w:t>
            </w:r>
          </w:p>
        </w:tc>
        <w:tc>
          <w:tcPr>
            <w:tcW w:type="pct" w:w="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0.775</w:t>
            </w:r>
          </w:p>
        </w:tc>
        <w:tc>
          <w:tcPr>
            <w:tcW w:type="pct" w:w="2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0.739 (0.022)</w:t>
            </w:r>
          </w:p>
        </w:tc>
        <w:tc>
          <w:tcPr>
            <w:tcW w:type="pct" w:w="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52"/>
              <w:jc w:val="left"/>
            </w:pPr>
            <w:r>
              <w:rPr>
                <w:b w:val="false"/>
                <w:bCs w:val="false"/>
                <w:sz w:val="20"/>
                <w:szCs w:val="20"/>
              </w:rPr>
              <w:t xml:space="preserve">not derived</w:t>
            </w:r>
          </w:p>
        </w:tc>
      </w:tr>
    </w:tbl>
    <w:p>
      <w:pPr>
        <w:spacing w:after="200"/>
      </w:pPr>
    </w:p>
    <w:p>
      <w:pPr>
        <w:pStyle w:val="Heading2"/>
        <w:keepNext/>
        <w:spacing w:after="120" w:before="240"/>
      </w:pPr>
      <w:r>
        <w:rPr>
          <w:b/>
          <w:bCs/>
          <w:sz w:val="24"/>
          <w:szCs w:val="24"/>
        </w:rPr>
        <w:t xml:space="preserve">5.3 The diagnosticity condition, formally stated</w:t>
      </w:r>
    </w:p>
    <w:p>
      <w:pPr>
        <w:spacing w:after="160" w:line="360"/>
        <w:jc w:val="left"/>
      </w:pPr>
      <w:r>
        <w:t xml:space="preserve">Let H1 (the candidate structure is genuine) and H2 (the candidate pattern is produced by a specific, named rival mechanism — a confound, artifact, or alternative process) be two hypotheses under comparison, and let Ti be a transformation with survival probabilities p(Ti | H1) and p(Ti | H2) under each.</w:t>
      </w:r>
    </w:p>
    <w:p>
      <w:pPr>
        <w:spacing w:after="160" w:line="360"/>
        <w:jc w:val="left"/>
      </w:pPr>
      <w:r>
        <w:rPr>
          <w:b/>
          <w:bCs/>
        </w:rPr>
        <w:t xml:space="preserve">Definition (diagnosticity).</w:t>
      </w:r>
      <w:r>
        <w:t xml:space="preserve"> Ti is diagnostic with respect to the pair (H1, H2) if and only if p(Ti | H1) ≠ p(Ti | H2). Its diagnosticity can be quantified by any standard measure of distributional separation between the two survival probabilities — for example, the odds ratio p(Ti|H1)(1 − p(Ti|H2)) / [p(Ti|H2)(1 − p(Ti|H1))], or, where P(Ti) is continuous, the AUC of P(Ti) as a classifier of H1 versus H2 — either reducing, in the degenerate binary case, to the familiar likelihood-ratio diagnosticity of Bayesian hypothesis testing and of Heuer's (1999) analysis of competing hypotheses.</w:t>
      </w:r>
    </w:p>
    <w:p>
      <w:pPr>
        <w:spacing w:after="160" w:line="360"/>
        <w:jc w:val="left"/>
      </w:pPr>
      <w:r>
        <w:rPr>
          <w:b/>
          <w:bCs/>
        </w:rPr>
        <w:t xml:space="preserve">Proposition 1 (necessity).</w:t>
      </w:r>
      <w:r>
        <w:t xml:space="preserve"> Persistence under a transformation set T discriminates H1 from a specific rival H2 only if at least one Ti ∈ T is diagnostic with respect to (H1, H2). If every Ti ∈ T is non-diagnostic — p(Ti|H1) = p(Ti|H2) for all i — then P(Ti) is drawn from the identical distribution under H1 and H2 for every i, and therefore so is any function of {P(Ti)}, including I under any aggregation rule whatsoever, weighted or not. No aggregation rule can manufacture discriminating power from a battery that contains none; this is the engineered case of Section 5.2 and the trivial (zero-signal) special case of Proposition 2 below.</w:t>
      </w:r>
    </w:p>
    <w:p>
      <w:pPr>
        <w:spacing w:after="160" w:line="360"/>
        <w:jc w:val="left"/>
      </w:pPr>
      <w:r>
        <w:rPr>
          <w:b/>
          <w:bCs/>
        </w:rPr>
        <w:t xml:space="preserve">Proposition 2 (sufficiency and its size, within the unweighted-average aggregation rule).</w:t>
      </w:r>
      <w:r>
        <w:t xml:space="preserve"> Now suppose exactly one transformation, Tk+1, is diagnostic — p(Tk+1|H1) = p1 ≠ p2 = p(Tk+1|H2) — among k non-diagnostic transformations with shared survival probability qi (i = 1, ..., k). Under the unweighted-average aggregation rule used throughout this paper, and implicitly by existing persistence-based robustness checks, I = (1/(k+1)) Σ P(Ti) is discriminating in the strict sense of Proposition 1 — its distribution under H1 differs from its distribution under H2 whenever p1 ≠ p2, however slightly — but the </w:t>
      </w:r>
      <w:r>
        <w:rPr>
          <w:i/>
          <w:iCs/>
        </w:rPr>
        <w:t xml:space="preserve">size</w:t>
      </w:r>
      <w:r>
        <w:t xml:space="preserve"> of that discriminating power is not free. Section 5.5 derives it exactly: it is the diagnostic channel's own discriminating power, multiplied by a dilution factor γ ∈ (0, 1] that depends on how much additional, non-diagnostic variance the other k transformations contribute. As k grows, or as the non-diagnostic transformations grow noisier, γ → 0, and the diagnostic channel's contribution becomes negligible in practice even though it remains, in the strict sense of Proposition 1, formally nonzero. This is the precise sense in which the biconditional "diagnosticity if and only if discrimination" holds unconditionally only for Proposition 1's necessity direction; sufficiency </w:t>
      </w:r>
      <w:r>
        <w:rPr>
          <w:i/>
          <w:iCs/>
        </w:rPr>
        <w:t xml:space="preserve">for a usable amount</w:t>
      </w:r>
      <w:r>
        <w:t xml:space="preserve"> of discriminating power additionally requires an aggregation rule that does not suppress the diagnostic channel relative to the rest — a requirement unweighted averaging, by Section 5.5's theorem, does not generally meet. This paper proves that requirement exactly for the unweighted-average case and demonstrates numerically, but does not claim to prove in general, that diagnosticity-weighted alternatives (such as the logistic combination in Table 2, which in effect places all its weight on the diagnostic channel) can meet it instead.</w:t>
      </w:r>
    </w:p>
    <w:p>
      <w:pPr>
        <w:spacing w:after="160" w:line="360"/>
        <w:jc w:val="left"/>
      </w:pPr>
      <w:r>
        <w:t xml:space="preserve">This is the precise sense in which persistence must not be equated with truth: Iobserved &gt; Inull, however large the margin, licenses the inference "this is not noise." It does not, by itself, license the inference "this is H1 rather than some other persistent H2" — that second inference additionally requires at least one transformation in T diagnostic with respect to the specific H2 under consideration, correctly identified, and combined in a way that does not dilute it below usefulness.</w:t>
      </w:r>
    </w:p>
    <w:p>
      <w:pPr>
        <w:pStyle w:val="Heading2"/>
        <w:keepNext/>
        <w:spacing w:after="120" w:before="240"/>
      </w:pPr>
      <w:r>
        <w:rPr>
          <w:b/>
          <w:bCs/>
          <w:sz w:val="24"/>
          <w:szCs w:val="24"/>
        </w:rPr>
        <w:t xml:space="preserve">5.4 What this adds beyond existing robustness analysis, stated narrowly</w:t>
      </w:r>
    </w:p>
    <w:p>
      <w:pPr>
        <w:spacing w:after="160" w:line="360"/>
        <w:jc w:val="left"/>
      </w:pPr>
      <w:r>
        <w:t xml:space="preserve">Section 2 distinguished this paper's approach from specification curve analysis, multiverse analysis, and vibration of effects on the grounds that those methods vary only analytical choices, where a persistence-based check can in principle vary instrument, observer, scale, and temporal conditions as well. Result 2 shows that this distinction, by itself, is not yet a contribution: a wider transformation space does not help if it is aggregated without regard to diagnosticity, and existing robustness-analysis methods already share that same limitation — they, too, report the empirical spread of outcomes without identifying which analytical variations are diagnostic against which specific rival explanations. The defensible, narrower contribution is the diagnosticity condition together with the aggregation theorem of Section 5.5: a transformation only contributes evidential value when it is independently known — on grounds external to the score being computed from it — to behave differently under the structure hypothesis than under a specific, named rival, and the amount of value it actually contributes to a combined score is governed by a provable, quantitative dilution relationship, not merely a qualitative warning. Neither specification curve analysis, multiverse analysis, nor vibration of effects formalizes this requirement, and neither Wimsatt, Woodward, Mayo, Salmon, Lipton, nor Heuer derives its aggregation consequence.</w:t>
      </w:r>
    </w:p>
    <w:p>
      <w:pPr>
        <w:pStyle w:val="Heading2"/>
        <w:keepNext/>
        <w:spacing w:after="120" w:before="240"/>
      </w:pPr>
      <w:r>
        <w:rPr>
          <w:b/>
          <w:bCs/>
          <w:sz w:val="24"/>
          <w:szCs w:val="24"/>
        </w:rPr>
        <w:t xml:space="preserve">5.5 An exact aggregation theorem</w:t>
      </w:r>
    </w:p>
    <w:p>
      <w:pPr>
        <w:spacing w:after="160" w:line="360"/>
        <w:jc w:val="left"/>
      </w:pPr>
      <w:r>
        <w:t xml:space="preserve">Result 2 showed empirically that adding a diagnostic transformation to an otherwise non-diagnostic flat average recovers almost none of that transformation's discriminating power. This can be proved, not merely observed, for the unweighted-average aggregation rule used throughout this paper.</w:t>
      </w:r>
    </w:p>
    <w:p>
      <w:pPr>
        <w:spacing w:after="160" w:line="360"/>
        <w:jc w:val="left"/>
      </w:pPr>
      <w:r>
        <w:t xml:space="preserve">Each per-transformation persistence indicator P(Ti) is Bernoulli: P(Ti) = 1 with probability qi for a non-diagnostic transformation (identical under H1 and H2 by definition), or with probability p1 under H1 versus p2 under H2 for the diagnostic transformation. Because the k non-diagnostic indicators and the one diagnostic indicator are mutually independent, the sum Σ P(Ti) follows a </w:t>
      </w:r>
      <w:r>
        <w:rPr>
          <w:b/>
          <w:bCs/>
        </w:rPr>
        <w:t xml:space="preserve">Poisson-binomial distribution</w:t>
      </w:r>
      <w:r>
        <w:t xml:space="preserve"> — the exact distribution of a sum of independent, non-identically-distributed Bernoulli variables, computable by direct convolution, with no Gaussian approximation and no Monte Carlo sampling required. Using the worked example's analytic parameters (q1, ..., q8 and p1, p2, computed directly from the model's stated effect size and noise parameters, not estimated from the simulated sample), this convolution gives an </w:t>
      </w:r>
      <w:r>
        <w:rPr>
          <w:i/>
          <w:iCs/>
        </w:rPr>
        <w:t xml:space="preserve">exact</w:t>
      </w:r>
      <w:r>
        <w:t xml:space="preserve"> AUC for the eight-transformation flat score of 0.500 — chance, as Proposition 1 requires, since q is identical under H1 and H2 by construction — and an exact AUC of 0.550 after folding in the diagnostic ninth transformation. A 2,000-seed replication (replicate_seeds.py in the code repository) confirms these exact values: the simulated AUCs average 0.500 and 0.550, with standard deviations of 0.026 and 0.025, and 95% of replications fall within 0.451–0.551 and 0.501–0.601 respectively. The single pre-specified draw reported in Table 2 (0.410 and 0.460) lies about 3.5 standard deviations below both exact values, in the lowest 0.1% of replications. It is reported unaltered; it illustrates how variable any single draw of this size can be, and should not be read as an estimate of the exact quantities.</w:t>
      </w:r>
    </w:p>
    <w:p>
      <w:pPr>
        <w:spacing w:after="160" w:line="360"/>
        <w:jc w:val="left"/>
      </w:pPr>
      <w:r>
        <w:t xml:space="preserve">The dilution itself has closed form. Define the diagnostic channel's own standardized separation as</w:t>
      </w:r>
    </w:p>
    <w:p>
      <w:pPr>
        <w:spacing w:after="160" w:line="360"/>
        <w:jc w:val="left"/>
      </w:pPr>
      <w:r>
        <w:rPr>
          <w:b/>
          <w:bCs/>
        </w:rPr>
        <w:t xml:space="preserve">d = |p1 − p2| / √[(p1(1−p1) + p2(1−p2)) / 2],</w:t>
      </w:r>
    </w:p>
    <w:p>
      <w:pPr>
        <w:spacing w:after="160" w:line="360"/>
        <w:jc w:val="left"/>
      </w:pPr>
      <w:r>
        <w:t xml:space="preserve">and the combined variance contributed by the k non-diagnostic channels as Vnondiag = Σ qi(1−qi), with the diagnostic channel's own variance Vdiag = [p1(1−p1) + p2(1−p2)] / 2. The standardized separation of the unweighted (k+1)-way average is then d · γ, where</w:t>
      </w:r>
    </w:p>
    <w:p>
      <w:pPr>
        <w:spacing w:after="160" w:line="360"/>
        <w:jc w:val="left"/>
      </w:pPr>
      <w:r>
        <w:rPr>
          <w:b/>
          <w:bCs/>
        </w:rPr>
        <w:t xml:space="preserve">γ = 1 / √(1 + Vnondiag / Vdiag).</w:t>
      </w:r>
    </w:p>
    <w:p>
      <w:pPr>
        <w:spacing w:after="160" w:line="360"/>
        <w:jc w:val="left"/>
      </w:pPr>
      <w:r>
        <w:t xml:space="preserve">This generalizes the familiar 1/√N rule for diluting an informative signal by averaging it with N−1 equal-variance uninformative channels (the special case Vnondiag = (N−1)·Vdiag) to the variance-weighted case relevant whenever the non-diagnostic channels are not all equally noisy — exactly the situation in this worked example, where T1–T8 have heterogeneous noise (σ from 0.7 to 1.6). Here, γ = 0.288, slightly worse than the naive 1/√9 ≈ 0.333, because the eight non-diagnostic channels collectively carry somewhat more Bernoulli variance than the diagnostic ninth channel on its own. As more non-diagnostic transformations are folded in, γ → 0 regardless of how large d is: a diagnostic transformation's contribution to an unweighted average vanishes in the limit independent of how reliable it is in isolation. This is the exact, provable form of Result 2's empirical observation, and it is closely related to a documented phenomenon in ensemble machine learning: Dietterich (2000) observes that combining classifiers of substantially unequal quality, or combining members whose errors are not sufficiently independent, can fail to improve — and can degrade — an ensemble's accuracy relative to its better members taken alone, and that simple unweighted combination is not always an adequate remedy. The present result is more specific (an exact, closed-form dilution factor for the Bernoulli-averaging case, rather than a general empirical caution), but the underlying mechanism is the same: an unweighted combination rule does not distinguish an informative channel from an uninformative one, so adding the latter can only dilute, never improve, what the former contributes. It is also the reason Proposition 2 above restricts its sufficiency claim to a stated aggregation class rather than asserting it unconditionally: unweighted averaging preserves diagnosticity only in the trivial sense of Proposition 1 (nonzero discriminating power stays nonzero), not in the practical sense of preserving a usable amount of it.</w:t>
      </w:r>
    </w:p>
    <w:p>
      <w:pPr>
        <w:pStyle w:val="Heading2"/>
        <w:keepNext/>
        <w:spacing w:after="120" w:before="240"/>
      </w:pPr>
      <w:r>
        <w:rPr>
          <w:b/>
          <w:bCs/>
          <w:sz w:val="24"/>
          <w:szCs w:val="24"/>
        </w:rPr>
        <w:t xml:space="preserve">5.6 Toward an operational criterion: identifying diagnostic transformations before seeing outcomes</w:t>
      </w:r>
    </w:p>
    <w:p>
      <w:pPr>
        <w:spacing w:after="160" w:line="360"/>
        <w:jc w:val="left"/>
      </w:pPr>
      <w:r>
        <w:t xml:space="preserve">The principal contribution of this paper is the dilution theorem of Section 5.5: a specific, exactly proved claim about what unweighted aggregation does to diagnostic information. What follows is an operational extension of that result, not a second claim of comparable weight — it addresses a question the dilution theorem presupposes an answer to (how a diagnostic transformation is recognized as such in the first place) but does not itself resolve.</w:t>
      </w:r>
    </w:p>
    <w:p>
      <w:pPr>
        <w:spacing w:after="160" w:line="360"/>
        <w:jc w:val="left"/>
      </w:pPr>
      <w:r>
        <w:t xml:space="preserve">Falsification Condition 4 (Section 6) makes the practical value of this proposal depend on identifying diagnostic transformations in advance of group labels. This paper does not supply a general discovery procedure for doing so — that would be a substantially larger claim than anything demonstrated here — but the requirement is narrower than an unstructured judgment call, because diagnosticity is fixed by the causal structure relating a transformation, the structure hypothesis, and the rival mechanism, and that structure is often something an investigator can state on grounds external to the data being analyzed.</w:t>
      </w:r>
    </w:p>
    <w:p>
      <w:pPr>
        <w:spacing w:after="160" w:line="360"/>
        <w:jc w:val="left"/>
      </w:pPr>
      <w:r>
        <w:t xml:space="preserve">Represent H1 (structure) and H2 (a specific, named rival mechanism, such as a confound Z) as two causal accounts of why a candidate pattern appears, and represent each transformation's outcome as a node in a causal diagram in the sense standard to causal graphical models (Pearl, 2009). In this vocabulary, Ti is diagnostic with respect to (H1, H2) exactly when it is not d-separated from the node distinguishing H1 from H2 by every path running through the rival mechanism Z — equivalently, when some causal pathway connects Ti to that distinction without passing through Z.</w:t>
      </w:r>
    </w:p>
    <w:p>
      <w:pPr>
        <w:spacing w:after="160" w:line="360"/>
        <w:jc w:val="left"/>
      </w:pPr>
      <w:r>
        <w:t xml:space="preserve">A minimal concrete instance makes this precise. Let X be the node representing which hypothesis is true (X = H1 if Structure, X = H2 if Artifact), let Z be the confound node active only under H2, and let T1, ..., T8, T9 be the transformation-outcome nodes of Section 5.2. The confound's construction gives each of T1, ..., T8 two incoming edges — one from X (both Structure and Artifact drive these channels identically) and one from Z (active only under Artifact) — so that Ti's distribution is a mixture over both parents and cannot, from Ti alone, distinguish which parent configuration produced it: X and the (H1, H2) distinction are therefore not identifiable from T1, ..., T8 net of Z's contribution, which is the graphical statement of Result 1's AUC = 0.500. T9, by contrast, has an edge from X but no edge from Z, by the stated mechanistic fact that the confound's pathway does not reach it (Section 5.2): the path X → T9 is unblocked and no path through Z exists, so T9 is not d-separated from X, and the graphical criterion correctly predicts that T9 — and only T9, among T1, ..., T9 — is diagnostic, matching Result 3 without having needed to see a single labeled observation to reach that conclusion.</w:t>
      </w:r>
    </w:p>
    <w:p>
      <w:pPr>
        <w:spacing w:after="160" w:line="360"/>
        <w:jc w:val="left"/>
      </w:pPr>
      <w:r>
        <w:t xml:space="preserve">This reframes "is Ti diagnostic?" as a graphical question answerable, in favorable cases, from domain knowledge about measurement mechanisms and known causal structure, without needing to see which candidates turn out to be Structure and which Artifact. It should be read as exactly this: a worked instance of the criterion applied to a case where the causal structure is given by construction, not an empirical validation that the criterion reliably succeeds when the causal structure must itself be inferred — that harder question is outside this paper's scope and is addressed only by the four pathways below.</w:t>
      </w:r>
    </w:p>
    <w:p>
      <w:pPr>
        <w:spacing w:after="160" w:line="360"/>
        <w:jc w:val="left"/>
      </w:pPr>
      <w:r>
        <w:t xml:space="preserve">Four concrete pathways by which this knowledge is typically available in practice: (i) mechanistic theory specifying that the confound's physical or statistical pathway does not reach a given channel; (ii) independent instrumentation, where a second measurement apparatus shares no calibration, drift, or processing history with the first; (iii) known causal structure from prior causal-discovery or experimental work establishing which variables the confound can and cannot influence; and (iv) external validation channels — administrative records, independent replication cohorts, or any data source collected by a process known not to share the suspected confound's generating mechanism. T9 in the worked example of Section 5.2 instantiates case (i): a channel chosen, prior to seeing any labels, on the stated mechanistic ground that the confound's pathway does not reach it.</w:t>
      </w:r>
    </w:p>
    <w:p>
      <w:pPr>
        <w:spacing w:after="160" w:line="360"/>
        <w:jc w:val="left"/>
      </w:pPr>
      <w:r>
        <w:t xml:space="preserve">This grounds the identification question in an existing, well-developed formalism rather than leaving it an unstructured judgment call, but it is not a method for generating a causal account of the rival mechanism from data when none is available — only for checking a candidate transformation's diagnosticity once such an account is stated. Falsification Condition 4 is accordingly narrowed rather than resolved: the question is no longer whether diagnostic transformations can be identified in principle (Section 5.2's T9 and the pathways above show they can, in cases where a causal account of the rival is available), but whether such an account is available in a given domain — a domain-specific, empirical question this paper does not attempt to answer in general.</w:t>
      </w:r>
    </w:p>
    <w:p>
      <w:pPr>
        <w:pStyle w:val="Heading1"/>
        <w:keepNext/>
        <w:spacing w:after="160" w:before="360"/>
      </w:pPr>
      <w:r>
        <w:rPr>
          <w:b/>
          <w:bCs/>
          <w:sz w:val="28"/>
          <w:szCs w:val="28"/>
        </w:rPr>
        <w:t xml:space="preserve">6 Falsification conditions</w:t>
      </w:r>
    </w:p>
    <w:p>
      <w:pPr>
        <w:spacing w:after="160" w:line="360"/>
        <w:jc w:val="left"/>
      </w:pPr>
      <w:r>
        <w:t xml:space="preserve">This proposal is rejected under any of the following conditions.</w:t>
      </w:r>
    </w:p>
    <w:p>
      <w:pPr>
        <w:pStyle w:val="ListParagraph"/>
        <w:numPr>
          <w:ilvl w:val="0"/>
          <w:numId w:val="2"/>
        </w:numPr>
        <w:spacing w:after="100" w:line="360"/>
        <w:jc w:val="left"/>
      </w:pPr>
      <w:r>
        <w:t xml:space="preserve">A diagnosticity-weighted Invariance Score, applied to a real pair of competing hypotheses with at least one independently identified diagnostic transformation, fails to outperform an equivalent specification-curve or multiverse analysis restricted to analytical variation alone — the specific, risk-bearing prediction that follows from Section 5's worked example and separates the diagnosticity condition's claim to add information from a mere relabeling of existing methods.</w:t>
      </w:r>
    </w:p>
    <w:p>
      <w:pPr>
        <w:pStyle w:val="ListParagraph"/>
        <w:numPr>
          <w:ilvl w:val="0"/>
          <w:numId w:val="2"/>
        </w:numPr>
        <w:spacing w:after="100" w:line="360"/>
        <w:jc w:val="left"/>
      </w:pPr>
      <w:r>
        <w:t xml:space="preserve">Independent replication of the worked example in Section 5, or an analogous real-data case with a known, engineered confound, fails to reproduce the qualitative pattern of Table 2 — naive persistence near chance, the diagnostic transformation substantially above chance — within the bounds the exact Poisson-binomial model of Section 5.5 predicts for the relevant sample size.</w:t>
      </w:r>
    </w:p>
    <w:p>
      <w:pPr>
        <w:pStyle w:val="ListParagraph"/>
        <w:numPr>
          <w:ilvl w:val="0"/>
          <w:numId w:val="2"/>
        </w:numPr>
        <w:spacing w:after="100" w:line="360"/>
        <w:jc w:val="left"/>
      </w:pPr>
      <w:r>
        <w:t xml:space="preserve">No real transformation can be identified, in any tested domain, that is diagnostic with respect to a specific rival hypothesis of practical interest — in which case the diagnosticity condition, while formally correct, would have no applications and the proposal would reduce to a theoretical curiosity.</w:t>
      </w:r>
    </w:p>
    <w:p>
      <w:pPr>
        <w:pStyle w:val="ListParagraph"/>
        <w:numPr>
          <w:ilvl w:val="0"/>
          <w:numId w:val="2"/>
        </w:numPr>
        <w:spacing w:after="100" w:line="360"/>
        <w:jc w:val="left"/>
      </w:pPr>
      <w:r>
        <w:t xml:space="preserve">No stated causal account of a rival mechanism of practical interest, in any tested domain, supports the graphical criterion of Section 5.6 — that is, no domain can be found in which a transformation's diagnosticity is checkable, even in principle, from mechanistic theory, independent instrumentation, known causal structure, or an external validation channel, in advance of knowing group labels. Since Result 2 shows that diagnosticity cannot be inferred from the flat score alone, the entire practical value of this proposal depends on such grounds existing in at least some domains.</w:t>
      </w:r>
    </w:p>
    <w:p>
      <w:pPr>
        <w:pStyle w:val="ListParagraph"/>
        <w:numPr>
          <w:ilvl w:val="0"/>
          <w:numId w:val="2"/>
        </w:numPr>
        <w:spacing w:after="100" w:line="360"/>
        <w:jc w:val="left"/>
      </w:pPr>
      <w:r>
        <w:t xml:space="preserve">A weighted aggregation rule can be shown, in a domain of practical interest, to perform no better than unweighted averaging at preserving a diagnostic channel's contribution — in which case Section 5.5's dilution theorem would identify a real problem with no demonstrated remedy, and the proposal's constructive half (that diagnosticity-aware weighting recovers what flat averaging loses) would fail even though its diagnostic half (that flat averaging loses it) would stand.</w:t>
      </w:r>
    </w:p>
    <w:p>
      <w:pPr>
        <w:pStyle w:val="Heading1"/>
        <w:keepNext/>
        <w:spacing w:after="160" w:before="360"/>
      </w:pPr>
      <w:r>
        <w:rPr>
          <w:b/>
          <w:bCs/>
          <w:sz w:val="28"/>
          <w:szCs w:val="28"/>
        </w:rPr>
        <w:t xml:space="preserve">7 Discussion</w:t>
      </w:r>
    </w:p>
    <w:p>
      <w:pPr>
        <w:spacing w:after="160" w:line="360"/>
        <w:jc w:val="left"/>
      </w:pPr>
      <w:r>
        <w:t xml:space="preserve">The single most important fact this paper establishes is not that persistence-based robustness checking works. It is a precise, partly proved and partly demonstrated account of one specific way it fails, together with the exact condition that must hold, and the exact amount recovered, when it does not fail in that way. A robustness check — of any kind, old or new — that reports persistence against a wide battery of specifications without asking whether at least one of those specifications is diagnostic against the confound an investigator actually worries about has not ruled that confound out, no matter how wide the battery or how low the resulting p-value. This is not a hypothetical concern: Result 1 shows it occurring in a battery specifically engineered to be as favorable as possible to the naive approach, using the same transformation count and noise structure that produces excellent discrimination against pure noise in Section 4.</w:t>
      </w:r>
    </w:p>
    <w:p>
      <w:pPr>
        <w:spacing w:after="160" w:line="360"/>
        <w:jc w:val="left"/>
      </w:pPr>
      <w:r>
        <w:t xml:space="preserve">It is worth being explicit about what kind of contribution this is, since a natural objection is that the diagnosticity condition is close to tautological once stated — of course a transformation discriminates two hypotheses only if it behaves differently under them. That objection is correct about the </w:t>
      </w:r>
      <w:r>
        <w:rPr>
          <w:i/>
          <w:iCs/>
        </w:rPr>
        <w:t xml:space="preserve">definition</w:t>
      </w:r>
      <w:r>
        <w:t xml:space="preserve">, and incorrect about where this paper's content lies. The content is not the definition; it is the argument, in Section 2, that a specific and influential family of methods (vibration of effects, specification curve analysis, multiverse analysis) evaluates p(Ti | H1) — how a result behaves under reasonable analytical variation — while remaining silent about p(Ti | H2) for any specific, named rival, and the exact theorem, in Section 5.5, describing what happens to a diagnostic transformation's contribution once it is combined with others by the aggregation rule those methods, and persistence-based checking generally, actually use. A reader who already finds the definition obvious should still find the aggregation theorem informative, since it is not obvious in advance that dilution follows the specific variance-weighted form derived there, nor that it generalizes the classical 1/√N rule in exactly that way.</w:t>
      </w:r>
    </w:p>
    <w:p>
      <w:pPr>
        <w:spacing w:after="160" w:line="360"/>
        <w:jc w:val="left"/>
      </w:pPr>
      <w:r>
        <w:t xml:space="preserve">The paper is, in this sense, arguably about something broader than robustness analysis specifically: the distinction between persistence and discriminative evidence. Robustness analysis is the application domain in which that distinction was tested here, with a worked numerical example and an exact theorem for the unweighted-averaging aggregation class, but the distinction itself — that surviving variation is not the same claim as discriminating between named alternatives, and that combining many weakly relevant observations does not automatically preserve what a single, well-chosen one would show — is a general feature of inference under multiple lines of evidence, not a feature peculiar to vibration-of-effects-style methods.</w:t>
      </w:r>
    </w:p>
    <w:p>
      <w:pPr>
        <w:spacing w:after="160" w:line="360"/>
        <w:jc w:val="left"/>
      </w:pPr>
      <w:r>
        <w:t xml:space="preserve">The corrective this paper proposes is narrow by design. It does not ask investigators to abandon specification curves, multiverse analyses, or vibration-of-effects checks. It asks them to add one additional, explicit step: identify, before looking at results, at least one transformation in the battery that is diagnostic with respect to the specific rival explanation under consideration, and ensure that the way the battery's results are aggregated does not dilute that transformation's contribution below the point of usefulness — a point Section 5.5 makes precise rather than leaving to intuition. Where no such transformation can be identified, the honest conclusion is that the robustness check, however wide, has not addressed that particular rival — a conclusion existing practice has no vocabulary for stating precisely, because it has no formal concept of diagnosticity, let alone a dilution theorem, to begin with.</w:t>
      </w:r>
    </w:p>
    <w:p>
      <w:pPr>
        <w:pStyle w:val="Heading1"/>
        <w:keepNext/>
        <w:spacing w:after="160" w:before="360"/>
      </w:pPr>
      <w:r>
        <w:rPr>
          <w:b/>
          <w:bCs/>
          <w:sz w:val="28"/>
          <w:szCs w:val="28"/>
        </w:rPr>
        <w:t xml:space="preserve">8 Conclusion</w:t>
      </w:r>
    </w:p>
    <w:p>
      <w:pPr>
        <w:spacing w:after="160" w:line="360"/>
        <w:jc w:val="left"/>
      </w:pPr>
      <w:r>
        <w:t xml:space="preserve">Persistence across a wide battery of analytical or observational variations is good evidence that a result is not an artifact of any single specification. It is not, by itself, evidence against any specific alternative explanation that happens to survive the same battery — a possibility this paper demonstrates and, for the aggregation step specifically, proves, using a confound engineered to do exactly that. The diagnosticity condition states precisely when persistence closes that gap: at least one transformation in the battery must have a survival probability that actually differs between the hypothesis under test and the rival in question. The aggregation theorem of Section 5.5 states precisely how much of that transformation's discriminating power survives the act of combining it with the rest, and why unweighted averaging — the rule persistence-based checking uses by default — generally loses most of it. Section 5.6 narrows, though does not close, the remaining practical question of how a diagnostic transformation is identified before any labels are seen, by grounding it in a checkable causal-graphical criterion rather than leaving it to unstructured judgment. Robustness checking without the diagnosticity condition answers "is this noise?" convincingly and "is this the explanation I think it is, rather than the one I haven't considered?" not at all. The two questions are routinely treated as one. This paper shows, with a reproducible synthetic example and an exact derivation, why they are not, exactly how much is lost when the difference is ignored, and states precisely what closing that gap would require.</w:t>
      </w:r>
    </w:p>
    <w:p>
      <w:pPr>
        <w:pStyle w:val="Heading1"/>
        <w:keepNext/>
        <w:spacing w:after="160" w:before="360"/>
      </w:pPr>
      <w:r>
        <w:rPr>
          <w:b/>
          <w:bCs/>
          <w:sz w:val="28"/>
          <w:szCs w:val="28"/>
        </w:rPr>
        <w:t xml:space="preserve">Statements and Declarations</w:t>
      </w:r>
    </w:p>
    <w:p>
      <w:pPr>
        <w:spacing w:after="160" w:line="360"/>
        <w:jc w:val="left"/>
      </w:pPr>
      <w:r>
        <w:rPr>
          <w:b/>
          <w:bCs/>
        </w:rPr>
        <w:t xml:space="preserve">Conflict of interest.</w:t>
      </w:r>
      <w:r>
        <w:t xml:space="preserve"> The author declares no conflict of interest.</w:t>
      </w:r>
    </w:p>
    <w:p>
      <w:pPr>
        <w:spacing w:after="160" w:line="360"/>
        <w:jc w:val="left"/>
      </w:pPr>
      <w:r>
        <w:rPr>
          <w:b/>
          <w:bCs/>
        </w:rPr>
        <w:t xml:space="preserve">Funding.</w:t>
      </w:r>
      <w:r>
        <w:t xml:space="preserve"> No funding was received for this work.</w:t>
      </w:r>
    </w:p>
    <w:p>
      <w:pPr>
        <w:spacing w:after="160" w:line="360"/>
        <w:jc w:val="left"/>
      </w:pPr>
      <w:r>
        <w:rPr>
          <w:b/>
          <w:bCs/>
        </w:rPr>
        <w:t xml:space="preserve">AI disclosure.</w:t>
      </w:r>
      <w:r>
        <w:t xml:space="preserve"> AI language models (OpenAI ChatGPT and Anthropic Claude) were used to help draft and edit manuscript text, to generate the simulation code described in Sections 4 and 5, and to simulate critical reviewer reports used to stress-test the argument during revision. All inputs were the author's own manuscript text and publicly available reference literature. All AI-assisted outputs were independently verified by the author by reproducing every reported value with the fixed random seed (seed = 42) and the public code, as reported in Table 2. All scientific claims and interpretations are the author's own, and the author takes full responsibility for them.</w:t>
      </w:r>
    </w:p>
    <w:p>
      <w:pPr>
        <w:spacing w:after="160" w:line="360"/>
        <w:jc w:val="left"/>
      </w:pPr>
      <w:r>
        <w:rPr>
          <w:b/>
          <w:bCs/>
        </w:rPr>
        <w:t xml:space="preserve">Data availability statement.</w:t>
      </w:r>
      <w:r>
        <w:t xml:space="preserve"> All results are outputs of a fully reproducible synthetic simulation (fixed random seed = 42; parameters given in Sections 4 and 5.2). No experimental or proprietary data were used or are required. The code that generates every number and figure in this paper, together with a 2,000-seed replication of the quantities in Table 2, is openly available at https://github.com/avram3scu-art/diagnosticity-condition and archived on Zenodo at https://doi.org/10.5281/zenodo.23440654.</w:t>
      </w:r>
    </w:p>
    <w:p>
      <w:pPr>
        <w:pStyle w:val="Heading1"/>
        <w:keepNext/>
        <w:spacing w:after="160" w:before="360"/>
      </w:pPr>
      <w:r>
        <w:rPr>
          <w:b/>
          <w:bCs/>
          <w:sz w:val="28"/>
          <w:szCs w:val="28"/>
        </w:rPr>
        <w:t xml:space="preserve">References</w:t>
      </w:r>
    </w:p>
    <w:p>
      <w:pPr>
        <w:spacing w:after="120" w:line="276"/>
        <w:ind w:left="540" w:hanging="540"/>
        <w:jc w:val="left"/>
      </w:pPr>
      <w:r>
        <w:rPr>
          <w:sz w:val="22"/>
          <w:szCs w:val="22"/>
        </w:rPr>
        <w:t xml:space="preserve">Dietterich, T. G. (2000). Ensemble methods in machine learning. In </w:t>
      </w:r>
      <w:r>
        <w:rPr>
          <w:i/>
          <w:iCs/>
          <w:sz w:val="22"/>
          <w:szCs w:val="22"/>
        </w:rPr>
        <w:t xml:space="preserve">Multiple classifier systems</w:t>
      </w:r>
      <w:r>
        <w:rPr>
          <w:sz w:val="22"/>
          <w:szCs w:val="22"/>
        </w:rPr>
        <w:t xml:space="preserve"> (Lecture Notes in Computer Science, Vol. 1857, pp. 1–15). Springer. https://doi.org/10.1007/3-540-45014-9_1</w:t>
      </w:r>
    </w:p>
    <w:p>
      <w:pPr>
        <w:spacing w:after="120" w:line="276"/>
        <w:ind w:left="540" w:hanging="540"/>
        <w:jc w:val="left"/>
      </w:pPr>
      <w:r>
        <w:rPr>
          <w:sz w:val="22"/>
          <w:szCs w:val="22"/>
        </w:rPr>
        <w:t xml:space="preserve">Heuer, R. J., Jr. (1999). </w:t>
      </w:r>
      <w:r>
        <w:rPr>
          <w:i/>
          <w:iCs/>
          <w:sz w:val="22"/>
          <w:szCs w:val="22"/>
        </w:rPr>
        <w:t xml:space="preserve">Psychology of intelligence analysis</w:t>
      </w:r>
      <w:r>
        <w:rPr>
          <w:sz w:val="22"/>
          <w:szCs w:val="22"/>
        </w:rPr>
        <w:t xml:space="preserve">. Center for the Study of Intelligence, Central Intelligence Agency.</w:t>
      </w:r>
    </w:p>
    <w:p>
      <w:pPr>
        <w:spacing w:after="120" w:line="276"/>
        <w:ind w:left="540" w:hanging="540"/>
        <w:jc w:val="left"/>
      </w:pPr>
      <w:r>
        <w:rPr>
          <w:sz w:val="22"/>
          <w:szCs w:val="22"/>
        </w:rPr>
        <w:t xml:space="preserve">Lipton, P. (2004). </w:t>
      </w:r>
      <w:r>
        <w:rPr>
          <w:i/>
          <w:iCs/>
          <w:sz w:val="22"/>
          <w:szCs w:val="22"/>
        </w:rPr>
        <w:t xml:space="preserve">Inference to the best explanation</w:t>
      </w:r>
      <w:r>
        <w:rPr>
          <w:sz w:val="22"/>
          <w:szCs w:val="22"/>
        </w:rPr>
        <w:t xml:space="preserve"> (2nd ed.). Routledge.</w:t>
      </w:r>
    </w:p>
    <w:p>
      <w:pPr>
        <w:spacing w:after="120" w:line="276"/>
        <w:ind w:left="540" w:hanging="540"/>
        <w:jc w:val="left"/>
      </w:pPr>
      <w:r>
        <w:rPr>
          <w:sz w:val="22"/>
          <w:szCs w:val="22"/>
        </w:rPr>
        <w:t xml:space="preserve">Mayo, D. G. (1996). </w:t>
      </w:r>
      <w:r>
        <w:rPr>
          <w:i/>
          <w:iCs/>
          <w:sz w:val="22"/>
          <w:szCs w:val="22"/>
        </w:rPr>
        <w:t xml:space="preserve">Error and the growth of experimental knowledge</w:t>
      </w:r>
      <w:r>
        <w:rPr>
          <w:sz w:val="22"/>
          <w:szCs w:val="22"/>
        </w:rPr>
        <w:t xml:space="preserve">. University of Chicago Press.</w:t>
      </w:r>
    </w:p>
    <w:p>
      <w:pPr>
        <w:spacing w:after="120" w:line="276"/>
        <w:ind w:left="540" w:hanging="540"/>
        <w:jc w:val="left"/>
      </w:pPr>
      <w:r>
        <w:rPr>
          <w:sz w:val="22"/>
          <w:szCs w:val="22"/>
        </w:rPr>
        <w:t xml:space="preserve">Patel, C. J., Burford, B., &amp; Ioannidis, J. P. A. (2015). Assessment of vibration of effects due to model specification can demonstrate the instability of observational associations. </w:t>
      </w:r>
      <w:r>
        <w:rPr>
          <w:i/>
          <w:iCs/>
          <w:sz w:val="22"/>
          <w:szCs w:val="22"/>
        </w:rPr>
        <w:t xml:space="preserve">Journal of Clinical Epidemiology, 68</w:t>
      </w:r>
      <w:r>
        <w:rPr>
          <w:sz w:val="22"/>
          <w:szCs w:val="22"/>
        </w:rPr>
        <w:t xml:space="preserve">(9), 1046–1058. https://doi.org/10.1016/j.jclinepi.2015.05.029</w:t>
      </w:r>
    </w:p>
    <w:p>
      <w:pPr>
        <w:spacing w:after="120" w:line="276"/>
        <w:ind w:left="540" w:hanging="540"/>
        <w:jc w:val="left"/>
      </w:pPr>
      <w:r>
        <w:rPr>
          <w:sz w:val="22"/>
          <w:szCs w:val="22"/>
        </w:rPr>
        <w:t xml:space="preserve">Pearl, J. (2009). </w:t>
      </w:r>
      <w:r>
        <w:rPr>
          <w:i/>
          <w:iCs/>
          <w:sz w:val="22"/>
          <w:szCs w:val="22"/>
        </w:rPr>
        <w:t xml:space="preserve">Causality: Models, reasoning, and inference</w:t>
      </w:r>
      <w:r>
        <w:rPr>
          <w:sz w:val="22"/>
          <w:szCs w:val="22"/>
        </w:rPr>
        <w:t xml:space="preserve"> (2nd ed.). Cambridge University Press.</w:t>
      </w:r>
    </w:p>
    <w:p>
      <w:pPr>
        <w:spacing w:after="120" w:line="276"/>
        <w:ind w:left="540" w:hanging="540"/>
        <w:jc w:val="left"/>
      </w:pPr>
      <w:r>
        <w:rPr>
          <w:sz w:val="22"/>
          <w:szCs w:val="22"/>
        </w:rPr>
        <w:t xml:space="preserve">Salmon, W. C. (1984). </w:t>
      </w:r>
      <w:r>
        <w:rPr>
          <w:i/>
          <w:iCs/>
          <w:sz w:val="22"/>
          <w:szCs w:val="22"/>
        </w:rPr>
        <w:t xml:space="preserve">Scientific explanation and the causal structure of the world</w:t>
      </w:r>
      <w:r>
        <w:rPr>
          <w:sz w:val="22"/>
          <w:szCs w:val="22"/>
        </w:rPr>
        <w:t xml:space="preserve">. Princeton University Press.</w:t>
      </w:r>
    </w:p>
    <w:p>
      <w:pPr>
        <w:spacing w:after="120" w:line="276"/>
        <w:ind w:left="540" w:hanging="540"/>
        <w:jc w:val="left"/>
      </w:pPr>
      <w:r>
        <w:rPr>
          <w:sz w:val="22"/>
          <w:szCs w:val="22"/>
        </w:rPr>
        <w:t xml:space="preserve">Simonsohn, U., Simmons, J. P., &amp; Nelson, L. D. (2020). Specification curve analysis. </w:t>
      </w:r>
      <w:r>
        <w:rPr>
          <w:i/>
          <w:iCs/>
          <w:sz w:val="22"/>
          <w:szCs w:val="22"/>
        </w:rPr>
        <w:t xml:space="preserve">Nature Human Behaviour, 4</w:t>
      </w:r>
      <w:r>
        <w:rPr>
          <w:sz w:val="22"/>
          <w:szCs w:val="22"/>
        </w:rPr>
        <w:t xml:space="preserve">(11), 1208–1214. https://doi.org/10.1038/s41562-020-0912-z</w:t>
      </w:r>
    </w:p>
    <w:p>
      <w:pPr>
        <w:spacing w:after="120" w:line="276"/>
        <w:ind w:left="540" w:hanging="540"/>
        <w:jc w:val="left"/>
      </w:pPr>
      <w:r>
        <w:rPr>
          <w:sz w:val="22"/>
          <w:szCs w:val="22"/>
        </w:rPr>
        <w:t xml:space="preserve">Steegen, S., Tuerlinckx, F., Gelman, A., &amp; Vanpaemel, W. (2016). Increasing transparency through a multiverse analysis. </w:t>
      </w:r>
      <w:r>
        <w:rPr>
          <w:i/>
          <w:iCs/>
          <w:sz w:val="22"/>
          <w:szCs w:val="22"/>
        </w:rPr>
        <w:t xml:space="preserve">Perspectives on Psychological Science, 11</w:t>
      </w:r>
      <w:r>
        <w:rPr>
          <w:sz w:val="22"/>
          <w:szCs w:val="22"/>
        </w:rPr>
        <w:t xml:space="preserve">(5), 702–712. https://doi.org/10.1177/1745691616658637</w:t>
      </w:r>
    </w:p>
    <w:p>
      <w:pPr>
        <w:spacing w:after="120" w:line="276"/>
        <w:ind w:left="540" w:hanging="540"/>
        <w:jc w:val="left"/>
      </w:pPr>
      <w:r>
        <w:rPr>
          <w:sz w:val="22"/>
          <w:szCs w:val="22"/>
        </w:rPr>
        <w:t xml:space="preserve">Wimsatt, W. C. (1981). Robustness, reliability, and overdetermination. In M. B. Brewer &amp; B. E. Collins (Eds.), </w:t>
      </w:r>
      <w:r>
        <w:rPr>
          <w:i/>
          <w:iCs/>
          <w:sz w:val="22"/>
          <w:szCs w:val="22"/>
        </w:rPr>
        <w:t xml:space="preserve">Scientific inquiry and the social sciences</w:t>
      </w:r>
      <w:r>
        <w:rPr>
          <w:sz w:val="22"/>
          <w:szCs w:val="22"/>
        </w:rPr>
        <w:t xml:space="preserve"> (pp. 124–163). Jossey-Bass.</w:t>
      </w:r>
    </w:p>
    <w:p>
      <w:pPr>
        <w:spacing w:after="120" w:line="276"/>
        <w:ind w:left="540" w:hanging="540"/>
        <w:jc w:val="left"/>
      </w:pPr>
      <w:r>
        <w:rPr>
          <w:sz w:val="22"/>
          <w:szCs w:val="22"/>
        </w:rPr>
        <w:t xml:space="preserve">Woodward, J. (2003). </w:t>
      </w:r>
      <w:r>
        <w:rPr>
          <w:i/>
          <w:iCs/>
          <w:sz w:val="22"/>
          <w:szCs w:val="22"/>
        </w:rPr>
        <w:t xml:space="preserve">Making things happen: A theory of causal explanation</w:t>
      </w:r>
      <w:r>
        <w:rPr>
          <w:sz w:val="22"/>
          <w:szCs w:val="22"/>
        </w:rPr>
        <w:t xml:space="preserve">. Oxford University Press.</w:t>
      </w:r>
    </w:p>
    <w:p>
      <w:pPr>
        <w:spacing w:after="120" w:line="276"/>
        <w:ind w:left="540" w:hanging="540"/>
        <w:jc w:val="left"/>
      </w:pPr>
      <w:r>
        <w:rPr>
          <w:sz w:val="22"/>
          <w:szCs w:val="22"/>
        </w:rPr>
        <w:t xml:space="preserve">Young, C., &amp; Holsteen, K. (2017). Model uncertainty and robustness: A computational framework for multimodel analysis. </w:t>
      </w:r>
      <w:r>
        <w:rPr>
          <w:i/>
          <w:iCs/>
          <w:sz w:val="22"/>
          <w:szCs w:val="22"/>
        </w:rPr>
        <w:t xml:space="preserve">Sociological Methods &amp; Research, 46</w:t>
      </w:r>
      <w:r>
        <w:rPr>
          <w:sz w:val="22"/>
          <w:szCs w:val="22"/>
        </w:rPr>
        <w:t xml:space="preserve">(1), 3–40. https://doi.org/10.1177/0049124115610347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01433dd759b016aa3237cc65bf932f6e5954a1.png"/><Relationship Id="rId9" Type="http://schemas.openxmlformats.org/officeDocument/2006/relationships/image" Target="media/8253d71c49f8934b3d8b69e1fdf014bb71d9f8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diagnosticity condition: a dilution theorem for persistence-based evidence</dc:title>
  <dc:creator>Adrian N. Avramescu</dc:creator>
  <cp:lastModifiedBy>Un-named</cp:lastModifiedBy>
  <cp:revision>1</cp:revision>
  <dcterms:created xsi:type="dcterms:W3CDTF">2026-10-17T18:55:09.443Z</dcterms:created>
  <dcterms:modified xsi:type="dcterms:W3CDTF">2026-10-17T18:55:09.447Z</dcterms:modified>
</cp:coreProperties>
</file>

<file path=docProps/custom.xml><?xml version="1.0" encoding="utf-8"?>
<Properties xmlns="http://schemas.openxmlformats.org/officeDocument/2006/custom-properties" xmlns:vt="http://schemas.openxmlformats.org/officeDocument/2006/docPropsVTypes"/>
</file>