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BB79" w14:textId="77777777" w:rsidR="0064670D" w:rsidRDefault="0064670D">
      <w:r>
        <w:t xml:space="preserve">Who may benefit from EMO? </w:t>
      </w:r>
    </w:p>
    <w:p w14:paraId="15070E9D" w14:textId="77777777" w:rsidR="0064670D" w:rsidRDefault="0064670D"/>
    <w:p w14:paraId="4AC8680A" w14:textId="77777777" w:rsidR="0064670D" w:rsidRDefault="0064670D">
      <w:r>
        <w:t>National stakeholders — who and why</w:t>
      </w:r>
    </w:p>
    <w:p w14:paraId="054C1AA8" w14:textId="77777777" w:rsidR="0064670D" w:rsidRDefault="0064670D"/>
    <w:p w14:paraId="53A75C66" w14:textId="2F3B8569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Central government ministries — finance, economy, interior, justice — need diagnostics to align policies, reduce contradictions, and improve crisis response.   </w:t>
      </w:r>
    </w:p>
    <w:p w14:paraId="569085D4" w14:textId="77777777" w:rsidR="0064670D" w:rsidRDefault="0064670D"/>
    <w:p w14:paraId="016AE884" w14:textId="48050563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Central bank and financial regulators — monitor systemic risk, policy coherence, and market predictability to protect financial stability.   </w:t>
      </w:r>
    </w:p>
    <w:p w14:paraId="4178753B" w14:textId="77777777" w:rsidR="0064670D" w:rsidRDefault="0064670D" w:rsidP="0064670D">
      <w:pPr>
        <w:pStyle w:val="ListParagraph"/>
      </w:pPr>
    </w:p>
    <w:p w14:paraId="7D66C2E7" w14:textId="77777777" w:rsidR="0064670D" w:rsidRDefault="0064670D"/>
    <w:p w14:paraId="6A500589" w14:textId="45362B61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Local and regional authorities — use coherence metrics to coordinate planning, reduce administrative friction, and improve service delivery.   </w:t>
      </w:r>
    </w:p>
    <w:p w14:paraId="1AF15A79" w14:textId="77777777" w:rsidR="0064670D" w:rsidRDefault="0064670D"/>
    <w:p w14:paraId="3828978B" w14:textId="627EDD0C" w:rsidR="0064670D" w:rsidRDefault="0064670D" w:rsidP="0064670D">
      <w:pPr>
        <w:pStyle w:val="ListParagraph"/>
        <w:numPr>
          <w:ilvl w:val="0"/>
          <w:numId w:val="1"/>
        </w:numPr>
      </w:pPr>
      <w:r>
        <w:t>State</w:t>
      </w:r>
      <w:r>
        <w:rPr>
          <w:rFonts w:ascii="Cambria Math" w:hAnsi="Cambria Math" w:cs="Cambria Math"/>
        </w:rPr>
        <w:t>‑</w:t>
      </w:r>
      <w:r>
        <w:t xml:space="preserve">owned enterprises and major utilities — benefit from clearer regulatory signals and more predictable procurement and investment environments.  </w:t>
      </w:r>
    </w:p>
    <w:p w14:paraId="5704E683" w14:textId="77777777" w:rsidR="0064670D" w:rsidRDefault="0064670D" w:rsidP="0064670D">
      <w:pPr>
        <w:pStyle w:val="ListParagraph"/>
      </w:pPr>
    </w:p>
    <w:p w14:paraId="084A8332" w14:textId="77777777" w:rsidR="0064670D" w:rsidRDefault="0064670D"/>
    <w:p w14:paraId="2D97C485" w14:textId="720C2586" w:rsidR="0064670D" w:rsidRDefault="0064670D" w:rsidP="0064670D">
      <w:pPr>
        <w:pStyle w:val="ListParagraph"/>
        <w:numPr>
          <w:ilvl w:val="0"/>
          <w:numId w:val="1"/>
        </w:numPr>
      </w:pPr>
      <w:r>
        <w:t>Large domestic corporations and industry associations — seek predictability for capital allocation, long</w:t>
      </w:r>
      <w:r>
        <w:rPr>
          <w:rFonts w:ascii="Cambria Math" w:hAnsi="Cambria Math" w:cs="Cambria Math"/>
        </w:rPr>
        <w:t>‑</w:t>
      </w:r>
      <w:r>
        <w:t xml:space="preserve">term planning, and regulatory engagement.   </w:t>
      </w:r>
    </w:p>
    <w:p w14:paraId="325AF45D" w14:textId="77777777" w:rsidR="0064670D" w:rsidRDefault="0064670D"/>
    <w:p w14:paraId="665D69A7" w14:textId="13F8E0F2" w:rsidR="0064670D" w:rsidRDefault="0064670D" w:rsidP="0064670D">
      <w:pPr>
        <w:pStyle w:val="ListParagraph"/>
        <w:numPr>
          <w:ilvl w:val="0"/>
          <w:numId w:val="1"/>
        </w:numPr>
      </w:pPr>
      <w:r>
        <w:t>Institutional investors and pension funds — use systemic</w:t>
      </w:r>
      <w:r>
        <w:rPr>
          <w:rFonts w:ascii="Cambria Math" w:hAnsi="Cambria Math" w:cs="Cambria Math"/>
        </w:rPr>
        <w:t>‑</w:t>
      </w:r>
      <w:r>
        <w:t xml:space="preserve">coherence indicators to assess country risk and stewardship priorities.   </w:t>
      </w:r>
    </w:p>
    <w:p w14:paraId="0E1B149F" w14:textId="77777777" w:rsidR="0064670D" w:rsidRDefault="0064670D" w:rsidP="0064670D">
      <w:pPr>
        <w:pStyle w:val="ListParagraph"/>
      </w:pPr>
    </w:p>
    <w:p w14:paraId="28AB0BA7" w14:textId="77777777" w:rsidR="0064670D" w:rsidRDefault="0064670D"/>
    <w:p w14:paraId="44EAD34B" w14:textId="3FF2D8BA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Small and medium enterprises (SMEs) </w:t>
      </w:r>
    </w:p>
    <w:p w14:paraId="7FB8C4FA" w14:textId="77777777" w:rsidR="0064670D" w:rsidRDefault="0064670D"/>
    <w:p w14:paraId="6E6997C3" w14:textId="313E036B" w:rsidR="0064670D" w:rsidRDefault="0064670D" w:rsidP="0064670D">
      <w:pPr>
        <w:pStyle w:val="ListParagraph"/>
        <w:numPr>
          <w:ilvl w:val="1"/>
          <w:numId w:val="1"/>
        </w:numPr>
      </w:pPr>
      <w:r>
        <w:t xml:space="preserve">Gain from reduced legislative and administrative volatility that lowers compliance costs and uncertainty.  </w:t>
      </w:r>
    </w:p>
    <w:p w14:paraId="63F01816" w14:textId="77777777" w:rsidR="0064670D" w:rsidRDefault="0064670D"/>
    <w:p w14:paraId="0CD8F4C3" w14:textId="3315E960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Think tanks and policy research </w:t>
      </w:r>
      <w:proofErr w:type="spellStart"/>
      <w:r>
        <w:t>centres</w:t>
      </w:r>
      <w:proofErr w:type="spellEnd"/>
      <w:r>
        <w:t xml:space="preserve"> — adopt EMO outputs for evidence</w:t>
      </w:r>
      <w:r>
        <w:rPr>
          <w:rFonts w:ascii="Cambria Math" w:hAnsi="Cambria Math" w:cs="Cambria Math"/>
        </w:rPr>
        <w:t>‑</w:t>
      </w:r>
      <w:r>
        <w:t xml:space="preserve">based recommendations and public debate.   </w:t>
      </w:r>
    </w:p>
    <w:p w14:paraId="7A329E79" w14:textId="77777777" w:rsidR="0064670D" w:rsidRDefault="0064670D"/>
    <w:p w14:paraId="02F68CA9" w14:textId="34B8AFF6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Universities and research institutes — partner on methodology, validation, and academic publications.  </w:t>
      </w:r>
    </w:p>
    <w:p w14:paraId="26D08BAC" w14:textId="77777777" w:rsidR="0064670D" w:rsidRDefault="0064670D" w:rsidP="0064670D">
      <w:pPr>
        <w:pStyle w:val="ListParagraph"/>
      </w:pPr>
    </w:p>
    <w:p w14:paraId="477ED6E2" w14:textId="77777777" w:rsidR="0064670D" w:rsidRDefault="0064670D"/>
    <w:p w14:paraId="68066B60" w14:textId="298AFCB5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Civil society </w:t>
      </w:r>
      <w:proofErr w:type="spellStart"/>
      <w:r>
        <w:t>organisations</w:t>
      </w:r>
      <w:proofErr w:type="spellEnd"/>
      <w:r>
        <w:t xml:space="preserve"> and consumer groups — monitor governance quality and hold institutions accountable.   </w:t>
      </w:r>
    </w:p>
    <w:p w14:paraId="59523976" w14:textId="77777777" w:rsidR="0064670D" w:rsidRDefault="0064670D"/>
    <w:p w14:paraId="427339CF" w14:textId="6A2BC906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Media and business press — translate EMO findings into accessible narratives that influence public opinion and investor confidence.  </w:t>
      </w:r>
    </w:p>
    <w:p w14:paraId="28BB4272" w14:textId="77777777" w:rsidR="0064670D" w:rsidRDefault="0064670D" w:rsidP="0064670D">
      <w:pPr>
        <w:pStyle w:val="ListParagraph"/>
      </w:pPr>
    </w:p>
    <w:p w14:paraId="597DA126" w14:textId="77777777" w:rsidR="0064670D" w:rsidRDefault="0064670D">
      <w:pPr>
        <w:pBdr>
          <w:bottom w:val="single" w:sz="6" w:space="1" w:color="auto"/>
        </w:pBdr>
      </w:pPr>
    </w:p>
    <w:p w14:paraId="57518D97" w14:textId="77777777" w:rsidR="0064670D" w:rsidRDefault="0064670D"/>
    <w:p w14:paraId="6EB1C347" w14:textId="77777777" w:rsidR="0064670D" w:rsidRDefault="0064670D">
      <w:r>
        <w:t>International stakeholders — who and why</w:t>
      </w:r>
    </w:p>
    <w:p w14:paraId="349D6A70" w14:textId="77777777" w:rsidR="0064670D" w:rsidRDefault="0064670D"/>
    <w:p w14:paraId="160916E4" w14:textId="2DA43879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Multilateral institutions (IMF, World Bank, EBRD) — integrate coherence diagnostics into governance assessments, conditionality, and technical assistance.   </w:t>
      </w:r>
    </w:p>
    <w:p w14:paraId="75BFF840" w14:textId="77777777" w:rsidR="0064670D" w:rsidRDefault="0064670D"/>
    <w:p w14:paraId="60A39DC4" w14:textId="0350161D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OECD and regional policy bodies — compare regulatory quality and stakeholder engagement across countries; use EMO for benchmarking.   </w:t>
      </w:r>
    </w:p>
    <w:p w14:paraId="4CAD6F9C" w14:textId="77777777" w:rsidR="0064670D" w:rsidRDefault="0064670D" w:rsidP="0064670D">
      <w:pPr>
        <w:pStyle w:val="ListParagraph"/>
      </w:pPr>
    </w:p>
    <w:p w14:paraId="7FE86568" w14:textId="77777777" w:rsidR="0064670D" w:rsidRDefault="0064670D"/>
    <w:p w14:paraId="118734A1" w14:textId="349FA364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Development finance institutions and bilateral donors — target reforms, measure impact, and reduce project risk through systemic coherence metrics.  </w:t>
      </w:r>
    </w:p>
    <w:p w14:paraId="0AFAC2E8" w14:textId="77777777" w:rsidR="0064670D" w:rsidRDefault="0064670D"/>
    <w:p w14:paraId="5113FD85" w14:textId="47B0ABAF" w:rsidR="0064670D" w:rsidRDefault="0064670D" w:rsidP="0064670D">
      <w:pPr>
        <w:pStyle w:val="ListParagraph"/>
        <w:numPr>
          <w:ilvl w:val="0"/>
          <w:numId w:val="1"/>
        </w:numPr>
      </w:pPr>
      <w:r>
        <w:t>Sovereign and institutional investors (</w:t>
      </w:r>
      <w:proofErr w:type="spellStart"/>
      <w:r>
        <w:t>glotime</w:t>
      </w:r>
      <w:proofErr w:type="spellEnd"/>
      <w:r>
        <w:t xml:space="preserve">-to-policy-alignment, an </w:t>
      </w:r>
      <w:proofErr w:type="spellStart"/>
      <w:r>
        <w:t>unds</w:t>
      </w:r>
      <w:proofErr w:type="spellEnd"/>
      <w:r>
        <w:t>) — incorporate EMO into country</w:t>
      </w:r>
      <w:r>
        <w:rPr>
          <w:rFonts w:ascii="Cambria Math" w:hAnsi="Cambria Math" w:cs="Cambria Math"/>
        </w:rPr>
        <w:t>‑</w:t>
      </w:r>
      <w:r>
        <w:t xml:space="preserve">risk models and stewardship strategies.   </w:t>
      </w:r>
    </w:p>
    <w:p w14:paraId="620DCFF2" w14:textId="77777777" w:rsidR="0064670D" w:rsidRDefault="0064670D" w:rsidP="0064670D">
      <w:pPr>
        <w:pStyle w:val="ListParagraph"/>
      </w:pPr>
    </w:p>
    <w:p w14:paraId="06F1BCD9" w14:textId="77777777" w:rsidR="0064670D" w:rsidRDefault="0064670D"/>
    <w:p w14:paraId="02E68908" w14:textId="46EF5DF1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Credit rating agencies — supplement sovereign assessments with structured measures of policy predictability and administrative friction.  </w:t>
      </w:r>
    </w:p>
    <w:p w14:paraId="6123B439" w14:textId="77777777" w:rsidR="0064670D" w:rsidRDefault="0064670D"/>
    <w:p w14:paraId="31C5D104" w14:textId="28A94218" w:rsidR="0064670D" w:rsidRDefault="0064670D" w:rsidP="0064670D">
      <w:pPr>
        <w:pStyle w:val="ListParagraph"/>
        <w:numPr>
          <w:ilvl w:val="0"/>
          <w:numId w:val="1"/>
        </w:numPr>
      </w:pPr>
      <w:r>
        <w:t>International consultancies and risk</w:t>
      </w:r>
      <w:r>
        <w:rPr>
          <w:rFonts w:ascii="Cambria Math" w:hAnsi="Cambria Math" w:cs="Cambria Math"/>
        </w:rPr>
        <w:t>‑</w:t>
      </w:r>
      <w:r>
        <w:t>advisory firms — offer EMO</w:t>
      </w:r>
      <w:r>
        <w:rPr>
          <w:rFonts w:ascii="Cambria Math" w:hAnsi="Cambria Math" w:cs="Cambria Math"/>
        </w:rPr>
        <w:t>‑</w:t>
      </w:r>
      <w:r>
        <w:t xml:space="preserve">based advisory services to clients entering or operating in a market.  </w:t>
      </w:r>
    </w:p>
    <w:p w14:paraId="77709850" w14:textId="77777777" w:rsidR="0064670D" w:rsidRDefault="0064670D" w:rsidP="0064670D">
      <w:pPr>
        <w:pStyle w:val="ListParagraph"/>
      </w:pPr>
    </w:p>
    <w:p w14:paraId="0CF05CEC" w14:textId="77777777" w:rsidR="0064670D" w:rsidRDefault="0064670D"/>
    <w:p w14:paraId="7C2994BC" w14:textId="3590333E" w:rsidR="0064670D" w:rsidRDefault="0064670D" w:rsidP="0064670D">
      <w:pPr>
        <w:pStyle w:val="ListParagraph"/>
        <w:numPr>
          <w:ilvl w:val="0"/>
          <w:numId w:val="1"/>
        </w:numPr>
      </w:pPr>
      <w:r>
        <w:t>Global NGOs and advocacy networks — use EMO data to campaign for transparency, rule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law improvements, and anti</w:t>
      </w:r>
      <w:r>
        <w:rPr>
          <w:rFonts w:ascii="Cambria Math" w:hAnsi="Cambria Math" w:cs="Cambria Math"/>
        </w:rPr>
        <w:t>‑</w:t>
      </w:r>
      <w:r>
        <w:t xml:space="preserve">corruption measures.  </w:t>
      </w:r>
    </w:p>
    <w:p w14:paraId="623BE9AE" w14:textId="77777777" w:rsidR="0064670D" w:rsidRDefault="0064670D"/>
    <w:p w14:paraId="2F809BF1" w14:textId="798567B8" w:rsidR="0064670D" w:rsidRDefault="0064670D" w:rsidP="0064670D">
      <w:pPr>
        <w:pStyle w:val="ListParagraph"/>
        <w:numPr>
          <w:ilvl w:val="0"/>
          <w:numId w:val="1"/>
        </w:numPr>
      </w:pPr>
      <w:r>
        <w:t>Academic networks and research consortia — validate methodology, run cross</w:t>
      </w:r>
      <w:r>
        <w:rPr>
          <w:rFonts w:ascii="Cambria Math" w:hAnsi="Cambria Math" w:cs="Cambria Math"/>
        </w:rPr>
        <w:t>‑</w:t>
      </w:r>
      <w:r>
        <w:t xml:space="preserve">country studies, and publish comparative analyses.  </w:t>
      </w:r>
    </w:p>
    <w:p w14:paraId="1FE0A551" w14:textId="77777777" w:rsidR="0064670D" w:rsidRDefault="0064670D" w:rsidP="0064670D">
      <w:pPr>
        <w:pStyle w:val="ListParagraph"/>
      </w:pPr>
    </w:p>
    <w:p w14:paraId="73EB3D52" w14:textId="77777777" w:rsidR="0064670D" w:rsidRDefault="0064670D"/>
    <w:p w14:paraId="229C6BA7" w14:textId="0832EABF" w:rsidR="0064670D" w:rsidRDefault="0064670D" w:rsidP="0064670D">
      <w:pPr>
        <w:pStyle w:val="ListParagraph"/>
        <w:numPr>
          <w:ilvl w:val="0"/>
          <w:numId w:val="1"/>
        </w:numPr>
      </w:pPr>
      <w:r>
        <w:t xml:space="preserve">Standards and stewardship bodies (ICGN, PRI, etc.) — integrate systemic coherence into stewardship toolkits and investor advocacy.   </w:t>
      </w:r>
    </w:p>
    <w:p w14:paraId="65DA98B1" w14:textId="77777777" w:rsidR="0064670D" w:rsidRDefault="0064670D">
      <w:pPr>
        <w:pBdr>
          <w:bottom w:val="single" w:sz="6" w:space="1" w:color="auto"/>
        </w:pBdr>
      </w:pPr>
    </w:p>
    <w:p w14:paraId="177BA095" w14:textId="77777777" w:rsidR="0064670D" w:rsidRDefault="0064670D"/>
    <w:p w14:paraId="7CCC401A" w14:textId="73A43970" w:rsidR="0064670D" w:rsidRDefault="0064670D" w:rsidP="0064670D">
      <w:pPr>
        <w:pStyle w:val="ListParagraph"/>
        <w:numPr>
          <w:ilvl w:val="0"/>
          <w:numId w:val="2"/>
        </w:numPr>
      </w:pPr>
      <w:r>
        <w:t xml:space="preserve">Domestic: Ministries (Finance, Economy), Central Bank, major industry associations.  </w:t>
      </w:r>
    </w:p>
    <w:p w14:paraId="42C42CB1" w14:textId="77777777" w:rsidR="0064670D" w:rsidRDefault="0064670D"/>
    <w:p w14:paraId="7AF356E4" w14:textId="62D7C6E4" w:rsidR="0064670D" w:rsidRDefault="0064670D" w:rsidP="0064670D">
      <w:pPr>
        <w:pStyle w:val="ListParagraph"/>
        <w:numPr>
          <w:ilvl w:val="0"/>
          <w:numId w:val="2"/>
        </w:numPr>
      </w:pPr>
      <w:r>
        <w:t xml:space="preserve">International: IMF/World Bank, OECD, large institutional investors, development banks.  </w:t>
      </w:r>
    </w:p>
    <w:p w14:paraId="3636AB0D" w14:textId="77777777" w:rsidR="0064670D" w:rsidRDefault="0064670D" w:rsidP="0064670D">
      <w:pPr>
        <w:pStyle w:val="ListParagraph"/>
      </w:pPr>
    </w:p>
    <w:p w14:paraId="64596BCD" w14:textId="77777777" w:rsidR="0064670D" w:rsidRDefault="0064670D"/>
    <w:p w14:paraId="558984CB" w14:textId="77777777" w:rsidR="0064670D" w:rsidRDefault="0064670D">
      <w:r>
        <w:t>These groups combine decision‑making power, funding influence, and the ability to scale EMO’s impact.</w:t>
      </w:r>
    </w:p>
    <w:p w14:paraId="17B83A1D" w14:textId="77777777" w:rsidR="0064670D" w:rsidRDefault="0064670D"/>
    <w:p w14:paraId="119A2043" w14:textId="77777777" w:rsidR="0064670D" w:rsidRDefault="0064670D">
      <w:r>
        <w:t xml:space="preserve"> Ministries and central government agencies</w:t>
      </w:r>
    </w:p>
    <w:p w14:paraId="60D466E1" w14:textId="77777777" w:rsidR="0064670D" w:rsidRDefault="0064670D"/>
    <w:p w14:paraId="4F7BBCF3" w14:textId="77777777" w:rsidR="0064670D" w:rsidRDefault="0064670D">
      <w:r>
        <w:t xml:space="preserve">Why it matters — Ministries need tools that reduce policy contradictions, improve crisis response, and make budgets more effective.  </w:t>
      </w:r>
    </w:p>
    <w:p w14:paraId="590C8FBE" w14:textId="77777777" w:rsidR="0064670D" w:rsidRDefault="0064670D"/>
    <w:p w14:paraId="51F34137" w14:textId="77777777" w:rsidR="0064670D" w:rsidRDefault="0064670D">
      <w:r>
        <w:t xml:space="preserve">Key benefits — faster crisis reaction, lower administrative waste, clearer cross‑ministry coordination.  </w:t>
      </w:r>
    </w:p>
    <w:p w14:paraId="7C19C8F9" w14:textId="77777777" w:rsidR="0064670D" w:rsidRDefault="0064670D"/>
    <w:p w14:paraId="043FEB2D" w14:textId="77777777" w:rsidR="0064670D" w:rsidRDefault="0064670D">
      <w:r>
        <w:t xml:space="preserve">What EMO delivers — Regular coherence scorecards; policy correlation maps; early‑warning flags for conflicting regulations.  </w:t>
      </w:r>
    </w:p>
    <w:p w14:paraId="232DD46C" w14:textId="77777777" w:rsidR="0064670D" w:rsidRDefault="0064670D"/>
    <w:p w14:paraId="303AFA1E" w14:textId="77777777" w:rsidR="0064670D" w:rsidRDefault="0064670D">
      <w:r>
        <w:t xml:space="preserve">Concrete metrics — Decision predictability index; policy alignment score; estimated fiscal leakage from incoherence.  </w:t>
      </w:r>
    </w:p>
    <w:p w14:paraId="619A244B" w14:textId="77777777" w:rsidR="0064670D" w:rsidRDefault="0064670D"/>
    <w:p w14:paraId="716F3174" w14:textId="77777777" w:rsidR="0064670D" w:rsidRDefault="0064670D">
      <w:r>
        <w:t xml:space="preserve">Engagement options — Pilot on a single ministry; quarterly dashboards; technical advisory to integrate EMO outputs into policy planning.  </w:t>
      </w:r>
    </w:p>
    <w:p w14:paraId="51C911AC" w14:textId="77777777" w:rsidR="0064670D" w:rsidRDefault="0064670D"/>
    <w:p w14:paraId="29B7C7EE" w14:textId="77777777" w:rsidR="0064670D" w:rsidRDefault="0064670D">
      <w:r>
        <w:t>Call to action — Request a 3‑month pilot scoped to one policy area (taxation, procurement, or infrastructure).</w:t>
      </w:r>
    </w:p>
    <w:p w14:paraId="0A7DC424" w14:textId="77777777" w:rsidR="0064670D" w:rsidRDefault="0064670D">
      <w:pPr>
        <w:pBdr>
          <w:bottom w:val="single" w:sz="6" w:space="1" w:color="auto"/>
        </w:pBdr>
      </w:pPr>
    </w:p>
    <w:p w14:paraId="711F879F" w14:textId="77777777" w:rsidR="0064670D" w:rsidRDefault="0064670D"/>
    <w:p w14:paraId="61A2C1E4" w14:textId="77777777" w:rsidR="0064670D" w:rsidRDefault="0064670D">
      <w:r>
        <w:t>Central bank and financial regulators</w:t>
      </w:r>
    </w:p>
    <w:p w14:paraId="3BF52DA8" w14:textId="77777777" w:rsidR="0064670D" w:rsidRDefault="0064670D"/>
    <w:p w14:paraId="47E55A1A" w14:textId="77777777" w:rsidR="0064670D" w:rsidRDefault="0064670D">
      <w:r>
        <w:t xml:space="preserve">Why it matters — Predictability and coordinated policy reduce systemic financial risk and improve market functioning.  </w:t>
      </w:r>
    </w:p>
    <w:p w14:paraId="44BE69A4" w14:textId="77777777" w:rsidR="0064670D" w:rsidRDefault="0064670D"/>
    <w:p w14:paraId="57E79C62" w14:textId="77777777" w:rsidR="0064670D" w:rsidRDefault="0064670D">
      <w:r>
        <w:t xml:space="preserve">Key benefits — improved systemic risk signals, better stress‑test inputs, clearer </w:t>
      </w:r>
      <w:proofErr w:type="spellStart"/>
      <w:r>
        <w:t>macroprudential</w:t>
      </w:r>
      <w:proofErr w:type="spellEnd"/>
      <w:r>
        <w:t xml:space="preserve"> policy coordination.  </w:t>
      </w:r>
    </w:p>
    <w:p w14:paraId="6B673357" w14:textId="77777777" w:rsidR="0064670D" w:rsidRDefault="0064670D"/>
    <w:p w14:paraId="71298557" w14:textId="77777777" w:rsidR="0064670D" w:rsidRDefault="0064670D">
      <w:r>
        <w:t xml:space="preserve">What EMO delivers — Coherence indicators feeding into risk models; scenario analysis for regulatory shocks.  </w:t>
      </w:r>
    </w:p>
    <w:p w14:paraId="60ED5AA8" w14:textId="77777777" w:rsidR="0064670D" w:rsidRDefault="0064670D"/>
    <w:p w14:paraId="0CBBC935" w14:textId="77777777" w:rsidR="0064670D" w:rsidRDefault="0064670D">
      <w:r>
        <w:t xml:space="preserve">Concrete metrics — Policy shock propagation index, time-to-policy-alignment, and after crises.  </w:t>
      </w:r>
    </w:p>
    <w:p w14:paraId="1B22B87E" w14:textId="77777777" w:rsidR="0064670D" w:rsidRDefault="0064670D"/>
    <w:p w14:paraId="1E0C8321" w14:textId="77777777" w:rsidR="0064670D" w:rsidRDefault="0064670D">
      <w:r>
        <w:t xml:space="preserve">Engagement options — Integrate EMO outputs into supervisory dashboards; joint research on macro‑stability implications.  </w:t>
      </w:r>
    </w:p>
    <w:p w14:paraId="610F5C28" w14:textId="77777777" w:rsidR="0064670D" w:rsidRDefault="0064670D"/>
    <w:p w14:paraId="254F5C33" w14:textId="77777777" w:rsidR="0064670D" w:rsidRDefault="0064670D">
      <w:r>
        <w:t xml:space="preserve">Call to action — Propose a technical workshop with the </w:t>
      </w:r>
      <w:proofErr w:type="spellStart"/>
      <w:r>
        <w:t>macroprudential</w:t>
      </w:r>
      <w:proofErr w:type="spellEnd"/>
      <w:r>
        <w:t xml:space="preserve"> team to map use cases.</w:t>
      </w:r>
    </w:p>
    <w:p w14:paraId="7090D90E" w14:textId="77777777" w:rsidR="0064670D" w:rsidRDefault="0064670D">
      <w:pPr>
        <w:pBdr>
          <w:bottom w:val="single" w:sz="6" w:space="1" w:color="auto"/>
        </w:pBdr>
      </w:pPr>
    </w:p>
    <w:p w14:paraId="653C6A02" w14:textId="77777777" w:rsidR="0064670D" w:rsidRDefault="0064670D"/>
    <w:p w14:paraId="59BBC08B" w14:textId="77777777" w:rsidR="0064670D" w:rsidRDefault="0064670D">
      <w:r>
        <w:t>Local and regional authorities</w:t>
      </w:r>
    </w:p>
    <w:p w14:paraId="12D66AF7" w14:textId="77777777" w:rsidR="0064670D" w:rsidRDefault="0064670D"/>
    <w:p w14:paraId="46D250BC" w14:textId="77777777" w:rsidR="0064670D" w:rsidRDefault="0064670D">
      <w:r>
        <w:t xml:space="preserve">Why it matters — Coherent national‑local policy alignment reduces project delays and improves service delivery.  </w:t>
      </w:r>
    </w:p>
    <w:p w14:paraId="0D700F52" w14:textId="77777777" w:rsidR="0064670D" w:rsidRDefault="0064670D"/>
    <w:p w14:paraId="1F087A28" w14:textId="77777777" w:rsidR="0064670D" w:rsidRDefault="0064670D">
      <w:r>
        <w:t xml:space="preserve">Key benefits — faster project delivery, lower procurement disputes, better intergovernmental planning.  </w:t>
      </w:r>
    </w:p>
    <w:p w14:paraId="2343214E" w14:textId="77777777" w:rsidR="0064670D" w:rsidRDefault="0064670D"/>
    <w:p w14:paraId="61617FD5" w14:textId="77777777" w:rsidR="0064670D" w:rsidRDefault="0064670D">
      <w:r>
        <w:t xml:space="preserve">What EMO delivers — Local coherence </w:t>
      </w:r>
      <w:proofErr w:type="spellStart"/>
      <w:r>
        <w:t>heatmaps</w:t>
      </w:r>
      <w:proofErr w:type="spellEnd"/>
      <w:r>
        <w:t xml:space="preserve">; administrative friction diagnostics; prioritized fixes for permitting and procurement.  </w:t>
      </w:r>
    </w:p>
    <w:p w14:paraId="7471E7B1" w14:textId="77777777" w:rsidR="0064670D" w:rsidRDefault="0064670D"/>
    <w:p w14:paraId="50D25EEC" w14:textId="77777777" w:rsidR="0064670D" w:rsidRDefault="0064670D">
      <w:r>
        <w:t xml:space="preserve">Concrete metrics — Permitting delay index; interagency contradiction count; projected cost savings per project.  </w:t>
      </w:r>
    </w:p>
    <w:p w14:paraId="319053AF" w14:textId="77777777" w:rsidR="0064670D" w:rsidRDefault="0064670D"/>
    <w:p w14:paraId="08E73326" w14:textId="77777777" w:rsidR="0064670D" w:rsidRDefault="0064670D">
      <w:r>
        <w:t xml:space="preserve">Engagement options — City‑level pilot on infrastructure permitting; training for regional planning offices.  </w:t>
      </w:r>
    </w:p>
    <w:p w14:paraId="28A1F2BA" w14:textId="77777777" w:rsidR="0064670D" w:rsidRDefault="0064670D"/>
    <w:p w14:paraId="67E98CB4" w14:textId="77777777" w:rsidR="0064670D" w:rsidRDefault="0064670D">
      <w:r>
        <w:t>Call to action — Start a municipal pilot focused on one major infrastructure project.</w:t>
      </w:r>
    </w:p>
    <w:p w14:paraId="05C7CC02" w14:textId="77777777" w:rsidR="0064670D" w:rsidRDefault="0064670D">
      <w:pPr>
        <w:pBdr>
          <w:bottom w:val="single" w:sz="6" w:space="1" w:color="auto"/>
        </w:pBdr>
      </w:pPr>
    </w:p>
    <w:p w14:paraId="199F8737" w14:textId="77777777" w:rsidR="0064670D" w:rsidRDefault="0064670D"/>
    <w:p w14:paraId="18130D9E" w14:textId="77777777" w:rsidR="0064670D" w:rsidRDefault="0064670D">
      <w:r>
        <w:t>State‑owned enterprises and major utilities</w:t>
      </w:r>
    </w:p>
    <w:p w14:paraId="2DFE2890" w14:textId="77777777" w:rsidR="0064670D" w:rsidRDefault="0064670D"/>
    <w:p w14:paraId="0A66DEB4" w14:textId="77777777" w:rsidR="0064670D" w:rsidRDefault="0064670D">
      <w:r>
        <w:t xml:space="preserve">Why it matters — Regulatory unpredictability and administrative contradictions raise operating costs and investment risk.  </w:t>
      </w:r>
    </w:p>
    <w:p w14:paraId="277A5052" w14:textId="77777777" w:rsidR="0064670D" w:rsidRDefault="0064670D"/>
    <w:p w14:paraId="1A6824B8" w14:textId="77777777" w:rsidR="0064670D" w:rsidRDefault="0064670D">
      <w:r>
        <w:t xml:space="preserve">Key benefits — clearer regulatory signals, smoother procurement cycles, reduced compliance overhead.  </w:t>
      </w:r>
    </w:p>
    <w:p w14:paraId="285572E6" w14:textId="77777777" w:rsidR="0064670D" w:rsidRDefault="0064670D"/>
    <w:p w14:paraId="7125A30A" w14:textId="77777777" w:rsidR="0064670D" w:rsidRDefault="0064670D">
      <w:r>
        <w:t xml:space="preserve">What EMO delivers — Regulatory coherence reports; procurement conflict alerts; investment‑risk dashboards.  </w:t>
      </w:r>
    </w:p>
    <w:p w14:paraId="4BECAD65" w14:textId="77777777" w:rsidR="0064670D" w:rsidRDefault="0064670D"/>
    <w:p w14:paraId="51C4D1C9" w14:textId="77777777" w:rsidR="0064670D" w:rsidRDefault="0064670D">
      <w:r>
        <w:t xml:space="preserve">Concrete metrics — Regulatory change volatility; procurement re‑tender and rate; estimated annual savings.  </w:t>
      </w:r>
    </w:p>
    <w:p w14:paraId="06B0DA8C" w14:textId="77777777" w:rsidR="0064670D" w:rsidRDefault="0064670D"/>
    <w:p w14:paraId="49BCEE1F" w14:textId="77777777" w:rsidR="0064670D" w:rsidRDefault="0064670D">
      <w:r>
        <w:t xml:space="preserve">Engagement options — Confidential diagnostics for board-level risk committees; integration with investment planning.  </w:t>
      </w:r>
    </w:p>
    <w:p w14:paraId="7007FD1E" w14:textId="77777777" w:rsidR="0064670D" w:rsidRDefault="0064670D"/>
    <w:p w14:paraId="7D864A47" w14:textId="77777777" w:rsidR="0064670D" w:rsidRDefault="0064670D">
      <w:r>
        <w:t>Call to action — Commission a confidential diagnostic for a single utility or SOE.</w:t>
      </w:r>
    </w:p>
    <w:p w14:paraId="23DC72AA" w14:textId="77777777" w:rsidR="0064670D" w:rsidRDefault="0064670D">
      <w:pPr>
        <w:pBdr>
          <w:bottom w:val="single" w:sz="6" w:space="1" w:color="auto"/>
        </w:pBdr>
      </w:pPr>
    </w:p>
    <w:p w14:paraId="1E342D2C" w14:textId="77777777" w:rsidR="0064670D" w:rsidRDefault="0064670D"/>
    <w:p w14:paraId="52B5A728" w14:textId="77777777" w:rsidR="0064670D" w:rsidRDefault="0064670D">
      <w:r>
        <w:t>Large corporations and industry associations</w:t>
      </w:r>
    </w:p>
    <w:p w14:paraId="1DDA8FE3" w14:textId="77777777" w:rsidR="0064670D" w:rsidRDefault="0064670D"/>
    <w:p w14:paraId="64CEAF96" w14:textId="77777777" w:rsidR="0064670D" w:rsidRDefault="0064670D">
      <w:r>
        <w:t xml:space="preserve">Why it matters — Business planning depends on predictable rules and stable administrative processes.  </w:t>
      </w:r>
    </w:p>
    <w:p w14:paraId="6832E934" w14:textId="77777777" w:rsidR="0064670D" w:rsidRDefault="0064670D"/>
    <w:p w14:paraId="04295652" w14:textId="77777777" w:rsidR="0064670D" w:rsidRDefault="0064670D">
      <w:r>
        <w:t xml:space="preserve">Key benefits — lower country risk premium, improved capital allocation, fewer compliance surprises.  </w:t>
      </w:r>
    </w:p>
    <w:p w14:paraId="40E146E1" w14:textId="77777777" w:rsidR="0064670D" w:rsidRDefault="0064670D"/>
    <w:p w14:paraId="1D68FD55" w14:textId="77777777" w:rsidR="0064670D" w:rsidRDefault="0064670D">
      <w:r>
        <w:t xml:space="preserve">What EMO delivers — Country coherence scorecards; </w:t>
      </w:r>
      <w:proofErr w:type="spellStart"/>
      <w:r>
        <w:t>sectoral</w:t>
      </w:r>
      <w:proofErr w:type="spellEnd"/>
      <w:r>
        <w:t xml:space="preserve"> policy alignment analyses; scenario planning for regulatory shifts.  </w:t>
      </w:r>
    </w:p>
    <w:p w14:paraId="5FCB6651" w14:textId="77777777" w:rsidR="0064670D" w:rsidRDefault="0064670D"/>
    <w:p w14:paraId="1921135C" w14:textId="77777777" w:rsidR="0064670D" w:rsidRDefault="0064670D">
      <w:r>
        <w:t xml:space="preserve">Concrete metrics — Policy predictability score; expected reduction in compliance costs.  </w:t>
      </w:r>
    </w:p>
    <w:p w14:paraId="24F07369" w14:textId="77777777" w:rsidR="0064670D" w:rsidRDefault="0064670D"/>
    <w:p w14:paraId="37884575" w14:textId="77777777" w:rsidR="0064670D" w:rsidRDefault="0064670D">
      <w:r>
        <w:t xml:space="preserve">Engagement options — Subscription dashboards for association members; bespoke reports for major investors.  </w:t>
      </w:r>
    </w:p>
    <w:p w14:paraId="01DD69D5" w14:textId="77777777" w:rsidR="0064670D" w:rsidRDefault="0064670D"/>
    <w:p w14:paraId="2631B911" w14:textId="77777777" w:rsidR="0064670D" w:rsidRDefault="0064670D">
      <w:r>
        <w:t xml:space="preserve">Call to action — Offer a </w:t>
      </w:r>
      <w:proofErr w:type="spellStart"/>
      <w:r>
        <w:t>sectoral</w:t>
      </w:r>
      <w:proofErr w:type="spellEnd"/>
      <w:r>
        <w:t xml:space="preserve"> briefing for association leadership and top corporate members.</w:t>
      </w:r>
    </w:p>
    <w:p w14:paraId="5C958CDB" w14:textId="77777777" w:rsidR="0064670D" w:rsidRDefault="0064670D">
      <w:pPr>
        <w:pBdr>
          <w:bottom w:val="single" w:sz="6" w:space="1" w:color="auto"/>
        </w:pBdr>
      </w:pPr>
    </w:p>
    <w:p w14:paraId="502F81FA" w14:textId="77777777" w:rsidR="0064670D" w:rsidRDefault="0064670D"/>
    <w:p w14:paraId="499A28DD" w14:textId="77777777" w:rsidR="0064670D" w:rsidRDefault="0064670D">
      <w:r>
        <w:t>Institutional investors and pension funds</w:t>
      </w:r>
    </w:p>
    <w:p w14:paraId="3A1E8658" w14:textId="77777777" w:rsidR="0064670D" w:rsidRDefault="0064670D"/>
    <w:p w14:paraId="4014B290" w14:textId="77777777" w:rsidR="0064670D" w:rsidRDefault="0064670D">
      <w:r>
        <w:t xml:space="preserve">Why it matters — Investment decisions hinge on governance predictability and systemic risk assessment.  </w:t>
      </w:r>
    </w:p>
    <w:p w14:paraId="75131AEC" w14:textId="77777777" w:rsidR="0064670D" w:rsidRDefault="0064670D"/>
    <w:p w14:paraId="78FCBD0D" w14:textId="77777777" w:rsidR="0064670D" w:rsidRDefault="0064670D">
      <w:r>
        <w:t xml:space="preserve">Key benefits — better sovereign risk models, improved portfolio allocation, and stewardship evidence.  </w:t>
      </w:r>
    </w:p>
    <w:p w14:paraId="12ED9C87" w14:textId="77777777" w:rsidR="0064670D" w:rsidRDefault="0064670D"/>
    <w:p w14:paraId="409AA3CF" w14:textId="77777777" w:rsidR="0064670D" w:rsidRDefault="0064670D">
      <w:r>
        <w:t xml:space="preserve">What EMO delivers — </w:t>
      </w:r>
    </w:p>
    <w:p w14:paraId="078B21F5" w14:textId="77777777" w:rsidR="0064670D" w:rsidRDefault="0064670D"/>
    <w:p w14:paraId="7FA25ABD" w14:textId="77777777" w:rsidR="0064670D" w:rsidRDefault="0064670D">
      <w:r>
        <w:t xml:space="preserve">Coherence‑adjusted country risk metrics; forward‑looking risk flags; integration templates for investment models.  </w:t>
      </w:r>
    </w:p>
    <w:p w14:paraId="12800158" w14:textId="77777777" w:rsidR="0064670D" w:rsidRDefault="0064670D"/>
    <w:p w14:paraId="53C04A09" w14:textId="77777777" w:rsidR="0064670D" w:rsidRDefault="0064670D">
      <w:r>
        <w:t xml:space="preserve">Concrete metrics and — Coherence‑adjusted sovereign risk premium; probability of policy shock scenarios.  </w:t>
      </w:r>
    </w:p>
    <w:p w14:paraId="12E51689" w14:textId="77777777" w:rsidR="0064670D" w:rsidRDefault="0064670D"/>
    <w:p w14:paraId="799E4262" w14:textId="77777777" w:rsidR="0064670D" w:rsidRDefault="0064670D">
      <w:r>
        <w:t xml:space="preserve">Engagement options — Pilot integration with a fund’s country‑risk model; co‑develop stewardship indicators.  </w:t>
      </w:r>
    </w:p>
    <w:p w14:paraId="4765A7C8" w14:textId="77777777" w:rsidR="0064670D" w:rsidRDefault="0064670D"/>
    <w:p w14:paraId="21E27900" w14:textId="77777777" w:rsidR="0064670D" w:rsidRDefault="0064670D">
      <w:r>
        <w:t>Call to action — Propose a proof‑of‑concept to integrate EMO scores into one portfolio’s country‑risk framework.</w:t>
      </w:r>
    </w:p>
    <w:p w14:paraId="0848CA92" w14:textId="77777777" w:rsidR="0064670D" w:rsidRDefault="0064670D">
      <w:pPr>
        <w:pBdr>
          <w:bottom w:val="single" w:sz="6" w:space="1" w:color="auto"/>
        </w:pBdr>
      </w:pPr>
    </w:p>
    <w:p w14:paraId="0F6F1AEB" w14:textId="77777777" w:rsidR="0064670D" w:rsidRDefault="0064670D"/>
    <w:p w14:paraId="3468623E" w14:textId="77777777" w:rsidR="0064670D" w:rsidRDefault="0064670D">
      <w:r>
        <w:t>Small and medium enterprises (SMEs)</w:t>
      </w:r>
    </w:p>
    <w:p w14:paraId="238DB932" w14:textId="77777777" w:rsidR="0064670D" w:rsidRDefault="0064670D"/>
    <w:p w14:paraId="0F067062" w14:textId="77777777" w:rsidR="0064670D" w:rsidRDefault="0064670D">
      <w:r>
        <w:t xml:space="preserve">Why it matters — SMEs bear disproportionate costs from legislative churn and administrative friction.  </w:t>
      </w:r>
    </w:p>
    <w:p w14:paraId="05122271" w14:textId="77777777" w:rsidR="0064670D" w:rsidRDefault="0064670D"/>
    <w:p w14:paraId="23BFFD6D" w14:textId="77777777" w:rsidR="0064670D" w:rsidRDefault="0064670D">
      <w:r>
        <w:t xml:space="preserve">Key benefits — lower compliance burden, fewer unexpected regulatory costs, and a more stable planning horizon.  </w:t>
      </w:r>
    </w:p>
    <w:p w14:paraId="176A172A" w14:textId="77777777" w:rsidR="0064670D" w:rsidRDefault="0064670D"/>
    <w:p w14:paraId="5C07748E" w14:textId="77777777" w:rsidR="0064670D" w:rsidRDefault="0064670D">
      <w:r>
        <w:t xml:space="preserve">What EMO delivers — SME‑focused impact briefs; simple checklists showing where incoherence hits small firms hardest.  </w:t>
      </w:r>
    </w:p>
    <w:p w14:paraId="250F64AC" w14:textId="77777777" w:rsidR="0064670D" w:rsidRDefault="0064670D"/>
    <w:p w14:paraId="5A95E257" w14:textId="77777777" w:rsidR="0064670D" w:rsidRDefault="0064670D">
      <w:r>
        <w:t xml:space="preserve">Concrete metrics — Estimated time and cost savings per SME; reduction in regulatory change frequency.  </w:t>
      </w:r>
    </w:p>
    <w:p w14:paraId="431904DD" w14:textId="77777777" w:rsidR="0064670D" w:rsidRDefault="0064670D"/>
    <w:p w14:paraId="31DC6349" w14:textId="77777777" w:rsidR="0064670D" w:rsidRDefault="0064670D">
      <w:r>
        <w:t xml:space="preserve">Engagement options — Workshops with chambers of commerce; practical toolkits for compliance planning.  </w:t>
      </w:r>
    </w:p>
    <w:p w14:paraId="6ED9A88E" w14:textId="77777777" w:rsidR="0064670D" w:rsidRDefault="0064670D"/>
    <w:p w14:paraId="2F2442E7" w14:textId="77777777" w:rsidR="0064670D" w:rsidRDefault="0064670D">
      <w:r>
        <w:t>Call to action — Run a short survey with SMEs to quantify pain points EMO can address.</w:t>
      </w:r>
    </w:p>
    <w:p w14:paraId="1D276060" w14:textId="77777777" w:rsidR="0064670D" w:rsidRDefault="0064670D">
      <w:pPr>
        <w:pBdr>
          <w:bottom w:val="single" w:sz="6" w:space="1" w:color="auto"/>
        </w:pBdr>
      </w:pPr>
    </w:p>
    <w:p w14:paraId="12B72190" w14:textId="77777777" w:rsidR="0064670D" w:rsidRDefault="0064670D"/>
    <w:p w14:paraId="168F555A" w14:textId="77777777" w:rsidR="0064670D" w:rsidRDefault="0064670D">
      <w:r>
        <w:t xml:space="preserve">Think tanks, policy research </w:t>
      </w:r>
      <w:proofErr w:type="spellStart"/>
      <w:r>
        <w:t>centres</w:t>
      </w:r>
      <w:proofErr w:type="spellEnd"/>
      <w:r>
        <w:t>, and universities</w:t>
      </w:r>
    </w:p>
    <w:p w14:paraId="13CA0E7A" w14:textId="77777777" w:rsidR="0064670D" w:rsidRDefault="0064670D"/>
    <w:p w14:paraId="499A1B50" w14:textId="77777777" w:rsidR="0064670D" w:rsidRDefault="0064670D">
      <w:r>
        <w:t xml:space="preserve">Why it matters — Independent validation, methodological refinement, and public debate require rigorous evidence.  </w:t>
      </w:r>
    </w:p>
    <w:p w14:paraId="3816A05C" w14:textId="77777777" w:rsidR="0064670D" w:rsidRDefault="0064670D"/>
    <w:p w14:paraId="5712AA29" w14:textId="77777777" w:rsidR="0064670D" w:rsidRDefault="0064670D">
      <w:r>
        <w:t xml:space="preserve">Key benefits — methodological credibility, peer‑reviewed outputs, and academic partnerships.  </w:t>
      </w:r>
    </w:p>
    <w:p w14:paraId="0216BE57" w14:textId="77777777" w:rsidR="0064670D" w:rsidRDefault="0064670D"/>
    <w:p w14:paraId="3D90C21C" w14:textId="77777777" w:rsidR="0064670D" w:rsidRDefault="0064670D">
      <w:r>
        <w:t xml:space="preserve">What EMO delivers — Open methodology papers; datasets for replication; joint publications.  </w:t>
      </w:r>
    </w:p>
    <w:p w14:paraId="75736FFB" w14:textId="77777777" w:rsidR="0064670D" w:rsidRDefault="0064670D"/>
    <w:p w14:paraId="689BEFC9" w14:textId="77777777" w:rsidR="0064670D" w:rsidRDefault="0064670D">
      <w:r>
        <w:t xml:space="preserve">Concrete metrics — Number of peer‑reviewed studies; cross‑validation results.  </w:t>
      </w:r>
    </w:p>
    <w:p w14:paraId="414AD8BF" w14:textId="77777777" w:rsidR="0064670D" w:rsidRDefault="0064670D"/>
    <w:p w14:paraId="6F69F259" w14:textId="77777777" w:rsidR="0064670D" w:rsidRDefault="0064670D">
      <w:r>
        <w:t xml:space="preserve">Engagement options — Research partnerships, PhD projects, joint conferences.  </w:t>
      </w:r>
    </w:p>
    <w:p w14:paraId="4E832DCD" w14:textId="77777777" w:rsidR="0064670D" w:rsidRDefault="0064670D"/>
    <w:p w14:paraId="1980F9DA" w14:textId="77777777" w:rsidR="0064670D" w:rsidRDefault="0064670D">
      <w:r>
        <w:t>Call to action — Invite a research partner to co‑author a validation paper on a Romanian pilot.</w:t>
      </w:r>
    </w:p>
    <w:p w14:paraId="03FDD4A6" w14:textId="77777777" w:rsidR="0064670D" w:rsidRDefault="0064670D">
      <w:pPr>
        <w:pBdr>
          <w:bottom w:val="single" w:sz="6" w:space="1" w:color="auto"/>
        </w:pBdr>
      </w:pPr>
    </w:p>
    <w:p w14:paraId="404D1B80" w14:textId="77777777" w:rsidR="0064670D" w:rsidRDefault="0064670D"/>
    <w:p w14:paraId="6924D098" w14:textId="77777777" w:rsidR="0064670D" w:rsidRDefault="0064670D">
      <w:r>
        <w:t xml:space="preserve">Civil society </w:t>
      </w:r>
      <w:proofErr w:type="spellStart"/>
      <w:r>
        <w:t>organisations</w:t>
      </w:r>
      <w:proofErr w:type="spellEnd"/>
      <w:r>
        <w:t xml:space="preserve"> and media</w:t>
      </w:r>
    </w:p>
    <w:p w14:paraId="446341EB" w14:textId="77777777" w:rsidR="0064670D" w:rsidRDefault="0064670D"/>
    <w:p w14:paraId="2EE4A106" w14:textId="77777777" w:rsidR="0064670D" w:rsidRDefault="0064670D">
      <w:r>
        <w:t xml:space="preserve">Why it matters — Transparency and accountability improve when coherence is measurable and public.  </w:t>
      </w:r>
    </w:p>
    <w:p w14:paraId="1402360E" w14:textId="77777777" w:rsidR="0064670D" w:rsidRDefault="0064670D"/>
    <w:p w14:paraId="33E06684" w14:textId="77777777" w:rsidR="0064670D" w:rsidRDefault="0064670D">
      <w:r>
        <w:t xml:space="preserve">Key benefits — evidence for advocacy, clearer narratives for public debate, tools to hold institutions accountable.  </w:t>
      </w:r>
    </w:p>
    <w:p w14:paraId="42C9AEF8" w14:textId="77777777" w:rsidR="0064670D" w:rsidRDefault="0064670D"/>
    <w:p w14:paraId="4E4A31D7" w14:textId="77777777" w:rsidR="0064670D" w:rsidRDefault="0064670D">
      <w:r>
        <w:t xml:space="preserve">What EMO delivers — Public‑facing dashboards; explainers translating coherence scores into citizen impacts.  </w:t>
      </w:r>
    </w:p>
    <w:p w14:paraId="0F66E577" w14:textId="77777777" w:rsidR="0064670D" w:rsidRDefault="0064670D"/>
    <w:p w14:paraId="797DD055" w14:textId="77777777" w:rsidR="0064670D" w:rsidRDefault="0064670D">
      <w:r>
        <w:t xml:space="preserve">Concrete metrics — Media‑friendly indicators (laws changed per year; average implementation lag).  </w:t>
      </w:r>
    </w:p>
    <w:p w14:paraId="6AAE3F5E" w14:textId="77777777" w:rsidR="0064670D" w:rsidRDefault="0064670D"/>
    <w:p w14:paraId="39C1E7F8" w14:textId="77777777" w:rsidR="0064670D" w:rsidRDefault="0064670D">
      <w:r>
        <w:t xml:space="preserve">Engagement options — Media briefings; tailored datasets for watchdog reporting.  </w:t>
      </w:r>
    </w:p>
    <w:p w14:paraId="5EECE15F" w14:textId="018335A3" w:rsidR="0064670D" w:rsidRDefault="0064670D">
      <w:r>
        <w:t xml:space="preserve">And </w:t>
      </w:r>
    </w:p>
    <w:p w14:paraId="408ECFE8" w14:textId="77777777" w:rsidR="0064670D" w:rsidRDefault="0064670D"/>
    <w:p w14:paraId="41CABB51" w14:textId="77777777" w:rsidR="0064670D" w:rsidRDefault="0064670D">
      <w:r>
        <w:t>Call to action — Share a public dashboard prototype and host a media briefing.</w:t>
      </w:r>
    </w:p>
    <w:p w14:paraId="1980E992" w14:textId="77777777" w:rsidR="0064670D" w:rsidRDefault="0064670D">
      <w:pPr>
        <w:pBdr>
          <w:bottom w:val="single" w:sz="6" w:space="1" w:color="auto"/>
        </w:pBdr>
      </w:pPr>
    </w:p>
    <w:p w14:paraId="23515E34" w14:textId="77777777" w:rsidR="0064670D" w:rsidRDefault="0064670D"/>
    <w:p w14:paraId="0397B1A2" w14:textId="77777777" w:rsidR="0064670D" w:rsidRDefault="0064670D">
      <w:r>
        <w:t>Multilateral institutions (IMF, World Bank, EBRD) and development finance partners</w:t>
      </w:r>
    </w:p>
    <w:p w14:paraId="6D86506E" w14:textId="77777777" w:rsidR="0064670D" w:rsidRDefault="0064670D"/>
    <w:p w14:paraId="54C87379" w14:textId="77777777" w:rsidR="0064670D" w:rsidRDefault="0064670D">
      <w:r>
        <w:t xml:space="preserve">Why it matters — These institutions need robust diagnostics to design programs, reduce project risk, and measure reform impact.  </w:t>
      </w:r>
    </w:p>
    <w:p w14:paraId="2902D395" w14:textId="77777777" w:rsidR="0064670D" w:rsidRDefault="0064670D"/>
    <w:p w14:paraId="6C7BC0CF" w14:textId="77777777" w:rsidR="0064670D" w:rsidRDefault="0064670D">
      <w:r>
        <w:t xml:space="preserve">Key benefits — better targeting of technical assistance, improved conditionality design, and measurable reform outcomes.  </w:t>
      </w:r>
    </w:p>
    <w:p w14:paraId="62A0C28D" w14:textId="77777777" w:rsidR="0064670D" w:rsidRDefault="0064670D"/>
    <w:p w14:paraId="4C549714" w14:textId="77777777" w:rsidR="0064670D" w:rsidRDefault="0064670D">
      <w:r>
        <w:t xml:space="preserve">What EMO delivers — Coherence diagnostics for program design; monitoring indicators for conditionality; impact estimates for efficiency gains.  </w:t>
      </w:r>
    </w:p>
    <w:p w14:paraId="6434BDC5" w14:textId="77777777" w:rsidR="0064670D" w:rsidRDefault="0064670D"/>
    <w:p w14:paraId="566110CC" w14:textId="77777777" w:rsidR="0064670D" w:rsidRDefault="0064670D">
      <w:r>
        <w:t xml:space="preserve">Concrete metrics — Expected reduction in project cost overruns; coherence improvement targets tied to disbursements.  </w:t>
      </w:r>
    </w:p>
    <w:p w14:paraId="64CE40F7" w14:textId="77777777" w:rsidR="0064670D" w:rsidRDefault="0064670D"/>
    <w:p w14:paraId="579F4249" w14:textId="77777777" w:rsidR="0064670D" w:rsidRDefault="0064670D">
      <w:r>
        <w:t xml:space="preserve">Engagement options — Pilot EMO as part of a country program; include EMO metrics in project monitoring frameworks.  </w:t>
      </w:r>
    </w:p>
    <w:p w14:paraId="13BEBC58" w14:textId="77777777" w:rsidR="0064670D" w:rsidRDefault="0064670D"/>
    <w:p w14:paraId="174C3CEF" w14:textId="77777777" w:rsidR="0064670D" w:rsidRDefault="0064670D">
      <w:r>
        <w:t>Call to action — Propose a joint pilot with a multilateral country team to test EMO in an active program.</w:t>
      </w:r>
    </w:p>
    <w:p w14:paraId="62CA62CE" w14:textId="77777777" w:rsidR="0064670D" w:rsidRDefault="0064670D">
      <w:pPr>
        <w:pBdr>
          <w:bottom w:val="single" w:sz="6" w:space="1" w:color="auto"/>
        </w:pBdr>
      </w:pPr>
    </w:p>
    <w:p w14:paraId="14599D54" w14:textId="77777777" w:rsidR="0064670D" w:rsidRDefault="0064670D"/>
    <w:p w14:paraId="4CF55730" w14:textId="77777777" w:rsidR="0064670D" w:rsidRDefault="0064670D">
      <w:r>
        <w:t xml:space="preserve">OECD, regional policy bodies, and standards </w:t>
      </w:r>
      <w:proofErr w:type="spellStart"/>
      <w:r>
        <w:t>organisations</w:t>
      </w:r>
      <w:proofErr w:type="spellEnd"/>
    </w:p>
    <w:p w14:paraId="7B1EA4B3" w14:textId="77777777" w:rsidR="0064670D" w:rsidRDefault="0064670D"/>
    <w:p w14:paraId="61A1662E" w14:textId="77777777" w:rsidR="0064670D" w:rsidRDefault="0064670D">
      <w:r>
        <w:t xml:space="preserve">Why it matters — Benchmarking and cross‑country comparisons require standardized, comparable measures of coherence.  </w:t>
      </w:r>
    </w:p>
    <w:p w14:paraId="07D9D5FF" w14:textId="77777777" w:rsidR="0064670D" w:rsidRDefault="0064670D"/>
    <w:p w14:paraId="4AF33E99" w14:textId="77777777" w:rsidR="0064670D" w:rsidRDefault="0064670D">
      <w:r>
        <w:t xml:space="preserve">Key benefits: international benchmarking, policy learning, and harmonized indicators for governance quality.  </w:t>
      </w:r>
    </w:p>
    <w:p w14:paraId="70B55ECD" w14:textId="77777777" w:rsidR="0064670D" w:rsidRDefault="0064670D"/>
    <w:p w14:paraId="7902DBE6" w14:textId="77777777" w:rsidR="0064670D" w:rsidRDefault="0064670D">
      <w:r>
        <w:t xml:space="preserve">What EMO delivers — Cross‑country coherence indices; methodological alignment with international standards.  </w:t>
      </w:r>
    </w:p>
    <w:p w14:paraId="7DBB094D" w14:textId="77777777" w:rsidR="0064670D" w:rsidRDefault="0064670D"/>
    <w:p w14:paraId="0B60CDD4" w14:textId="77777777" w:rsidR="0064670D" w:rsidRDefault="0064670D">
      <w:r>
        <w:t xml:space="preserve">Concrete metrics — Country rankings; cross‑country variance explained by coherence.  </w:t>
      </w:r>
    </w:p>
    <w:p w14:paraId="1BC5056D" w14:textId="77777777" w:rsidR="0064670D" w:rsidRDefault="0064670D"/>
    <w:p w14:paraId="706DDE0B" w14:textId="77777777" w:rsidR="0064670D" w:rsidRDefault="0064670D">
      <w:r>
        <w:t xml:space="preserve">Engagement options — Methodology workshops; inclusion in comparative governance reports.  </w:t>
      </w:r>
    </w:p>
    <w:p w14:paraId="41EC35B8" w14:textId="77777777" w:rsidR="0064670D" w:rsidRDefault="0064670D"/>
    <w:p w14:paraId="1DD5B913" w14:textId="77777777" w:rsidR="0064670D" w:rsidRDefault="0064670D">
      <w:r>
        <w:t>Call to action — Request a technical review meeting to align EMO metrics with OECD frameworks.</w:t>
      </w:r>
    </w:p>
    <w:p w14:paraId="2B29D097" w14:textId="77777777" w:rsidR="0064670D" w:rsidRDefault="0064670D">
      <w:pPr>
        <w:pBdr>
          <w:bottom w:val="single" w:sz="6" w:space="1" w:color="auto"/>
        </w:pBdr>
      </w:pPr>
    </w:p>
    <w:p w14:paraId="2B96F6D7" w14:textId="77777777" w:rsidR="0064670D" w:rsidRDefault="0064670D"/>
    <w:p w14:paraId="598863A8" w14:textId="77777777" w:rsidR="0064670D" w:rsidRDefault="0064670D">
      <w:r>
        <w:t>Sovereign and institutional investors, credit rating agencies, consultancies, and risk advisors (international)</w:t>
      </w:r>
    </w:p>
    <w:p w14:paraId="6063FDCB" w14:textId="77777777" w:rsidR="0064670D" w:rsidRDefault="0064670D"/>
    <w:p w14:paraId="770C45CF" w14:textId="77777777" w:rsidR="0064670D" w:rsidRDefault="0064670D">
      <w:r>
        <w:t xml:space="preserve">Why it matters — These actors need forward‑looking, quantifiable inputs to price risk and advise clients.  </w:t>
      </w:r>
    </w:p>
    <w:p w14:paraId="2CDF1A13" w14:textId="77777777" w:rsidR="0064670D" w:rsidRDefault="0064670D"/>
    <w:p w14:paraId="05F818C2" w14:textId="77777777" w:rsidR="0064670D" w:rsidRDefault="0064670D">
      <w:r>
        <w:t xml:space="preserve">Key benefits — enhanced country‑risk models, differentiated advisory products, improved client decision‑making.  </w:t>
      </w:r>
    </w:p>
    <w:p w14:paraId="19DA7364" w14:textId="77777777" w:rsidR="0064670D" w:rsidRDefault="0064670D"/>
    <w:p w14:paraId="6C897D8C" w14:textId="77777777" w:rsidR="0064670D" w:rsidRDefault="0064670D">
      <w:r>
        <w:t xml:space="preserve">What EMO delivers — Coherence‑adjusted risk scores; advisory modules for market entry and M&amp;A due diligence.  </w:t>
      </w:r>
    </w:p>
    <w:p w14:paraId="71A242DE" w14:textId="77777777" w:rsidR="0064670D" w:rsidRDefault="0064670D"/>
    <w:p w14:paraId="78EC24C6" w14:textId="77777777" w:rsidR="0064670D" w:rsidRDefault="0064670D">
      <w:r>
        <w:t xml:space="preserve">Concrete metrics — Impact on sovereign spreads in stress scenarios; advisory ROI estimates.  </w:t>
      </w:r>
    </w:p>
    <w:p w14:paraId="164BAFF3" w14:textId="77777777" w:rsidR="0064670D" w:rsidRDefault="0064670D"/>
    <w:p w14:paraId="70A9C608" w14:textId="77777777" w:rsidR="0064670D" w:rsidRDefault="0064670D">
      <w:r>
        <w:t xml:space="preserve">Engagement options — Licensing EMO data feeds; co‑developing </w:t>
      </w:r>
      <w:proofErr w:type="spellStart"/>
      <w:r>
        <w:t>sectoral</w:t>
      </w:r>
      <w:proofErr w:type="spellEnd"/>
      <w:r>
        <w:t xml:space="preserve"> risk products.  </w:t>
      </w:r>
    </w:p>
    <w:p w14:paraId="3C1F090F" w14:textId="77777777" w:rsidR="0064670D" w:rsidRDefault="0064670D"/>
    <w:p w14:paraId="0DAB4A5C" w14:textId="77777777" w:rsidR="0064670D" w:rsidRDefault="0064670D">
      <w:r>
        <w:t>Call to action — Offer a short trial feed to a major advisory firm or rating agency.</w:t>
      </w:r>
    </w:p>
    <w:p w14:paraId="7F5070F4" w14:textId="77777777" w:rsidR="0064670D" w:rsidRDefault="0064670D">
      <w:pPr>
        <w:pBdr>
          <w:bottom w:val="single" w:sz="6" w:space="1" w:color="auto"/>
        </w:pBdr>
      </w:pPr>
    </w:p>
    <w:p w14:paraId="3DE28D2F" w14:textId="77777777" w:rsidR="0064670D" w:rsidRDefault="0064670D"/>
    <w:p w14:paraId="374F26D5" w14:textId="77777777" w:rsidR="0064670D" w:rsidRDefault="0064670D">
      <w:r>
        <w:t>Global NGOs, advocacy networks, and academic consortia</w:t>
      </w:r>
    </w:p>
    <w:p w14:paraId="72917C4A" w14:textId="77777777" w:rsidR="0064670D" w:rsidRDefault="0064670D"/>
    <w:p w14:paraId="525A0497" w14:textId="77777777" w:rsidR="0064670D" w:rsidRDefault="0064670D">
      <w:r>
        <w:t xml:space="preserve">Why it matters — EMO provides evidence to support governance reforms, anti‑corruption efforts, and comparative research.  </w:t>
      </w:r>
    </w:p>
    <w:p w14:paraId="626EE94C" w14:textId="77777777" w:rsidR="0064670D" w:rsidRDefault="0064670D"/>
    <w:p w14:paraId="53F8FDA5" w14:textId="59E58795" w:rsidR="0064670D" w:rsidRDefault="0064670D">
      <w:r>
        <w:t xml:space="preserve">Key benefits: data-driven advocacy, cross‑national studies, and stronger accountability tools.  </w:t>
      </w:r>
    </w:p>
    <w:p w14:paraId="12279882" w14:textId="77777777" w:rsidR="0064670D" w:rsidRDefault="0064670D"/>
    <w:p w14:paraId="1412667B" w14:textId="77777777" w:rsidR="0064670D" w:rsidRDefault="0064670D">
      <w:r>
        <w:t xml:space="preserve">What EMO delivers — Open datasets for NGOs; comparative reports for advocacy campaigns.  </w:t>
      </w:r>
    </w:p>
    <w:p w14:paraId="20F23974" w14:textId="77777777" w:rsidR="0064670D" w:rsidRDefault="0064670D"/>
    <w:p w14:paraId="0792D689" w14:textId="77777777" w:rsidR="0064670D" w:rsidRDefault="0064670D">
      <w:r>
        <w:t xml:space="preserve">Concrete metrics — Measurable advocacy outcomes tied to coherence improvements.  </w:t>
      </w:r>
    </w:p>
    <w:p w14:paraId="273CEC82" w14:textId="77777777" w:rsidR="0064670D" w:rsidRDefault="0064670D"/>
    <w:p w14:paraId="674A0D8B" w14:textId="77777777" w:rsidR="0064670D" w:rsidRDefault="0064670D">
      <w:r>
        <w:t xml:space="preserve">Engagement options — Data partnerships; joint campaigns to promote policy coherence.  </w:t>
      </w:r>
    </w:p>
    <w:p w14:paraId="1EF670EE" w14:textId="77777777" w:rsidR="0064670D" w:rsidRDefault="0064670D"/>
    <w:p w14:paraId="6F570F5C" w14:textId="77777777" w:rsidR="0064670D" w:rsidRDefault="0064670D">
      <w:r>
        <w:t>Call to action — Share anonymized pilot results with a leading NGO for joint analysis.</w:t>
      </w:r>
    </w:p>
    <w:p w14:paraId="79F51F66" w14:textId="77777777" w:rsidR="0064670D" w:rsidRDefault="0064670D">
      <w:pPr>
        <w:pBdr>
          <w:bottom w:val="single" w:sz="6" w:space="1" w:color="auto"/>
        </w:pBdr>
      </w:pPr>
    </w:p>
    <w:p w14:paraId="0140D517" w14:textId="77777777" w:rsidR="0064670D" w:rsidRDefault="0064670D">
      <w:r>
        <w:t xml:space="preserve">Adrian N </w:t>
      </w:r>
      <w:proofErr w:type="spellStart"/>
      <w:r>
        <w:t>Avramescu</w:t>
      </w:r>
      <w:proofErr w:type="spellEnd"/>
    </w:p>
    <w:p w14:paraId="26F18637" w14:textId="77777777" w:rsidR="0064670D" w:rsidRDefault="0064670D"/>
    <w:sectPr w:rsidR="00646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70CC"/>
    <w:multiLevelType w:val="hybridMultilevel"/>
    <w:tmpl w:val="8744C66A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62782CE6">
      <w:start w:val="5"/>
      <w:numFmt w:val="bullet"/>
      <w:lvlText w:val="—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0050B"/>
    <w:multiLevelType w:val="hybridMultilevel"/>
    <w:tmpl w:val="AA3643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895381">
    <w:abstractNumId w:val="0"/>
  </w:num>
  <w:num w:numId="2" w16cid:durableId="57783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0D"/>
    <w:rsid w:val="003E2EB0"/>
    <w:rsid w:val="00471404"/>
    <w:rsid w:val="0047340C"/>
    <w:rsid w:val="0064670D"/>
    <w:rsid w:val="00962F2A"/>
    <w:rsid w:val="00A1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6911F"/>
  <w15:chartTrackingRefBased/>
  <w15:docId w15:val="{D8318D5F-E5EE-C947-8E20-041AFAF0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1836</Words>
  <Characters>10466</Characters>
  <Application>Microsoft Office Word</Application>
  <DocSecurity>0</DocSecurity>
  <Lines>87</Lines>
  <Paragraphs>24</Paragraphs>
  <ScaleCrop>false</ScaleCrop>
  <Company/>
  <LinksUpToDate>false</LinksUpToDate>
  <CharactersWithSpaces>12278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Avramescu</dc:creator>
  <cp:keywords/>
  <dc:description/>
  <cp:lastModifiedBy>Adrian Avramescu</cp:lastModifiedBy>
  <cp:revision>2</cp:revision>
  <dcterms:created xsi:type="dcterms:W3CDTF">2026-10-29T16:53:00Z</dcterms:created>
  <dcterms:modified xsi:type="dcterms:W3CDTF">2026-10-29T16:53:00Z</dcterms:modified>
</cp:coreProperties>
</file>