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D80BA" w14:textId="77777777" w:rsidR="008D663C" w:rsidRDefault="005B252C">
      <w:pPr>
        <w:pStyle w:val="Title"/>
      </w:pPr>
      <w:r>
        <w:t>From Warning to Delivery: How a Validated Pandemic Warning Became Protective-Equipment Supply in Five European Countries and the European Union</w:t>
      </w:r>
    </w:p>
    <w:p w14:paraId="31103AD6" w14:textId="77777777" w:rsidR="008D663C" w:rsidRDefault="005B252C">
      <w:pPr>
        <w:pStyle w:val="Heading1"/>
      </w:pPr>
      <w:bookmarkStart w:id="0" w:name="abstract"/>
      <w:r>
        <w:t>Abstract</w:t>
      </w:r>
    </w:p>
    <w:p w14:paraId="56ADE05C" w14:textId="77777777" w:rsidR="008D663C" w:rsidRDefault="005B252C">
      <w:pPr>
        <w:pStyle w:val="FirstParagraph"/>
      </w:pPr>
      <w:r>
        <w:t xml:space="preserve">Response to early warning is usually dated by when it began, not by when it reached the people it was meant for. This article measures diagnostic-to-actuation coupling (DAC), a profile of dated events from a validated warning to delivered response, with explicit rules for firm commitments, delivery end points, counter-measures between levels of government and imprecise or contested dates. It applies the profile to the procurement of personal protective equipment after the WHO declaration of 30 January 2020 </w:t>
      </w:r>
      <w:r>
        <w:t>in Belgium, France, Germany, the Netherlands, Sweden and at European Union level, using 57 dated events from parliamentary inquiries and official reconstructions and five Belgian federal mask orders paired with their own delivery. Testimony places Belgium’s first order on 31 January or on 4 March; it was delivered from 27 March under both readings, after an order placed on 15 March. The five orders, placed over 27 days (60 under the earlier reading), were delivered within 17 days, with paired lags of 5–23 d</w:t>
      </w:r>
      <w:r>
        <w:t>ays (5–56). The total delay of the first order is known; its division into decision and conversion is not. First deliveries in Belgium, Germany and the Netherlands fell within six days of one another, although first orders were up to seven weeks apart. France, the only case with a national stock, delivered first; the EU level delivered last. Measuring response by its start, or by unpaired intervals, can misread where delay lies. Event files and code are openly available.</w:t>
      </w:r>
    </w:p>
    <w:p w14:paraId="6785013C" w14:textId="77777777" w:rsidR="008D663C" w:rsidRDefault="005B252C">
      <w:pPr>
        <w:pStyle w:val="BodyText"/>
      </w:pPr>
      <w:r>
        <w:rPr>
          <w:b/>
          <w:bCs/>
        </w:rPr>
        <w:t>Keywords:</w:t>
      </w:r>
      <w:r>
        <w:t xml:space="preserve"> early warning; crisis management; warning-response gap; COVID-19; personal protective equipment; procurement</w:t>
      </w:r>
    </w:p>
    <w:p w14:paraId="748D5680" w14:textId="77777777" w:rsidR="008D663C" w:rsidRDefault="005B252C">
      <w:pPr>
        <w:pStyle w:val="BodyText"/>
      </w:pPr>
      <w:r>
        <w:rPr>
          <w:b/>
          <w:bCs/>
        </w:rPr>
        <w:t>Practitioner points</w:t>
      </w:r>
    </w:p>
    <w:p w14:paraId="6D3C686E" w14:textId="77777777" w:rsidR="008D663C" w:rsidRDefault="005B252C">
      <w:pPr>
        <w:pStyle w:val="Compact"/>
        <w:numPr>
          <w:ilvl w:val="0"/>
          <w:numId w:val="2"/>
        </w:numPr>
      </w:pPr>
      <w:r>
        <w:t>When a response starts says little about when it arrives. Record the date of each firm order and the date on which that same order was delivered, not only the first measure taken.</w:t>
      </w:r>
    </w:p>
    <w:p w14:paraId="417F2E6F" w14:textId="77777777" w:rsidR="008D663C" w:rsidRDefault="005B252C">
      <w:pPr>
        <w:pStyle w:val="Compact"/>
        <w:numPr>
          <w:ilvl w:val="0"/>
          <w:numId w:val="2"/>
        </w:numPr>
      </w:pPr>
      <w:r>
        <w:t>In Belgium in 2020, the first order of FFP2 masks was delivered on the same day whether it had been placed on 31 January or on 4 March, and after an order placed on 15 March. Under a supply constraint an early order does not by itself bring early delivery, and domestic production created during the crisis came months later.</w:t>
      </w:r>
    </w:p>
    <w:p w14:paraId="47253682" w14:textId="77777777" w:rsidR="008D663C" w:rsidRDefault="005B252C">
      <w:pPr>
        <w:pStyle w:val="Heading1"/>
      </w:pPr>
      <w:bookmarkStart w:id="1" w:name="introduction"/>
      <w:bookmarkEnd w:id="0"/>
      <w:r>
        <w:t>1. Introduction</w:t>
      </w:r>
    </w:p>
    <w:p w14:paraId="79A8FF6D" w14:textId="77777777" w:rsidR="008D663C" w:rsidRDefault="005B252C">
      <w:pPr>
        <w:pStyle w:val="FirstParagraph"/>
      </w:pPr>
      <w:r>
        <w:t xml:space="preserve">The gap between early warning and response is one of the oldest problems in crisis management, from the “warning-response problem” </w:t>
      </w:r>
      <w:r>
        <w:t xml:space="preserve">of preventive diplomacy (George &amp; Holl, 1997) to late response to clear drought warnings in the Horn of Africa (Hillier &amp; Dempsey, 2012) and the costs of neglected warnings traced in </w:t>
      </w:r>
      <w:r>
        <w:rPr>
          <w:i/>
          <w:iCs/>
        </w:rPr>
        <w:t>Late lessons from early warnings</w:t>
      </w:r>
      <w:r>
        <w:t xml:space="preserve"> </w:t>
      </w:r>
      <w:r>
        <w:t>(European Environment Agency, 2001, 2013); reviews of conflict early warning still call the link to action the field’s central weakness (Muggah &amp; Whitlock, 2022). Assessing the EU’s response to COVID-19, Boin and Rhinard (2023) describe a warning paradox: the threat was flagged quickly while action lagged. Work on transboundary crises explains why the link is hard to make when response depends on several levels of government (Ansell et al., 2010), and comparative work traces national variation in pandemic r</w:t>
      </w:r>
      <w:r>
        <w:t>esponses to policy capacity (Capano et al., 2020).</w:t>
      </w:r>
    </w:p>
    <w:p w14:paraId="635BEF82" w14:textId="77777777" w:rsidR="008D663C" w:rsidRDefault="005B252C">
      <w:pPr>
        <w:pStyle w:val="BodyText"/>
      </w:pPr>
      <w:r>
        <w:t xml:space="preserve">That such a delay can be divided into parts is not new: Friedman (1948) divided the lag of stabilisation policy into recognition, decision and effect, the origin of the familiar distinction between “inside” and “outside” </w:t>
      </w:r>
      <w:r>
        <w:t>lags. What has been missing in crisis management is the measurement of those parts with dated records. During COVID-19, the Oxford COVID-19 Government Response Tracker coded government measures daily in more than 180 countries (Hale et al., 2021), and time-to-event analyses estimated how quickly governments introduced containment (Siedschlag &amp; Yan, 2020). Such datasets record when measures were adopted; they were not designed to record procurement or delivery (Lindström, 2023). Anticipatory action reports t</w:t>
      </w:r>
      <w:r>
        <w:t>he same gap: the timeliness of action still lacks a defined measure (Chaves-Gonzalez et al., 2022).</w:t>
      </w:r>
    </w:p>
    <w:p w14:paraId="59003241" w14:textId="77777777" w:rsidR="008D663C" w:rsidRDefault="005B252C">
      <w:pPr>
        <w:pStyle w:val="BodyText"/>
      </w:pPr>
      <w:r>
        <w:t>This article measures the gap where it can be dated: the procurement and delivery of personal protective equipment (PPE) for health systems in the first months of COVID-19. European countries faced the same validated warning and the same collapse of supply, centred on China, which produced about half of the world’s surgical masks (Gereffi, 2020) and whose exports to the EU fell in early 2020 while member states restricted their own (Bown, 2022). The goods are broadly standardised, although the mix of masks,</w:t>
      </w:r>
      <w:r>
        <w:t xml:space="preserve"> respirators and gowns differed, and the first-wave response was reconstructed in detail by parliamentary inquiries. In the United Kingdom, the National Audit Office found that much PPE ordered from new suppliers</w:t>
      </w:r>
      <w:r>
        <w:t xml:space="preserve"> “took a long time to be delivered” (National Audit Office, 2020, para. 2.22), but gave no paired order-to-delivery dates.</w:t>
      </w:r>
    </w:p>
    <w:p w14:paraId="7794D442" w14:textId="77777777" w:rsidR="008D663C" w:rsidRDefault="005B252C">
      <w:pPr>
        <w:pStyle w:val="BodyText"/>
      </w:pPr>
      <w:r>
        <w:t>We measure the response with diagnostic-to-actuation coupling (DAC), a profile of dated events and intervals, from first firm order to first verified delivery, computed from public event files under explicit inclusion rules, with imprecise dates carried as windows and contested dates recorded under each reading. We apply it to Belgium, France, Germany, the Netherlands and Sweden, and to the EU level.</w:t>
      </w:r>
    </w:p>
    <w:p w14:paraId="239FD05B" w14:textId="77777777" w:rsidR="008D663C" w:rsidRDefault="005B252C">
      <w:pPr>
        <w:pStyle w:val="BodyText"/>
      </w:pPr>
      <w:r>
        <w:t>The central findings come from Belgium, the one case in which firm orders can be paired with the deliveries of those same orders. Testimony to the Belgian parliamentary inquiry places the first firm order of 500,000 FFP2 respirators either on 31 January 2020 or, from 3M, on 4 March; the masks could be delivered only from 27 March under either account. The total delay is therefore established, but how it divides between deciding and receiving is not: 1 day and 56 days under one reading, 34 days and 23 days u</w:t>
      </w:r>
      <w:r>
        <w:t>nder the other. Four later federal orders, placed between 15 and 31 March, were delivered between 20 March and 6 April, one of them before the first order. Across cases, the first deliveries to a distribution level in the three import-dependent countries with dated deliveries fell within six days of one another, although their first orders were up to seven weeks apart. France, the only case with a national stock, delivered first; the EU level delivered last.</w:t>
      </w:r>
    </w:p>
    <w:p w14:paraId="4508E795" w14:textId="77777777" w:rsidR="008D663C" w:rsidRDefault="005B252C">
      <w:pPr>
        <w:pStyle w:val="BodyText"/>
      </w:pPr>
      <w:r>
        <w:t>The article makes three contributions. It specifies a reproducible profile of how a validated warning becomes delivered response, with rules for imprecise and contested dates and for pairing orders with their own deliveries. It shows with official records that an early order need not bring early delivery under a supply constraint, and that the division of the warning paradox into decision and conversion can be unidentified even where its total is known. And it shows that unpaired intervals and starts record</w:t>
      </w:r>
      <w:r>
        <w:t>ed without a stated rule can change the reading of a case. Sections 2 and 3 define the profile and the data, Section 4 reports results, Section 5 examines three explanations, and Sections 6 and 7 discuss implications and limits.</w:t>
      </w:r>
    </w:p>
    <w:p w14:paraId="01A925A3" w14:textId="77777777" w:rsidR="008D663C" w:rsidRDefault="005B252C">
      <w:pPr>
        <w:pStyle w:val="Heading1"/>
      </w:pPr>
      <w:bookmarkStart w:id="2" w:name="the-dac-profile"/>
      <w:bookmarkEnd w:id="1"/>
      <w:r>
        <w:t>2. The DAC profile</w:t>
      </w:r>
    </w:p>
    <w:p w14:paraId="51157DE9" w14:textId="77777777" w:rsidR="008D663C" w:rsidRDefault="005B252C">
      <w:pPr>
        <w:pStyle w:val="FirstParagraph"/>
      </w:pPr>
      <w:r>
        <w:t>DAC is measured not as a single score but as a profile of dated events and the intervals between them. Every event in the event file carries a date, a sublayer, a description and a source, so that every value can be traced to a document and recomputed by others.</w:t>
      </w:r>
    </w:p>
    <w:p w14:paraId="408C271E" w14:textId="77777777" w:rsidR="008D663C" w:rsidRDefault="005B252C">
      <w:pPr>
        <w:pStyle w:val="BodyText"/>
      </w:pPr>
      <w:r>
        <w:rPr>
          <w:b/>
          <w:bCs/>
        </w:rPr>
        <w:t>2.1 Validation threshold.</w:t>
      </w:r>
      <w:r>
        <w:t xml:space="preserve"> </w:t>
      </w:r>
      <w:r>
        <w:t>Let t0 be the date on which a danger is institutionally validated by a body with recognised authority for the hazard, here the WHO declaration of a Public Health Emergency of International Concern on 30 January 2020. Because every lag from t0 depends on the threshold, the rule for t0 is fixed before coding and an alternative threshold is reported (Section 4.6).</w:t>
      </w:r>
    </w:p>
    <w:p w14:paraId="5BC5762D" w14:textId="77777777" w:rsidR="008D663C" w:rsidRDefault="005B252C">
      <w:pPr>
        <w:pStyle w:val="BodyText"/>
      </w:pPr>
      <w:r>
        <w:rPr>
          <w:b/>
          <w:bCs/>
        </w:rPr>
        <w:t>2.2 Response scale.</w:t>
      </w:r>
      <w:r>
        <w:t xml:space="preserve"> </w:t>
      </w:r>
      <w:r>
        <w:t>The profile describes one responding system at a stated scale: a national government or the EU level. Coding is therefore scale-dependent. A national export ban is translation in the profile of the country that adopts it and a counter-measure in the profile of the EU, to whose coordinated response it runs contrary. Fragmentation is visible only from the scale at which coordination is attempted.</w:t>
      </w:r>
    </w:p>
    <w:p w14:paraId="415372BD" w14:textId="77777777" w:rsidR="008D663C" w:rsidRDefault="005B252C">
      <w:pPr>
        <w:pStyle w:val="BodyText"/>
      </w:pPr>
      <w:r>
        <w:rPr>
          <w:b/>
          <w:bCs/>
        </w:rPr>
        <w:t>2.3 Sublayers.</w:t>
      </w:r>
      <w:r>
        <w:t xml:space="preserve"> Each sublayer is defined by an inclusion rule.</w:t>
      </w:r>
    </w:p>
    <w:p w14:paraId="3965A70F" w14:textId="77777777" w:rsidR="008D663C" w:rsidRDefault="005B252C">
      <w:pPr>
        <w:pStyle w:val="Compact"/>
        <w:numPr>
          <w:ilvl w:val="0"/>
          <w:numId w:val="3"/>
        </w:numPr>
      </w:pPr>
      <w:r>
        <w:rPr>
          <w:i/>
          <w:iCs/>
        </w:rPr>
        <w:t>First firm order</w:t>
      </w:r>
      <w:r>
        <w:t>: the first purchase order or contract placed by an authority at the response scale for the means of response, intended for general supply. Inquiries, options and purchases whose documented use was a single mission are excluded. At EU level, where procurement proceeds by tender on behalf of member states, the first tender is recorded separately and is not a firm order.</w:t>
      </w:r>
    </w:p>
    <w:p w14:paraId="0BC6C198" w14:textId="77777777" w:rsidR="008D663C" w:rsidRDefault="005B252C">
      <w:pPr>
        <w:pStyle w:val="Compact"/>
        <w:numPr>
          <w:ilvl w:val="0"/>
          <w:numId w:val="3"/>
        </w:numPr>
      </w:pPr>
      <w:r>
        <w:rPr>
          <w:i/>
          <w:iCs/>
        </w:rPr>
        <w:t>Translation</w:t>
      </w:r>
      <w:r>
        <w:t>: the first legally binding act at the response scale concerning the response. Translation is optional: a response can reach delivery without any binding act, and its absence is recorded, not imputed.</w:t>
      </w:r>
    </w:p>
    <w:p w14:paraId="62FDA135" w14:textId="77777777" w:rsidR="008D663C" w:rsidRDefault="005B252C">
      <w:pPr>
        <w:pStyle w:val="Compact"/>
        <w:numPr>
          <w:ilvl w:val="0"/>
          <w:numId w:val="3"/>
        </w:numPr>
      </w:pPr>
      <w:r>
        <w:rPr>
          <w:i/>
          <w:iCs/>
        </w:rPr>
        <w:t>Budget</w:t>
      </w:r>
      <w:r>
        <w:t>: the first funding legally earmarked for the response. Guarantees without a stated amount are recorded but not counted.</w:t>
      </w:r>
    </w:p>
    <w:p w14:paraId="371E68EA" w14:textId="77777777" w:rsidR="008D663C" w:rsidRDefault="005B252C">
      <w:pPr>
        <w:pStyle w:val="Compact"/>
        <w:numPr>
          <w:ilvl w:val="0"/>
          <w:numId w:val="3"/>
        </w:numPr>
      </w:pPr>
      <w:r>
        <w:rPr>
          <w:i/>
          <w:iCs/>
        </w:rPr>
        <w:t>Deployment</w:t>
      </w:r>
      <w:r>
        <w:t>: the first verified physical delivery to the first distribution level below the responding authority (regions, provinces, municipalities, Länder or pharmacies acting as distribution points). Offers, contracts and announced arrivals are excluded. A delivery to providers (hospitals, practitioners) is recorded as a secondary end point where the source dates it.</w:t>
      </w:r>
    </w:p>
    <w:p w14:paraId="24AB99BF" w14:textId="77777777" w:rsidR="008D663C" w:rsidRDefault="005B252C">
      <w:pPr>
        <w:pStyle w:val="Compact"/>
        <w:numPr>
          <w:ilvl w:val="0"/>
          <w:numId w:val="3"/>
        </w:numPr>
      </w:pPr>
      <w:r>
        <w:rPr>
          <w:i/>
          <w:iCs/>
        </w:rPr>
        <w:t>Institutionalisation</w:t>
      </w:r>
      <w:r>
        <w:t>: the first permanent body or programme created for the hazard. Temporary task forces are recorded but not counted.</w:t>
      </w:r>
    </w:p>
    <w:p w14:paraId="66360BD3" w14:textId="77777777" w:rsidR="008D663C" w:rsidRDefault="005B252C">
      <w:pPr>
        <w:pStyle w:val="FirstParagraph"/>
      </w:pPr>
      <w:r>
        <w:rPr>
          <w:b/>
          <w:bCs/>
        </w:rPr>
        <w:t>2.4 Counter-measures and reversals.</w:t>
      </w:r>
      <w:r>
        <w:t xml:space="preserve"> </w:t>
      </w:r>
      <w:r>
        <w:t xml:space="preserve">A counter-measure is an act by one level of the system against the response of another level. It is coded in either direction: upward, as a national export ban against a common market, or downward, as the requisition in France on 5 April 2020 by representatives of the central state of goods ordered by local authorities for their own care staff (Sénat, 2020). Counter-measures are dated from onset to withdrawal. A reversal is a delivery that is withdrawn or proves unusable, dated from onset to the end of the </w:t>
      </w:r>
      <w:r>
        <w:t>episode.</w:t>
      </w:r>
    </w:p>
    <w:p w14:paraId="42709CE1" w14:textId="77777777" w:rsidR="008D663C" w:rsidRDefault="005B252C">
      <w:pPr>
        <w:pStyle w:val="BodyText"/>
      </w:pPr>
      <w:r>
        <w:rPr>
          <w:b/>
          <w:bCs/>
        </w:rPr>
        <w:t>2.5 Persistence.</w:t>
      </w:r>
      <w:r>
        <w:t xml:space="preserve"> The duration of the operational response from activation to its end or succession, reported per case and not compared, because the instruments differ.</w:t>
      </w:r>
    </w:p>
    <w:p w14:paraId="753F4DE9" w14:textId="77777777" w:rsidR="008D663C" w:rsidRDefault="005B252C">
      <w:pPr>
        <w:pStyle w:val="BodyText"/>
      </w:pPr>
      <w:r>
        <w:rPr>
          <w:b/>
          <w:bCs/>
        </w:rPr>
        <w:t>2.6 Lags, intervals and pairing.</w:t>
      </w:r>
      <w:r>
        <w:t xml:space="preserve"> For each sublayer, the lag is its date minus t0, in days. Intervals between sublayers do not depend on the choice of threshold. The interval from first firm order to first delivery is </w:t>
      </w:r>
      <w:r>
        <w:rPr>
          <w:i/>
          <w:iCs/>
        </w:rPr>
        <w:t>unpaired</w:t>
      </w:r>
      <w:r>
        <w:t xml:space="preserve">: the first delivery need not consist of goods from the first order, because it can draw on donations, regional purchases or other orders. Where a source links a delivery to the order it fulfils, the interval between them is a </w:t>
      </w:r>
      <w:r>
        <w:rPr>
          <w:i/>
          <w:iCs/>
        </w:rPr>
        <w:t>paired lag</w:t>
      </w:r>
      <w:r>
        <w:t>, and only a paired lag measures the conversion of a decision into delivery.</w:t>
      </w:r>
    </w:p>
    <w:p w14:paraId="189CCC3F" w14:textId="77777777" w:rsidR="008D663C" w:rsidRDefault="005B252C">
      <w:pPr>
        <w:pStyle w:val="BodyText"/>
      </w:pPr>
      <w:r>
        <w:rPr>
          <w:b/>
          <w:bCs/>
        </w:rPr>
        <w:t>2.7 Imprecise, missing, censored and contested dates.</w:t>
      </w:r>
      <w:r>
        <w:t xml:space="preserve"> A date known only as “not before” or “not after” </w:t>
      </w:r>
      <w:r>
        <w:t>is recorded as a sourced lower or upper bound, and a date known to fall within a period as a window. Where no lower bound is sourced, the window opens at t0. A sublayer not reached by the end of the observation window is right-censored; one whose event plausibly occurred but has no dated source is missing. None is imputed. Where sources contradict one another, each reading is recorded and every result is reported under each. Statistics are evaluated over all dates consistent with the windows and reported as</w:t>
      </w:r>
      <w:r>
        <w:t xml:space="preserve"> ranges.</w:t>
      </w:r>
    </w:p>
    <w:p w14:paraId="5254563E" w14:textId="77777777" w:rsidR="008D663C" w:rsidRDefault="005B252C">
      <w:pPr>
        <w:pStyle w:val="BodyText"/>
      </w:pPr>
      <w:r>
        <w:rPr>
          <w:b/>
          <w:bCs/>
        </w:rPr>
        <w:t>2.8 Sources and representation.</w:t>
      </w:r>
      <w:r>
        <w:t xml:space="preserve"> Each source is classed as primary (legal act, official record, testimony or an inquiry chronology citing them) or secondary. Warnings and non-binding declarations describe how a system represents a danger, not how it acts on it, and are not sublayers.</w:t>
      </w:r>
    </w:p>
    <w:p w14:paraId="087D5BB3" w14:textId="77777777" w:rsidR="008D663C" w:rsidRDefault="005B252C">
      <w:pPr>
        <w:pStyle w:val="BodyText"/>
      </w:pPr>
      <w:r>
        <w:t>The profile is not aggregated into a scalar: no weighting is justified a priori, and its components do not move together.</w:t>
      </w:r>
    </w:p>
    <w:p w14:paraId="4C3386F7" w14:textId="77777777" w:rsidR="008D663C" w:rsidRDefault="005B252C">
      <w:pPr>
        <w:pStyle w:val="Heading1"/>
      </w:pPr>
      <w:bookmarkStart w:id="3" w:name="data"/>
      <w:bookmarkEnd w:id="2"/>
      <w:r>
        <w:t>3. Data</w:t>
      </w:r>
    </w:p>
    <w:p w14:paraId="6FCDA09F" w14:textId="77777777" w:rsidR="008D663C" w:rsidRDefault="005B252C">
      <w:pPr>
        <w:pStyle w:val="Heading2"/>
      </w:pPr>
      <w:bookmarkStart w:id="4" w:name="cases-and-source-pool"/>
      <w:r>
        <w:t>3.1 Cases and source pool</w:t>
      </w:r>
    </w:p>
    <w:p w14:paraId="3E97ED5F" w14:textId="77777777" w:rsidR="008D663C" w:rsidRDefault="005B252C">
      <w:pPr>
        <w:pStyle w:val="FirstParagraph"/>
      </w:pPr>
      <w:r>
        <w:t>The analysis covers the first response to COVID-19 in five EU member states (Belgium, France, Germany, the Netherlands and Sweden) and at EU level, from t0 to the end of the first wave. Cases were selected by the availability of an official reconstruction, so that every case rests on the same kind of source rather than on press reports. For Belgium, the source is the chronology annexed to the report of the Chamber’s special committee on COVID-19 (Chamber of Representatives, 2021a, Annex 5), which records ea</w:t>
      </w:r>
      <w:r>
        <w:t>ch event with the testimony or document that supports it and flags contradicted claims, together with the verbatim records of the hearings it cites (Chamber of Representatives, 2021b, 2021c). For France, it is the report of the Senate commission of inquiry (Sénat, 2020); for the Netherlands, the factual reconstruction of PPE procurement prepared for the Ministry of Health, Welfare and Sport with the Netherlands School of Public Administration (Ministerie van VWS, 2021); and for Sweden, the Corona Commission</w:t>
      </w:r>
      <w:r>
        <w:t>’s chapter on protective equipment (SOU 2021:89). For Germany, no comparable chronology was found; the case rests on federal government answers to parliamentary questions (Deutscher Bundestag, 2020a, 2020b), the notification of the federal export ban (European Commission, 2020c) and one press report (Deutsches Ärzteblatt, 2020a). The EU-level case rests on legal acts and official records.</w:t>
      </w:r>
    </w:p>
    <w:p w14:paraId="657A27DB" w14:textId="77777777" w:rsidR="008D663C" w:rsidRDefault="005B252C">
      <w:pPr>
        <w:pStyle w:val="Heading2"/>
      </w:pPr>
      <w:bookmarkStart w:id="5" w:name="coding"/>
      <w:bookmarkEnd w:id="4"/>
      <w:r>
        <w:t>3.2 Coding</w:t>
      </w:r>
    </w:p>
    <w:p w14:paraId="1A57EE4D" w14:textId="77777777" w:rsidR="008D663C" w:rsidRDefault="005B252C">
      <w:pPr>
        <w:pStyle w:val="FirstParagraph"/>
      </w:pPr>
      <w:r>
        <w:rPr>
          <w:i/>
          <w:iCs/>
        </w:rPr>
        <w:t>First firm order.</w:t>
      </w:r>
      <w:r>
        <w:t xml:space="preserve"> The rule of Section 2.3 was fixed after a first round of coding showed that a looser rule (“first recorded action”</w:t>
      </w:r>
      <w:r>
        <w:t>) moved Belgium’s start by more than a month (Section 4.5). It is applied identically to all cases. France’s first order, of 30 January 2020, had general supply as its stated purpose but was used mainly for the medical teams sent to Wuhan and the quarantine of repatriated nationals (Sénat, 2020); under the single-mission rule its start is the second order, of 7 February, for 28.4 million FFP2 respirators for hospitals, care homes and community practice. For Germany, the source dates the start of federal pro</w:t>
      </w:r>
      <w:r>
        <w:t>curement through the procurement offices of three ministries (28 February) but no individual order, so the first order is coded as a window from that date to the first delivery. For Sweden, no order date is given, so the window opens at t0. The Belgian order is contested (Section 4.2) and coded under both readings.</w:t>
      </w:r>
    </w:p>
    <w:p w14:paraId="3A5DCF79" w14:textId="77777777" w:rsidR="008D663C" w:rsidRDefault="005B252C">
      <w:pPr>
        <w:pStyle w:val="BodyText"/>
      </w:pPr>
      <w:r>
        <w:rPr>
          <w:i/>
          <w:iCs/>
        </w:rPr>
        <w:t>First delivery.</w:t>
      </w:r>
      <w:r>
        <w:t xml:space="preserve"> The uniform end point is the first delivery to a distribution level: municipalities in Belgium, pharmacies supplying health professionals in France, the Länder and associations of statutory health insurance physicians in Germany, the regional networks of acute care in the Netherlands, and regions and municipalities in Sweden. Belgium’s first delivery to general hospitals is recorded as the secondary end point.</w:t>
      </w:r>
    </w:p>
    <w:p w14:paraId="3BED2415" w14:textId="77777777" w:rsidR="008D663C" w:rsidRDefault="005B252C">
      <w:pPr>
        <w:pStyle w:val="BodyText"/>
      </w:pPr>
      <w:r>
        <w:rPr>
          <w:i/>
          <w:iCs/>
        </w:rPr>
        <w:t>Binding acts.</w:t>
      </w:r>
      <w:r>
        <w:t xml:space="preserve"> </w:t>
      </w:r>
      <w:r>
        <w:t>Binding acts are reported for each case but not compared, because their content differs: an export ban in Germany, a requisition decree in France, a decree proclaiming the federal phase of crisis management in Belgium and an ordinance on the distribution of medical supplies in Sweden.</w:t>
      </w:r>
    </w:p>
    <w:p w14:paraId="138E0C47" w14:textId="77777777" w:rsidR="008D663C" w:rsidRDefault="005B252C">
      <w:pPr>
        <w:pStyle w:val="BodyText"/>
      </w:pPr>
      <w:r>
        <w:rPr>
          <w:i/>
          <w:iCs/>
        </w:rPr>
        <w:t>Windows.</w:t>
      </w:r>
      <w:r>
        <w:t xml:space="preserve"> Where a source fixes a date only within limits, it is coded as a window; for example, “the week before the week of 17 March” becomes 9–15 March.</w:t>
      </w:r>
    </w:p>
    <w:p w14:paraId="4B79C0AE" w14:textId="77777777" w:rsidR="008D663C" w:rsidRDefault="005B252C">
      <w:pPr>
        <w:pStyle w:val="Heading2"/>
      </w:pPr>
      <w:bookmarkStart w:id="6" w:name="supply-side-events"/>
      <w:bookmarkEnd w:id="5"/>
      <w:r>
        <w:t>3.3 Supply-side events</w:t>
      </w:r>
    </w:p>
    <w:p w14:paraId="18E1B897" w14:textId="77777777" w:rsidR="008D663C" w:rsidRDefault="005B252C">
      <w:pPr>
        <w:pStyle w:val="FirstParagraph"/>
      </w:pPr>
      <w:r>
        <w:t>Three dated supply events are recorded. China’s daily mask output was about 10 million units on 1 February 2020 and 116 million on 29 February (day 30), against about 20 million before the epidemic, figures reported on 2 March (National Health Commission of China, 2020). Between 1 March and 5 April (days 31–66), China exported 3.86 billion masks according to its customs administration (Yicai Global, 2020). From 1 April (day 62), exports of masks and other PPE required proof of Chinese registration and of co</w:t>
      </w:r>
      <w:r>
        <w:t>mpliance with the importing country’s standards (Ministry of Commerce of China et al., 2020).</w:t>
      </w:r>
    </w:p>
    <w:p w14:paraId="2673497B" w14:textId="77777777" w:rsidR="008D663C" w:rsidRDefault="005B252C">
      <w:pPr>
        <w:pStyle w:val="Heading2"/>
      </w:pPr>
      <w:bookmarkStart w:id="7" w:name="event-files"/>
      <w:bookmarkEnd w:id="6"/>
      <w:r>
        <w:t>3.4 Event files</w:t>
      </w:r>
    </w:p>
    <w:p w14:paraId="2FD6B83F" w14:textId="77777777" w:rsidR="008D663C" w:rsidRDefault="005B252C">
      <w:pPr>
        <w:pStyle w:val="FirstParagraph"/>
      </w:pPr>
      <w:r>
        <w:t>Table 1 summarises the event files. Windows are coded as two bound entries, some events are coded under two roles, and the files include thresholds and events outside the PPE domain, so the number of substantive dated events is smaller than the number of entries. The cross-case comparison rests on 16 dates or windows: the first firm order and the first delivery of each case, the first EU joint-procurement delivery bound and the two readings of the Belgian first order with its delivery.</w:t>
      </w:r>
    </w:p>
    <w:p w14:paraId="5B670414" w14:textId="77777777" w:rsidR="008D663C" w:rsidRDefault="005B252C">
      <w:pPr>
        <w:pStyle w:val="BodyText"/>
      </w:pPr>
      <w:r>
        <w:rPr>
          <w:b/>
          <w:bCs/>
        </w:rPr>
        <w:t>Table 1. Event files.</w:t>
      </w:r>
    </w:p>
    <w:tbl>
      <w:tblPr>
        <w:tblStyle w:val="Table"/>
        <w:tblW w:w="5000" w:type="pct"/>
        <w:tblLook w:val="0020" w:firstRow="1" w:lastRow="0" w:firstColumn="0" w:lastColumn="0" w:noHBand="0" w:noVBand="0"/>
      </w:tblPr>
      <w:tblGrid>
        <w:gridCol w:w="1479"/>
        <w:gridCol w:w="1978"/>
        <w:gridCol w:w="956"/>
        <w:gridCol w:w="1056"/>
        <w:gridCol w:w="1290"/>
        <w:gridCol w:w="1088"/>
        <w:gridCol w:w="1513"/>
      </w:tblGrid>
      <w:tr w:rsidR="008D663C" w14:paraId="1B736817" w14:textId="77777777" w:rsidTr="008D663C">
        <w:trPr>
          <w:cnfStyle w:val="100000000000" w:firstRow="1" w:lastRow="0" w:firstColumn="0" w:lastColumn="0" w:oddVBand="0" w:evenVBand="0" w:oddHBand="0" w:evenHBand="0" w:firstRowFirstColumn="0" w:firstRowLastColumn="0" w:lastRowFirstColumn="0" w:lastRowLastColumn="0"/>
          <w:tblHeader/>
        </w:trPr>
        <w:tc>
          <w:tcPr>
            <w:tcW w:w="0" w:type="auto"/>
          </w:tcPr>
          <w:p w14:paraId="1A146024" w14:textId="77777777" w:rsidR="008D663C" w:rsidRDefault="005B252C">
            <w:pPr>
              <w:pStyle w:val="Compact"/>
            </w:pPr>
            <w:r>
              <w:t>Case</w:t>
            </w:r>
          </w:p>
        </w:tc>
        <w:tc>
          <w:tcPr>
            <w:tcW w:w="0" w:type="auto"/>
          </w:tcPr>
          <w:p w14:paraId="1AB8F5A2" w14:textId="77777777" w:rsidR="008D663C" w:rsidRDefault="005B252C">
            <w:pPr>
              <w:pStyle w:val="Compact"/>
            </w:pPr>
            <w:r>
              <w:t>Main source</w:t>
            </w:r>
          </w:p>
        </w:tc>
        <w:tc>
          <w:tcPr>
            <w:tcW w:w="0" w:type="auto"/>
          </w:tcPr>
          <w:p w14:paraId="44B4164D" w14:textId="77777777" w:rsidR="008D663C" w:rsidRDefault="005B252C">
            <w:pPr>
              <w:pStyle w:val="Compact"/>
            </w:pPr>
            <w:r>
              <w:t>Entries</w:t>
            </w:r>
          </w:p>
        </w:tc>
        <w:tc>
          <w:tcPr>
            <w:tcW w:w="0" w:type="auto"/>
          </w:tcPr>
          <w:p w14:paraId="4BC868A1" w14:textId="77777777" w:rsidR="008D663C" w:rsidRDefault="005B252C">
            <w:pPr>
              <w:pStyle w:val="Compact"/>
            </w:pPr>
            <w:r>
              <w:t>Primary</w:t>
            </w:r>
          </w:p>
        </w:tc>
        <w:tc>
          <w:tcPr>
            <w:tcW w:w="0" w:type="auto"/>
          </w:tcPr>
          <w:p w14:paraId="6262CE77" w14:textId="77777777" w:rsidR="008D663C" w:rsidRDefault="005B252C">
            <w:pPr>
              <w:pStyle w:val="Compact"/>
            </w:pPr>
            <w:r>
              <w:t>Secondary</w:t>
            </w:r>
          </w:p>
        </w:tc>
        <w:tc>
          <w:tcPr>
            <w:tcW w:w="0" w:type="auto"/>
          </w:tcPr>
          <w:p w14:paraId="03978D3E" w14:textId="77777777" w:rsidR="008D663C" w:rsidRDefault="005B252C">
            <w:pPr>
              <w:pStyle w:val="Compact"/>
            </w:pPr>
            <w:r>
              <w:t>Undated</w:t>
            </w:r>
          </w:p>
        </w:tc>
        <w:tc>
          <w:tcPr>
            <w:tcW w:w="0" w:type="auto"/>
          </w:tcPr>
          <w:p w14:paraId="6812271D" w14:textId="77777777" w:rsidR="008D663C" w:rsidRDefault="005B252C">
            <w:pPr>
              <w:pStyle w:val="Compact"/>
            </w:pPr>
            <w:r>
              <w:t>Substantive dated events</w:t>
            </w:r>
          </w:p>
        </w:tc>
      </w:tr>
      <w:tr w:rsidR="008D663C" w14:paraId="3AA5DAE4" w14:textId="77777777">
        <w:tc>
          <w:tcPr>
            <w:tcW w:w="0" w:type="auto"/>
          </w:tcPr>
          <w:p w14:paraId="356D0B0E" w14:textId="77777777" w:rsidR="008D663C" w:rsidRDefault="005B252C">
            <w:pPr>
              <w:pStyle w:val="Compact"/>
            </w:pPr>
            <w:r>
              <w:t>Belgium</w:t>
            </w:r>
          </w:p>
        </w:tc>
        <w:tc>
          <w:tcPr>
            <w:tcW w:w="0" w:type="auto"/>
          </w:tcPr>
          <w:p w14:paraId="334DE39D" w14:textId="77777777" w:rsidR="008D663C" w:rsidRDefault="005B252C">
            <w:pPr>
              <w:pStyle w:val="Compact"/>
            </w:pPr>
            <w:r>
              <w:t>Chamber special committee, Annex 5 and hearings</w:t>
            </w:r>
          </w:p>
        </w:tc>
        <w:tc>
          <w:tcPr>
            <w:tcW w:w="0" w:type="auto"/>
          </w:tcPr>
          <w:p w14:paraId="4E21DB78" w14:textId="77777777" w:rsidR="008D663C" w:rsidRDefault="005B252C">
            <w:pPr>
              <w:pStyle w:val="Compact"/>
            </w:pPr>
            <w:r>
              <w:t>18</w:t>
            </w:r>
          </w:p>
        </w:tc>
        <w:tc>
          <w:tcPr>
            <w:tcW w:w="0" w:type="auto"/>
          </w:tcPr>
          <w:p w14:paraId="03ED77D8" w14:textId="77777777" w:rsidR="008D663C" w:rsidRDefault="005B252C">
            <w:pPr>
              <w:pStyle w:val="Compact"/>
            </w:pPr>
            <w:r>
              <w:t>16</w:t>
            </w:r>
          </w:p>
        </w:tc>
        <w:tc>
          <w:tcPr>
            <w:tcW w:w="0" w:type="auto"/>
          </w:tcPr>
          <w:p w14:paraId="481B4680" w14:textId="77777777" w:rsidR="008D663C" w:rsidRDefault="005B252C">
            <w:pPr>
              <w:pStyle w:val="Compact"/>
            </w:pPr>
            <w:r>
              <w:t>1</w:t>
            </w:r>
          </w:p>
        </w:tc>
        <w:tc>
          <w:tcPr>
            <w:tcW w:w="0" w:type="auto"/>
          </w:tcPr>
          <w:p w14:paraId="596C7CB5" w14:textId="77777777" w:rsidR="008D663C" w:rsidRDefault="005B252C">
            <w:pPr>
              <w:pStyle w:val="Compact"/>
            </w:pPr>
            <w:r>
              <w:t>1</w:t>
            </w:r>
          </w:p>
        </w:tc>
        <w:tc>
          <w:tcPr>
            <w:tcW w:w="0" w:type="auto"/>
          </w:tcPr>
          <w:p w14:paraId="31F90E49" w14:textId="77777777" w:rsidR="008D663C" w:rsidRDefault="005B252C">
            <w:pPr>
              <w:pStyle w:val="Compact"/>
            </w:pPr>
            <w:r>
              <w:t>13</w:t>
            </w:r>
          </w:p>
        </w:tc>
      </w:tr>
      <w:tr w:rsidR="008D663C" w14:paraId="7728F71D" w14:textId="77777777">
        <w:tc>
          <w:tcPr>
            <w:tcW w:w="0" w:type="auto"/>
          </w:tcPr>
          <w:p w14:paraId="07CB248A" w14:textId="77777777" w:rsidR="008D663C" w:rsidRDefault="005B252C">
            <w:pPr>
              <w:pStyle w:val="Compact"/>
            </w:pPr>
            <w:r>
              <w:t>France</w:t>
            </w:r>
          </w:p>
        </w:tc>
        <w:tc>
          <w:tcPr>
            <w:tcW w:w="0" w:type="auto"/>
          </w:tcPr>
          <w:p w14:paraId="17456F18" w14:textId="77777777" w:rsidR="008D663C" w:rsidRDefault="005B252C">
            <w:pPr>
              <w:pStyle w:val="Compact"/>
            </w:pPr>
            <w:r>
              <w:t>Senate commission of inquiry</w:t>
            </w:r>
          </w:p>
        </w:tc>
        <w:tc>
          <w:tcPr>
            <w:tcW w:w="0" w:type="auto"/>
          </w:tcPr>
          <w:p w14:paraId="5DC39E98" w14:textId="77777777" w:rsidR="008D663C" w:rsidRDefault="005B252C">
            <w:pPr>
              <w:pStyle w:val="Compact"/>
            </w:pPr>
            <w:r>
              <w:t>12</w:t>
            </w:r>
          </w:p>
        </w:tc>
        <w:tc>
          <w:tcPr>
            <w:tcW w:w="0" w:type="auto"/>
          </w:tcPr>
          <w:p w14:paraId="34A813DF" w14:textId="77777777" w:rsidR="008D663C" w:rsidRDefault="005B252C">
            <w:pPr>
              <w:pStyle w:val="Compact"/>
            </w:pPr>
            <w:r>
              <w:t>10</w:t>
            </w:r>
          </w:p>
        </w:tc>
        <w:tc>
          <w:tcPr>
            <w:tcW w:w="0" w:type="auto"/>
          </w:tcPr>
          <w:p w14:paraId="2F0F2602" w14:textId="77777777" w:rsidR="008D663C" w:rsidRDefault="005B252C">
            <w:pPr>
              <w:pStyle w:val="Compact"/>
            </w:pPr>
            <w:r>
              <w:t>0</w:t>
            </w:r>
          </w:p>
        </w:tc>
        <w:tc>
          <w:tcPr>
            <w:tcW w:w="0" w:type="auto"/>
          </w:tcPr>
          <w:p w14:paraId="7331E5F4" w14:textId="77777777" w:rsidR="008D663C" w:rsidRDefault="005B252C">
            <w:pPr>
              <w:pStyle w:val="Compact"/>
            </w:pPr>
            <w:r>
              <w:t>2</w:t>
            </w:r>
          </w:p>
        </w:tc>
        <w:tc>
          <w:tcPr>
            <w:tcW w:w="0" w:type="auto"/>
          </w:tcPr>
          <w:p w14:paraId="5C4FA991" w14:textId="77777777" w:rsidR="008D663C" w:rsidRDefault="005B252C">
            <w:pPr>
              <w:pStyle w:val="Compact"/>
            </w:pPr>
            <w:r>
              <w:t>6</w:t>
            </w:r>
          </w:p>
        </w:tc>
      </w:tr>
      <w:tr w:rsidR="008D663C" w14:paraId="690499D0" w14:textId="77777777">
        <w:tc>
          <w:tcPr>
            <w:tcW w:w="0" w:type="auto"/>
          </w:tcPr>
          <w:p w14:paraId="799D12C3" w14:textId="77777777" w:rsidR="008D663C" w:rsidRDefault="005B252C">
            <w:pPr>
              <w:pStyle w:val="Compact"/>
            </w:pPr>
            <w:r>
              <w:t>Germany</w:t>
            </w:r>
          </w:p>
        </w:tc>
        <w:tc>
          <w:tcPr>
            <w:tcW w:w="0" w:type="auto"/>
          </w:tcPr>
          <w:p w14:paraId="19E5AD04" w14:textId="77777777" w:rsidR="008D663C" w:rsidRDefault="005B252C">
            <w:pPr>
              <w:pStyle w:val="Compact"/>
            </w:pPr>
            <w:r>
              <w:t>Bundestag papers, federal records</w:t>
            </w:r>
          </w:p>
        </w:tc>
        <w:tc>
          <w:tcPr>
            <w:tcW w:w="0" w:type="auto"/>
          </w:tcPr>
          <w:p w14:paraId="1B2B34C4" w14:textId="77777777" w:rsidR="008D663C" w:rsidRDefault="005B252C">
            <w:pPr>
              <w:pStyle w:val="Compact"/>
            </w:pPr>
            <w:r>
              <w:t>14</w:t>
            </w:r>
          </w:p>
        </w:tc>
        <w:tc>
          <w:tcPr>
            <w:tcW w:w="0" w:type="auto"/>
          </w:tcPr>
          <w:p w14:paraId="63941386" w14:textId="77777777" w:rsidR="008D663C" w:rsidRDefault="005B252C">
            <w:pPr>
              <w:pStyle w:val="Compact"/>
            </w:pPr>
            <w:r>
              <w:t>10</w:t>
            </w:r>
          </w:p>
        </w:tc>
        <w:tc>
          <w:tcPr>
            <w:tcW w:w="0" w:type="auto"/>
          </w:tcPr>
          <w:p w14:paraId="42BDF118" w14:textId="77777777" w:rsidR="008D663C" w:rsidRDefault="005B252C">
            <w:pPr>
              <w:pStyle w:val="Compact"/>
            </w:pPr>
            <w:r>
              <w:t>4</w:t>
            </w:r>
          </w:p>
        </w:tc>
        <w:tc>
          <w:tcPr>
            <w:tcW w:w="0" w:type="auto"/>
          </w:tcPr>
          <w:p w14:paraId="0BD6F166" w14:textId="77777777" w:rsidR="008D663C" w:rsidRDefault="005B252C">
            <w:pPr>
              <w:pStyle w:val="Compact"/>
            </w:pPr>
            <w:r>
              <w:t>0</w:t>
            </w:r>
          </w:p>
        </w:tc>
        <w:tc>
          <w:tcPr>
            <w:tcW w:w="0" w:type="auto"/>
          </w:tcPr>
          <w:p w14:paraId="4FF79B10" w14:textId="77777777" w:rsidR="008D663C" w:rsidRDefault="005B252C">
            <w:pPr>
              <w:pStyle w:val="Compact"/>
            </w:pPr>
            <w:r>
              <w:t>9</w:t>
            </w:r>
          </w:p>
        </w:tc>
      </w:tr>
      <w:tr w:rsidR="008D663C" w14:paraId="51662367" w14:textId="77777777">
        <w:tc>
          <w:tcPr>
            <w:tcW w:w="0" w:type="auto"/>
          </w:tcPr>
          <w:p w14:paraId="708DBB11" w14:textId="77777777" w:rsidR="008D663C" w:rsidRDefault="005B252C">
            <w:pPr>
              <w:pStyle w:val="Compact"/>
            </w:pPr>
            <w:r>
              <w:t>Netherlands</w:t>
            </w:r>
          </w:p>
        </w:tc>
        <w:tc>
          <w:tcPr>
            <w:tcW w:w="0" w:type="auto"/>
          </w:tcPr>
          <w:p w14:paraId="084E7AB5" w14:textId="77777777" w:rsidR="008D663C" w:rsidRDefault="005B252C">
            <w:pPr>
              <w:pStyle w:val="Compact"/>
            </w:pPr>
            <w:r>
              <w:t>VWS/NSOB reconstruction</w:t>
            </w:r>
          </w:p>
        </w:tc>
        <w:tc>
          <w:tcPr>
            <w:tcW w:w="0" w:type="auto"/>
          </w:tcPr>
          <w:p w14:paraId="45C62B13" w14:textId="77777777" w:rsidR="008D663C" w:rsidRDefault="005B252C">
            <w:pPr>
              <w:pStyle w:val="Compact"/>
            </w:pPr>
            <w:r>
              <w:t>14</w:t>
            </w:r>
          </w:p>
        </w:tc>
        <w:tc>
          <w:tcPr>
            <w:tcW w:w="0" w:type="auto"/>
          </w:tcPr>
          <w:p w14:paraId="5E6F5004" w14:textId="77777777" w:rsidR="008D663C" w:rsidRDefault="005B252C">
            <w:pPr>
              <w:pStyle w:val="Compact"/>
            </w:pPr>
            <w:r>
              <w:t>12</w:t>
            </w:r>
          </w:p>
        </w:tc>
        <w:tc>
          <w:tcPr>
            <w:tcW w:w="0" w:type="auto"/>
          </w:tcPr>
          <w:p w14:paraId="6F5D9AAB" w14:textId="77777777" w:rsidR="008D663C" w:rsidRDefault="005B252C">
            <w:pPr>
              <w:pStyle w:val="Compact"/>
            </w:pPr>
            <w:r>
              <w:t>0</w:t>
            </w:r>
          </w:p>
        </w:tc>
        <w:tc>
          <w:tcPr>
            <w:tcW w:w="0" w:type="auto"/>
          </w:tcPr>
          <w:p w14:paraId="75037D91" w14:textId="77777777" w:rsidR="008D663C" w:rsidRDefault="005B252C">
            <w:pPr>
              <w:pStyle w:val="Compact"/>
            </w:pPr>
            <w:r>
              <w:t>2</w:t>
            </w:r>
          </w:p>
        </w:tc>
        <w:tc>
          <w:tcPr>
            <w:tcW w:w="0" w:type="auto"/>
          </w:tcPr>
          <w:p w14:paraId="21F50FA6" w14:textId="77777777" w:rsidR="008D663C" w:rsidRDefault="005B252C">
            <w:pPr>
              <w:pStyle w:val="Compact"/>
            </w:pPr>
            <w:r>
              <w:t>8</w:t>
            </w:r>
          </w:p>
        </w:tc>
      </w:tr>
      <w:tr w:rsidR="008D663C" w14:paraId="26872746" w14:textId="77777777">
        <w:tc>
          <w:tcPr>
            <w:tcW w:w="0" w:type="auto"/>
          </w:tcPr>
          <w:p w14:paraId="566906ED" w14:textId="77777777" w:rsidR="008D663C" w:rsidRDefault="005B252C">
            <w:pPr>
              <w:pStyle w:val="Compact"/>
            </w:pPr>
            <w:r>
              <w:t>Sweden</w:t>
            </w:r>
          </w:p>
        </w:tc>
        <w:tc>
          <w:tcPr>
            <w:tcW w:w="0" w:type="auto"/>
          </w:tcPr>
          <w:p w14:paraId="163B8A24" w14:textId="77777777" w:rsidR="008D663C" w:rsidRDefault="005B252C">
            <w:pPr>
              <w:pStyle w:val="Compact"/>
            </w:pPr>
            <w:r>
              <w:t>Corona Commission, SOU 2021:89</w:t>
            </w:r>
          </w:p>
        </w:tc>
        <w:tc>
          <w:tcPr>
            <w:tcW w:w="0" w:type="auto"/>
          </w:tcPr>
          <w:p w14:paraId="052F4AF8" w14:textId="77777777" w:rsidR="008D663C" w:rsidRDefault="005B252C">
            <w:pPr>
              <w:pStyle w:val="Compact"/>
            </w:pPr>
            <w:r>
              <w:t>12</w:t>
            </w:r>
          </w:p>
        </w:tc>
        <w:tc>
          <w:tcPr>
            <w:tcW w:w="0" w:type="auto"/>
          </w:tcPr>
          <w:p w14:paraId="025BAEF1" w14:textId="77777777" w:rsidR="008D663C" w:rsidRDefault="005B252C">
            <w:pPr>
              <w:pStyle w:val="Compact"/>
            </w:pPr>
            <w:r>
              <w:t>10</w:t>
            </w:r>
          </w:p>
        </w:tc>
        <w:tc>
          <w:tcPr>
            <w:tcW w:w="0" w:type="auto"/>
          </w:tcPr>
          <w:p w14:paraId="1252F26D" w14:textId="77777777" w:rsidR="008D663C" w:rsidRDefault="005B252C">
            <w:pPr>
              <w:pStyle w:val="Compact"/>
            </w:pPr>
            <w:r>
              <w:t>0</w:t>
            </w:r>
          </w:p>
        </w:tc>
        <w:tc>
          <w:tcPr>
            <w:tcW w:w="0" w:type="auto"/>
          </w:tcPr>
          <w:p w14:paraId="132AECC9" w14:textId="77777777" w:rsidR="008D663C" w:rsidRDefault="005B252C">
            <w:pPr>
              <w:pStyle w:val="Compact"/>
            </w:pPr>
            <w:r>
              <w:t>2</w:t>
            </w:r>
          </w:p>
        </w:tc>
        <w:tc>
          <w:tcPr>
            <w:tcW w:w="0" w:type="auto"/>
          </w:tcPr>
          <w:p w14:paraId="70CA9370" w14:textId="77777777" w:rsidR="008D663C" w:rsidRDefault="005B252C">
            <w:pPr>
              <w:pStyle w:val="Compact"/>
            </w:pPr>
            <w:r>
              <w:t>6</w:t>
            </w:r>
          </w:p>
        </w:tc>
      </w:tr>
      <w:tr w:rsidR="008D663C" w14:paraId="0A010811" w14:textId="77777777">
        <w:tc>
          <w:tcPr>
            <w:tcW w:w="0" w:type="auto"/>
          </w:tcPr>
          <w:p w14:paraId="29FA7E60" w14:textId="77777777" w:rsidR="008D663C" w:rsidRDefault="005B252C">
            <w:pPr>
              <w:pStyle w:val="Compact"/>
            </w:pPr>
            <w:r>
              <w:t>EU level</w:t>
            </w:r>
          </w:p>
        </w:tc>
        <w:tc>
          <w:tcPr>
            <w:tcW w:w="0" w:type="auto"/>
          </w:tcPr>
          <w:p w14:paraId="09CEE978" w14:textId="77777777" w:rsidR="008D663C" w:rsidRDefault="005B252C">
            <w:pPr>
              <w:pStyle w:val="Compact"/>
            </w:pPr>
            <w:r>
              <w:t>EU legal acts and records</w:t>
            </w:r>
          </w:p>
        </w:tc>
        <w:tc>
          <w:tcPr>
            <w:tcW w:w="0" w:type="auto"/>
          </w:tcPr>
          <w:p w14:paraId="61DF43BC" w14:textId="77777777" w:rsidR="008D663C" w:rsidRDefault="005B252C">
            <w:pPr>
              <w:pStyle w:val="Compact"/>
            </w:pPr>
            <w:r>
              <w:t>21</w:t>
            </w:r>
          </w:p>
        </w:tc>
        <w:tc>
          <w:tcPr>
            <w:tcW w:w="0" w:type="auto"/>
          </w:tcPr>
          <w:p w14:paraId="4D366467" w14:textId="77777777" w:rsidR="008D663C" w:rsidRDefault="005B252C">
            <w:pPr>
              <w:pStyle w:val="Compact"/>
            </w:pPr>
            <w:r>
              <w:t>13</w:t>
            </w:r>
          </w:p>
        </w:tc>
        <w:tc>
          <w:tcPr>
            <w:tcW w:w="0" w:type="auto"/>
          </w:tcPr>
          <w:p w14:paraId="3AB6ACD8" w14:textId="77777777" w:rsidR="008D663C" w:rsidRDefault="005B252C">
            <w:pPr>
              <w:pStyle w:val="Compact"/>
            </w:pPr>
            <w:r>
              <w:t>8</w:t>
            </w:r>
          </w:p>
        </w:tc>
        <w:tc>
          <w:tcPr>
            <w:tcW w:w="0" w:type="auto"/>
          </w:tcPr>
          <w:p w14:paraId="0D11A3C1" w14:textId="77777777" w:rsidR="008D663C" w:rsidRDefault="005B252C">
            <w:pPr>
              <w:pStyle w:val="Compact"/>
            </w:pPr>
            <w:r>
              <w:t>0</w:t>
            </w:r>
          </w:p>
        </w:tc>
        <w:tc>
          <w:tcPr>
            <w:tcW w:w="0" w:type="auto"/>
          </w:tcPr>
          <w:p w14:paraId="78C3C8F3" w14:textId="77777777" w:rsidR="008D663C" w:rsidRDefault="005B252C">
            <w:pPr>
              <w:pStyle w:val="Compact"/>
            </w:pPr>
            <w:r>
              <w:t>15</w:t>
            </w:r>
          </w:p>
        </w:tc>
      </w:tr>
      <w:tr w:rsidR="008D663C" w14:paraId="37A165E2" w14:textId="77777777">
        <w:tc>
          <w:tcPr>
            <w:tcW w:w="0" w:type="auto"/>
          </w:tcPr>
          <w:p w14:paraId="649F3C54" w14:textId="77777777" w:rsidR="008D663C" w:rsidRDefault="005B252C">
            <w:pPr>
              <w:pStyle w:val="Compact"/>
            </w:pPr>
            <w:r>
              <w:rPr>
                <w:b/>
                <w:bCs/>
              </w:rPr>
              <w:t>Total</w:t>
            </w:r>
          </w:p>
        </w:tc>
        <w:tc>
          <w:tcPr>
            <w:tcW w:w="0" w:type="auto"/>
          </w:tcPr>
          <w:p w14:paraId="4BDA5FA5" w14:textId="77777777" w:rsidR="008D663C" w:rsidRDefault="008D663C">
            <w:pPr>
              <w:pStyle w:val="Compact"/>
            </w:pPr>
          </w:p>
        </w:tc>
        <w:tc>
          <w:tcPr>
            <w:tcW w:w="0" w:type="auto"/>
          </w:tcPr>
          <w:p w14:paraId="139423D2" w14:textId="77777777" w:rsidR="008D663C" w:rsidRDefault="005B252C">
            <w:pPr>
              <w:pStyle w:val="Compact"/>
            </w:pPr>
            <w:r>
              <w:rPr>
                <w:b/>
                <w:bCs/>
              </w:rPr>
              <w:t>91</w:t>
            </w:r>
          </w:p>
        </w:tc>
        <w:tc>
          <w:tcPr>
            <w:tcW w:w="0" w:type="auto"/>
          </w:tcPr>
          <w:p w14:paraId="352EF1D4" w14:textId="77777777" w:rsidR="008D663C" w:rsidRDefault="005B252C">
            <w:pPr>
              <w:pStyle w:val="Compact"/>
            </w:pPr>
            <w:r>
              <w:rPr>
                <w:b/>
                <w:bCs/>
              </w:rPr>
              <w:t>71</w:t>
            </w:r>
          </w:p>
        </w:tc>
        <w:tc>
          <w:tcPr>
            <w:tcW w:w="0" w:type="auto"/>
          </w:tcPr>
          <w:p w14:paraId="650010E1" w14:textId="77777777" w:rsidR="008D663C" w:rsidRDefault="005B252C">
            <w:pPr>
              <w:pStyle w:val="Compact"/>
            </w:pPr>
            <w:r>
              <w:rPr>
                <w:b/>
                <w:bCs/>
              </w:rPr>
              <w:t>13</w:t>
            </w:r>
          </w:p>
        </w:tc>
        <w:tc>
          <w:tcPr>
            <w:tcW w:w="0" w:type="auto"/>
          </w:tcPr>
          <w:p w14:paraId="4E9470CA" w14:textId="77777777" w:rsidR="008D663C" w:rsidRDefault="005B252C">
            <w:pPr>
              <w:pStyle w:val="Compact"/>
            </w:pPr>
            <w:r>
              <w:rPr>
                <w:b/>
                <w:bCs/>
              </w:rPr>
              <w:t>7</w:t>
            </w:r>
          </w:p>
        </w:tc>
        <w:tc>
          <w:tcPr>
            <w:tcW w:w="0" w:type="auto"/>
          </w:tcPr>
          <w:p w14:paraId="2FB7C230" w14:textId="77777777" w:rsidR="008D663C" w:rsidRDefault="005B252C">
            <w:pPr>
              <w:pStyle w:val="Compact"/>
            </w:pPr>
            <w:r>
              <w:rPr>
                <w:b/>
                <w:bCs/>
              </w:rPr>
              <w:t>57</w:t>
            </w:r>
          </w:p>
        </w:tc>
      </w:tr>
    </w:tbl>
    <w:p w14:paraId="45CE5CA7" w14:textId="77777777" w:rsidR="008D663C" w:rsidRDefault="005B252C">
      <w:pPr>
        <w:pStyle w:val="BodyText"/>
      </w:pPr>
      <w:r>
        <w:rPr>
          <w:i/>
          <w:iCs/>
        </w:rPr>
        <w:t>Note.</w:t>
      </w:r>
      <w:r>
        <w:t xml:space="preserve"> </w:t>
      </w:r>
      <w:r>
        <w:t>Substantive dated events exclude thresholds, events coded under a second role, the second bound of each window and, at EU level, four events concerning vaccines.</w:t>
      </w:r>
    </w:p>
    <w:p w14:paraId="18C54C6F" w14:textId="77777777" w:rsidR="008D663C" w:rsidRDefault="005B252C">
      <w:pPr>
        <w:pStyle w:val="BodyText"/>
      </w:pPr>
      <w:r>
        <w:t>A separate order file records the eight Belgian federal orders for which the committee’s chronology gives both an order date and a first-delivery date, all taken from the testimony and written annexes of the head of the federal medical stock (Saniport). Five are orders of masks from commercial suppliers and form the paired series analysed in Section 4.2; one order of gloves is reported separately; one order whose recorded delivery precedes its recorded order, flagged by the committee as contradictory, is ex</w:t>
      </w:r>
      <w:r>
        <w:t>cluded; and one is an order from a new domestic producer. The origin of the goods is not stated for any of them.</w:t>
      </w:r>
    </w:p>
    <w:p w14:paraId="64120907" w14:textId="77777777" w:rsidR="008D663C" w:rsidRDefault="005B252C">
      <w:pPr>
        <w:pStyle w:val="Heading2"/>
      </w:pPr>
      <w:bookmarkStart w:id="8" w:name="stock-at-t0"/>
      <w:bookmarkEnd w:id="7"/>
      <w:r>
        <w:t>3.5 Stock at t0</w:t>
      </w:r>
    </w:p>
    <w:p w14:paraId="22F12F0E" w14:textId="77777777" w:rsidR="008D663C" w:rsidRDefault="005B252C">
      <w:pPr>
        <w:pStyle w:val="FirstParagraph"/>
      </w:pPr>
      <w:r>
        <w:t xml:space="preserve">Only France held a national stock of PPE at t0: 99 million surgical masks and no FFP2 respirators, as reported to the minister on 24 January 2020 (Sénat, 2020). Belgium’s federal strategic stock had been destroyed (Chamber of Representatives, 2021a). In the Netherlands there was no national stock; care institutions held their own (Ministerie van VWS, 2021). In Germany, the federal government stated that stockpiling for a pandemic was a task of the Länder (Deutscher Bundestag, 2020b). In Sweden, a survey of </w:t>
      </w:r>
      <w:r>
        <w:t>acute hospitals at the end of January found no buffer stocks in the regions (SOU 2021:89).</w:t>
      </w:r>
    </w:p>
    <w:p w14:paraId="19A6F9F0" w14:textId="77777777" w:rsidR="008D663C" w:rsidRDefault="005B252C">
      <w:pPr>
        <w:pStyle w:val="Heading1"/>
      </w:pPr>
      <w:bookmarkStart w:id="9" w:name="results"/>
      <w:bookmarkEnd w:id="8"/>
      <w:bookmarkEnd w:id="3"/>
      <w:r>
        <w:t>4. Results</w:t>
      </w:r>
    </w:p>
    <w:p w14:paraId="35CF3B76" w14:textId="77777777" w:rsidR="008D663C" w:rsidRDefault="005B252C">
      <w:pPr>
        <w:pStyle w:val="Heading2"/>
      </w:pPr>
      <w:bookmarkStart w:id="10" w:name="profiles"/>
      <w:r>
        <w:t>4.1 Profiles</w:t>
      </w:r>
    </w:p>
    <w:p w14:paraId="6A28FE73" w14:textId="77777777" w:rsidR="008D663C" w:rsidRDefault="005B252C">
      <w:pPr>
        <w:pStyle w:val="FirstParagraph"/>
      </w:pPr>
      <w:r>
        <w:t>Table 2 and Figure 1 give the profile of each case.</w:t>
      </w:r>
    </w:p>
    <w:p w14:paraId="41B660C9" w14:textId="77777777" w:rsidR="008D663C" w:rsidRDefault="005B252C">
      <w:pPr>
        <w:pStyle w:val="BodyText"/>
      </w:pPr>
      <w:r>
        <w:rPr>
          <w:b/>
          <w:bCs/>
        </w:rPr>
        <w:t>Table 2. First firm order, first binding act and first delivery (days from t0 = 30 January 2020).</w:t>
      </w:r>
    </w:p>
    <w:tbl>
      <w:tblPr>
        <w:tblStyle w:val="Table"/>
        <w:tblW w:w="5000" w:type="pct"/>
        <w:tblLook w:val="0020" w:firstRow="1" w:lastRow="0" w:firstColumn="0" w:lastColumn="0" w:noHBand="0" w:noVBand="0"/>
      </w:tblPr>
      <w:tblGrid>
        <w:gridCol w:w="1479"/>
        <w:gridCol w:w="859"/>
        <w:gridCol w:w="1046"/>
        <w:gridCol w:w="1144"/>
        <w:gridCol w:w="1977"/>
        <w:gridCol w:w="1449"/>
        <w:gridCol w:w="1406"/>
      </w:tblGrid>
      <w:tr w:rsidR="008D663C" w14:paraId="2DB8DEF4" w14:textId="77777777" w:rsidTr="008D663C">
        <w:trPr>
          <w:cnfStyle w:val="100000000000" w:firstRow="1" w:lastRow="0" w:firstColumn="0" w:lastColumn="0" w:oddVBand="0" w:evenVBand="0" w:oddHBand="0" w:evenHBand="0" w:firstRowFirstColumn="0" w:firstRowLastColumn="0" w:lastRowFirstColumn="0" w:lastRowLastColumn="0"/>
          <w:tblHeader/>
        </w:trPr>
        <w:tc>
          <w:tcPr>
            <w:tcW w:w="0" w:type="auto"/>
          </w:tcPr>
          <w:p w14:paraId="0CABE526" w14:textId="77777777" w:rsidR="008D663C" w:rsidRDefault="005B252C">
            <w:pPr>
              <w:pStyle w:val="Compact"/>
            </w:pPr>
            <w:r>
              <w:t>Case</w:t>
            </w:r>
          </w:p>
        </w:tc>
        <w:tc>
          <w:tcPr>
            <w:tcW w:w="0" w:type="auto"/>
          </w:tcPr>
          <w:p w14:paraId="3982AC63" w14:textId="77777777" w:rsidR="008D663C" w:rsidRDefault="005B252C">
            <w:pPr>
              <w:pStyle w:val="Compact"/>
            </w:pPr>
            <w:r>
              <w:t>Stock at t0</w:t>
            </w:r>
          </w:p>
        </w:tc>
        <w:tc>
          <w:tcPr>
            <w:tcW w:w="0" w:type="auto"/>
          </w:tcPr>
          <w:p w14:paraId="651C13AD" w14:textId="77777777" w:rsidR="008D663C" w:rsidRDefault="005B252C">
            <w:pPr>
              <w:pStyle w:val="Compact"/>
            </w:pPr>
            <w:r>
              <w:t>First firm order</w:t>
            </w:r>
          </w:p>
        </w:tc>
        <w:tc>
          <w:tcPr>
            <w:tcW w:w="0" w:type="auto"/>
          </w:tcPr>
          <w:p w14:paraId="012BB928" w14:textId="77777777" w:rsidR="008D663C" w:rsidRDefault="005B252C">
            <w:pPr>
              <w:pStyle w:val="Compact"/>
            </w:pPr>
            <w:r>
              <w:t>First binding act</w:t>
            </w:r>
          </w:p>
        </w:tc>
        <w:tc>
          <w:tcPr>
            <w:tcW w:w="0" w:type="auto"/>
          </w:tcPr>
          <w:p w14:paraId="056AD6D4" w14:textId="77777777" w:rsidR="008D663C" w:rsidRDefault="005B252C">
            <w:pPr>
              <w:pStyle w:val="Compact"/>
            </w:pPr>
            <w:r>
              <w:t>First delivery</w:t>
            </w:r>
          </w:p>
        </w:tc>
        <w:tc>
          <w:tcPr>
            <w:tcW w:w="0" w:type="auto"/>
          </w:tcPr>
          <w:p w14:paraId="6EC02555" w14:textId="77777777" w:rsidR="008D663C" w:rsidRDefault="005B252C">
            <w:pPr>
              <w:pStyle w:val="Compact"/>
            </w:pPr>
            <w:r>
              <w:t>Order to delivery, unpaired</w:t>
            </w:r>
          </w:p>
        </w:tc>
        <w:tc>
          <w:tcPr>
            <w:tcW w:w="0" w:type="auto"/>
          </w:tcPr>
          <w:p w14:paraId="5C651A90" w14:textId="77777777" w:rsidR="008D663C" w:rsidRDefault="005B252C">
            <w:pPr>
              <w:pStyle w:val="Compact"/>
            </w:pPr>
            <w:r>
              <w:t>Paired lag</w:t>
            </w:r>
          </w:p>
        </w:tc>
      </w:tr>
      <w:tr w:rsidR="008D663C" w14:paraId="4D314830" w14:textId="77777777">
        <w:tc>
          <w:tcPr>
            <w:tcW w:w="0" w:type="auto"/>
          </w:tcPr>
          <w:p w14:paraId="284E0BE9" w14:textId="77777777" w:rsidR="008D663C" w:rsidRDefault="005B252C">
            <w:pPr>
              <w:pStyle w:val="Compact"/>
            </w:pPr>
            <w:r>
              <w:t>France</w:t>
            </w:r>
          </w:p>
        </w:tc>
        <w:tc>
          <w:tcPr>
            <w:tcW w:w="0" w:type="auto"/>
          </w:tcPr>
          <w:p w14:paraId="552BB83E" w14:textId="77777777" w:rsidR="008D663C" w:rsidRDefault="005B252C">
            <w:pPr>
              <w:pStyle w:val="Compact"/>
            </w:pPr>
            <w:r>
              <w:t>Yes</w:t>
            </w:r>
          </w:p>
        </w:tc>
        <w:tc>
          <w:tcPr>
            <w:tcW w:w="0" w:type="auto"/>
          </w:tcPr>
          <w:p w14:paraId="0948111F" w14:textId="77777777" w:rsidR="008D663C" w:rsidRDefault="005B252C">
            <w:pPr>
              <w:pStyle w:val="Compact"/>
            </w:pPr>
            <w:r>
              <w:t>8 (alt. 0)</w:t>
            </w:r>
          </w:p>
        </w:tc>
        <w:tc>
          <w:tcPr>
            <w:tcW w:w="0" w:type="auto"/>
          </w:tcPr>
          <w:p w14:paraId="2CC589A3" w14:textId="77777777" w:rsidR="008D663C" w:rsidRDefault="005B252C">
            <w:pPr>
              <w:pStyle w:val="Compact"/>
            </w:pPr>
            <w:r>
              <w:t>33</w:t>
            </w:r>
          </w:p>
        </w:tc>
        <w:tc>
          <w:tcPr>
            <w:tcW w:w="0" w:type="auto"/>
          </w:tcPr>
          <w:p w14:paraId="313DEE9C" w14:textId="77777777" w:rsidR="008D663C" w:rsidRDefault="005B252C">
            <w:pPr>
              <w:pStyle w:val="Compact"/>
            </w:pPr>
            <w:r>
              <w:t>39–45</w:t>
            </w:r>
          </w:p>
        </w:tc>
        <w:tc>
          <w:tcPr>
            <w:tcW w:w="0" w:type="auto"/>
          </w:tcPr>
          <w:p w14:paraId="2FF79996" w14:textId="77777777" w:rsidR="008D663C" w:rsidRDefault="005B252C">
            <w:pPr>
              <w:pStyle w:val="Compact"/>
            </w:pPr>
            <w:r>
              <w:t>n.c. (stock)</w:t>
            </w:r>
          </w:p>
        </w:tc>
        <w:tc>
          <w:tcPr>
            <w:tcW w:w="0" w:type="auto"/>
          </w:tcPr>
          <w:p w14:paraId="48CBCAD6" w14:textId="77777777" w:rsidR="008D663C" w:rsidRDefault="005B252C">
            <w:pPr>
              <w:pStyle w:val="Compact"/>
            </w:pPr>
            <w:r>
              <w:t>—</w:t>
            </w:r>
          </w:p>
        </w:tc>
      </w:tr>
      <w:tr w:rsidR="008D663C" w14:paraId="0594E899" w14:textId="77777777">
        <w:tc>
          <w:tcPr>
            <w:tcW w:w="0" w:type="auto"/>
          </w:tcPr>
          <w:p w14:paraId="76AB281C" w14:textId="77777777" w:rsidR="008D663C" w:rsidRDefault="005B252C">
            <w:pPr>
              <w:pStyle w:val="Compact"/>
            </w:pPr>
            <w:r>
              <w:t>Belgium</w:t>
            </w:r>
          </w:p>
        </w:tc>
        <w:tc>
          <w:tcPr>
            <w:tcW w:w="0" w:type="auto"/>
          </w:tcPr>
          <w:p w14:paraId="1F2EAFBD" w14:textId="77777777" w:rsidR="008D663C" w:rsidRDefault="005B252C">
            <w:pPr>
              <w:pStyle w:val="Compact"/>
            </w:pPr>
            <w:r>
              <w:t>No</w:t>
            </w:r>
          </w:p>
        </w:tc>
        <w:tc>
          <w:tcPr>
            <w:tcW w:w="0" w:type="auto"/>
          </w:tcPr>
          <w:p w14:paraId="5D1898FC" w14:textId="77777777" w:rsidR="008D663C" w:rsidRDefault="005B252C">
            <w:pPr>
              <w:pStyle w:val="Compact"/>
            </w:pPr>
            <w:r>
              <w:t>34 (A: 1)</w:t>
            </w:r>
          </w:p>
        </w:tc>
        <w:tc>
          <w:tcPr>
            <w:tcW w:w="0" w:type="auto"/>
          </w:tcPr>
          <w:p w14:paraId="13B1E5A6" w14:textId="77777777" w:rsidR="008D663C" w:rsidRDefault="005B252C">
            <w:pPr>
              <w:pStyle w:val="Compact"/>
            </w:pPr>
            <w:r>
              <w:t>43</w:t>
            </w:r>
          </w:p>
        </w:tc>
        <w:tc>
          <w:tcPr>
            <w:tcW w:w="0" w:type="auto"/>
          </w:tcPr>
          <w:p w14:paraId="2AC3CC93" w14:textId="77777777" w:rsidR="008D663C" w:rsidRDefault="005B252C">
            <w:pPr>
              <w:pStyle w:val="Compact"/>
            </w:pPr>
            <w:r>
              <w:t>46</w:t>
            </w:r>
          </w:p>
        </w:tc>
        <w:tc>
          <w:tcPr>
            <w:tcW w:w="0" w:type="auto"/>
          </w:tcPr>
          <w:p w14:paraId="348BF0E1" w14:textId="77777777" w:rsidR="008D663C" w:rsidRDefault="005B252C">
            <w:pPr>
              <w:pStyle w:val="Compact"/>
            </w:pPr>
            <w:r>
              <w:t>12 (A: 45)</w:t>
            </w:r>
          </w:p>
        </w:tc>
        <w:tc>
          <w:tcPr>
            <w:tcW w:w="0" w:type="auto"/>
          </w:tcPr>
          <w:p w14:paraId="77A4BA88" w14:textId="77777777" w:rsidR="008D663C" w:rsidRDefault="005B252C">
            <w:pPr>
              <w:pStyle w:val="Compact"/>
            </w:pPr>
            <w:r>
              <w:t>23 (A: 56); five orders 5–23 (A: 5–56)</w:t>
            </w:r>
          </w:p>
        </w:tc>
      </w:tr>
      <w:tr w:rsidR="008D663C" w14:paraId="3627A554" w14:textId="77777777">
        <w:tc>
          <w:tcPr>
            <w:tcW w:w="0" w:type="auto"/>
          </w:tcPr>
          <w:p w14:paraId="3CABEC5B" w14:textId="77777777" w:rsidR="008D663C" w:rsidRDefault="005B252C">
            <w:pPr>
              <w:pStyle w:val="Compact"/>
            </w:pPr>
            <w:r>
              <w:t>Germany</w:t>
            </w:r>
          </w:p>
        </w:tc>
        <w:tc>
          <w:tcPr>
            <w:tcW w:w="0" w:type="auto"/>
          </w:tcPr>
          <w:p w14:paraId="2A97306F" w14:textId="77777777" w:rsidR="008D663C" w:rsidRDefault="005B252C">
            <w:pPr>
              <w:pStyle w:val="Compact"/>
            </w:pPr>
            <w:r>
              <w:t>No</w:t>
            </w:r>
          </w:p>
        </w:tc>
        <w:tc>
          <w:tcPr>
            <w:tcW w:w="0" w:type="auto"/>
          </w:tcPr>
          <w:p w14:paraId="0529CFD8" w14:textId="77777777" w:rsidR="008D663C" w:rsidRDefault="005B252C">
            <w:pPr>
              <w:pStyle w:val="Compact"/>
            </w:pPr>
            <w:r>
              <w:t>29–51</w:t>
            </w:r>
          </w:p>
        </w:tc>
        <w:tc>
          <w:tcPr>
            <w:tcW w:w="0" w:type="auto"/>
          </w:tcPr>
          <w:p w14:paraId="301749D1" w14:textId="77777777" w:rsidR="008D663C" w:rsidRDefault="005B252C">
            <w:pPr>
              <w:pStyle w:val="Compact"/>
            </w:pPr>
            <w:r>
              <w:t>34</w:t>
            </w:r>
          </w:p>
        </w:tc>
        <w:tc>
          <w:tcPr>
            <w:tcW w:w="0" w:type="auto"/>
          </w:tcPr>
          <w:p w14:paraId="0877A12F" w14:textId="77777777" w:rsidR="008D663C" w:rsidRDefault="005B252C">
            <w:pPr>
              <w:pStyle w:val="Compact"/>
            </w:pPr>
            <w:r>
              <w:t>51–52</w:t>
            </w:r>
          </w:p>
        </w:tc>
        <w:tc>
          <w:tcPr>
            <w:tcW w:w="0" w:type="auto"/>
          </w:tcPr>
          <w:p w14:paraId="706F3BC6" w14:textId="77777777" w:rsidR="008D663C" w:rsidRDefault="005B252C">
            <w:pPr>
              <w:pStyle w:val="Compact"/>
            </w:pPr>
            <w:r>
              <w:t>0–23</w:t>
            </w:r>
          </w:p>
        </w:tc>
        <w:tc>
          <w:tcPr>
            <w:tcW w:w="0" w:type="auto"/>
          </w:tcPr>
          <w:p w14:paraId="76550181" w14:textId="77777777" w:rsidR="008D663C" w:rsidRDefault="005B252C">
            <w:pPr>
              <w:pStyle w:val="Compact"/>
            </w:pPr>
            <w:r>
              <w:t>—</w:t>
            </w:r>
          </w:p>
        </w:tc>
      </w:tr>
      <w:tr w:rsidR="008D663C" w14:paraId="0F882C69" w14:textId="77777777">
        <w:tc>
          <w:tcPr>
            <w:tcW w:w="0" w:type="auto"/>
          </w:tcPr>
          <w:p w14:paraId="29FE5DE9" w14:textId="77777777" w:rsidR="008D663C" w:rsidRDefault="005B252C">
            <w:pPr>
              <w:pStyle w:val="Compact"/>
            </w:pPr>
            <w:r>
              <w:t>Netherlands</w:t>
            </w:r>
          </w:p>
        </w:tc>
        <w:tc>
          <w:tcPr>
            <w:tcW w:w="0" w:type="auto"/>
          </w:tcPr>
          <w:p w14:paraId="1E6577AF" w14:textId="77777777" w:rsidR="008D663C" w:rsidRDefault="005B252C">
            <w:pPr>
              <w:pStyle w:val="Compact"/>
            </w:pPr>
            <w:r>
              <w:t>No</w:t>
            </w:r>
          </w:p>
        </w:tc>
        <w:tc>
          <w:tcPr>
            <w:tcW w:w="0" w:type="auto"/>
          </w:tcPr>
          <w:p w14:paraId="35AD255A" w14:textId="77777777" w:rsidR="008D663C" w:rsidRDefault="005B252C">
            <w:pPr>
              <w:pStyle w:val="Compact"/>
            </w:pPr>
            <w:r>
              <w:t>36–39</w:t>
            </w:r>
          </w:p>
        </w:tc>
        <w:tc>
          <w:tcPr>
            <w:tcW w:w="0" w:type="auto"/>
          </w:tcPr>
          <w:p w14:paraId="4E7ED10D" w14:textId="77777777" w:rsidR="008D663C" w:rsidRDefault="005B252C">
            <w:pPr>
              <w:pStyle w:val="Compact"/>
            </w:pPr>
            <w:r>
              <w:t>none found</w:t>
            </w:r>
          </w:p>
        </w:tc>
        <w:tc>
          <w:tcPr>
            <w:tcW w:w="0" w:type="auto"/>
          </w:tcPr>
          <w:p w14:paraId="7226B404" w14:textId="77777777" w:rsidR="008D663C" w:rsidRDefault="005B252C">
            <w:pPr>
              <w:pStyle w:val="Compact"/>
            </w:pPr>
            <w:r>
              <w:t>51</w:t>
            </w:r>
          </w:p>
        </w:tc>
        <w:tc>
          <w:tcPr>
            <w:tcW w:w="0" w:type="auto"/>
          </w:tcPr>
          <w:p w14:paraId="51D4E48E" w14:textId="77777777" w:rsidR="008D663C" w:rsidRDefault="005B252C">
            <w:pPr>
              <w:pStyle w:val="Compact"/>
            </w:pPr>
            <w:r>
              <w:t>12–15</w:t>
            </w:r>
          </w:p>
        </w:tc>
        <w:tc>
          <w:tcPr>
            <w:tcW w:w="0" w:type="auto"/>
          </w:tcPr>
          <w:p w14:paraId="6F50F306" w14:textId="77777777" w:rsidR="008D663C" w:rsidRDefault="005B252C">
            <w:pPr>
              <w:pStyle w:val="Compact"/>
            </w:pPr>
            <w:r>
              <w:t>—</w:t>
            </w:r>
          </w:p>
        </w:tc>
      </w:tr>
      <w:tr w:rsidR="008D663C" w14:paraId="015453B1" w14:textId="77777777">
        <w:tc>
          <w:tcPr>
            <w:tcW w:w="0" w:type="auto"/>
          </w:tcPr>
          <w:p w14:paraId="761C7BF4" w14:textId="77777777" w:rsidR="008D663C" w:rsidRDefault="005B252C">
            <w:pPr>
              <w:pStyle w:val="Compact"/>
            </w:pPr>
            <w:r>
              <w:t>Sweden</w:t>
            </w:r>
          </w:p>
        </w:tc>
        <w:tc>
          <w:tcPr>
            <w:tcW w:w="0" w:type="auto"/>
          </w:tcPr>
          <w:p w14:paraId="3DCC283E" w14:textId="77777777" w:rsidR="008D663C" w:rsidRDefault="005B252C">
            <w:pPr>
              <w:pStyle w:val="Compact"/>
            </w:pPr>
            <w:r>
              <w:t>No</w:t>
            </w:r>
          </w:p>
        </w:tc>
        <w:tc>
          <w:tcPr>
            <w:tcW w:w="0" w:type="auto"/>
          </w:tcPr>
          <w:p w14:paraId="5C309BE0" w14:textId="77777777" w:rsidR="008D663C" w:rsidRDefault="005B252C">
            <w:pPr>
              <w:pStyle w:val="Compact"/>
            </w:pPr>
            <w:r>
              <w:t>0–61</w:t>
            </w:r>
          </w:p>
        </w:tc>
        <w:tc>
          <w:tcPr>
            <w:tcW w:w="0" w:type="auto"/>
          </w:tcPr>
          <w:p w14:paraId="4FD8D9E8" w14:textId="77777777" w:rsidR="008D663C" w:rsidRDefault="005B252C">
            <w:pPr>
              <w:pStyle w:val="Compact"/>
            </w:pPr>
            <w:r>
              <w:t>46</w:t>
            </w:r>
          </w:p>
        </w:tc>
        <w:tc>
          <w:tcPr>
            <w:tcW w:w="0" w:type="auto"/>
          </w:tcPr>
          <w:p w14:paraId="4D2C8AF2" w14:textId="77777777" w:rsidR="008D663C" w:rsidRDefault="005B252C">
            <w:pPr>
              <w:pStyle w:val="Compact"/>
            </w:pPr>
            <w:r>
              <w:t>41–61</w:t>
            </w:r>
          </w:p>
        </w:tc>
        <w:tc>
          <w:tcPr>
            <w:tcW w:w="0" w:type="auto"/>
          </w:tcPr>
          <w:p w14:paraId="40DB54CF" w14:textId="77777777" w:rsidR="008D663C" w:rsidRDefault="005B252C">
            <w:pPr>
              <w:pStyle w:val="Compact"/>
            </w:pPr>
            <w:r>
              <w:t>0–61</w:t>
            </w:r>
          </w:p>
        </w:tc>
        <w:tc>
          <w:tcPr>
            <w:tcW w:w="0" w:type="auto"/>
          </w:tcPr>
          <w:p w14:paraId="39515C72" w14:textId="77777777" w:rsidR="008D663C" w:rsidRDefault="005B252C">
            <w:pPr>
              <w:pStyle w:val="Compact"/>
            </w:pPr>
            <w:r>
              <w:t>—</w:t>
            </w:r>
          </w:p>
        </w:tc>
      </w:tr>
      <w:tr w:rsidR="008D663C" w14:paraId="109C8BFD" w14:textId="77777777">
        <w:tc>
          <w:tcPr>
            <w:tcW w:w="0" w:type="auto"/>
          </w:tcPr>
          <w:p w14:paraId="1B1B4B5A" w14:textId="77777777" w:rsidR="008D663C" w:rsidRDefault="005B252C">
            <w:pPr>
              <w:pStyle w:val="Compact"/>
            </w:pPr>
            <w:r>
              <w:t>EU level</w:t>
            </w:r>
          </w:p>
        </w:tc>
        <w:tc>
          <w:tcPr>
            <w:tcW w:w="0" w:type="auto"/>
          </w:tcPr>
          <w:p w14:paraId="012668F5" w14:textId="77777777" w:rsidR="008D663C" w:rsidRDefault="005B252C">
            <w:pPr>
              <w:pStyle w:val="Compact"/>
            </w:pPr>
            <w:r>
              <w:t>—</w:t>
            </w:r>
          </w:p>
        </w:tc>
        <w:tc>
          <w:tcPr>
            <w:tcW w:w="0" w:type="auto"/>
          </w:tcPr>
          <w:p w14:paraId="399532E4" w14:textId="77777777" w:rsidR="008D663C" w:rsidRDefault="005B252C">
            <w:pPr>
              <w:pStyle w:val="Compact"/>
            </w:pPr>
            <w:r>
              <w:t>tender 29</w:t>
            </w:r>
          </w:p>
        </w:tc>
        <w:tc>
          <w:tcPr>
            <w:tcW w:w="0" w:type="auto"/>
          </w:tcPr>
          <w:p w14:paraId="2BCE39A6" w14:textId="77777777" w:rsidR="008D663C" w:rsidRDefault="005B252C">
            <w:pPr>
              <w:pStyle w:val="Compact"/>
            </w:pPr>
            <w:r>
              <w:t>44</w:t>
            </w:r>
          </w:p>
        </w:tc>
        <w:tc>
          <w:tcPr>
            <w:tcW w:w="0" w:type="auto"/>
          </w:tcPr>
          <w:p w14:paraId="2186505A" w14:textId="77777777" w:rsidR="008D663C" w:rsidRDefault="005B252C">
            <w:pPr>
              <w:pStyle w:val="Compact"/>
            </w:pPr>
            <w:r>
              <w:t>86 (stockpile); joint procurement ≥ 62</w:t>
            </w:r>
          </w:p>
        </w:tc>
        <w:tc>
          <w:tcPr>
            <w:tcW w:w="0" w:type="auto"/>
          </w:tcPr>
          <w:p w14:paraId="38C54544" w14:textId="77777777" w:rsidR="008D663C" w:rsidRDefault="005B252C">
            <w:pPr>
              <w:pStyle w:val="Compact"/>
            </w:pPr>
            <w:r>
              <w:t>—</w:t>
            </w:r>
          </w:p>
        </w:tc>
        <w:tc>
          <w:tcPr>
            <w:tcW w:w="0" w:type="auto"/>
          </w:tcPr>
          <w:p w14:paraId="02FF20DE" w14:textId="77777777" w:rsidR="008D663C" w:rsidRDefault="005B252C">
            <w:pPr>
              <w:pStyle w:val="Compact"/>
            </w:pPr>
            <w:r>
              <w:t>—</w:t>
            </w:r>
          </w:p>
        </w:tc>
      </w:tr>
    </w:tbl>
    <w:p w14:paraId="60B32A40" w14:textId="77777777" w:rsidR="008D663C" w:rsidRDefault="005B252C">
      <w:pPr>
        <w:pStyle w:val="BodyText"/>
      </w:pPr>
      <w:r>
        <w:rPr>
          <w:i/>
          <w:iCs/>
        </w:rPr>
        <w:t>Note.</w:t>
      </w:r>
      <w:r>
        <w:t xml:space="preserve"> First delivery is to a distribution level (Section 3.2). A: reading A of the contested Belgian testimony (Section 4.2). n.c.: not comparable, because the first French deliveries most plausibly came from the stock. —: not applicable or no paired record.</w:t>
      </w:r>
    </w:p>
    <w:p w14:paraId="5468B2B7" w14:textId="77777777" w:rsidR="008D663C" w:rsidRDefault="005B252C">
      <w:pPr>
        <w:pStyle w:val="BodyText"/>
      </w:pPr>
      <w:r>
        <w:t>[Figure 1 about here]</w:t>
      </w:r>
    </w:p>
    <w:p w14:paraId="4F9CEBAC" w14:textId="77777777" w:rsidR="008D663C" w:rsidRDefault="005B252C">
      <w:pPr>
        <w:pStyle w:val="Heading2"/>
      </w:pPr>
      <w:bookmarkStart w:id="11" w:name="Xb5b9ea5c845d740e7df94a6d5857543f8f9bafc"/>
      <w:bookmarkEnd w:id="10"/>
      <w:r>
        <w:t>4.2 Belgium: orders paired with their own deliveries</w:t>
      </w:r>
    </w:p>
    <w:p w14:paraId="520A137A" w14:textId="77777777" w:rsidR="008D663C" w:rsidRDefault="005B252C">
      <w:pPr>
        <w:pStyle w:val="FirstParagraph"/>
      </w:pPr>
      <w:r>
        <w:t>The Belgian record contains the only firm orders in the sample that can be followed to their own delivery. The head of the federal medical stock (Saniport) told the inquiry that the first orders of FFP2 masks were placed with 3M on 4 March 2020 and could be delivered only from 27 March (Chamber of Representatives, 2021b). In the hearing of the chair of the federal Risk Management Group, the order of 500,000 FFP2 masks was dated to 31 January (Chamber of Representatives, 2021c); the committee’s chronology al</w:t>
      </w:r>
      <w:r>
        <w:t>so records an option on the same masks on 4 February and flags the conflicting entries as contradicted (Chamber of Representatives, 2021a, Annex 5, entries 716, 760 and 1052). Under reading A, the order was placed on day 1; under reading B, on day 34. Delivery, on day 57, is the same under both, so the paired lag is 56 or 23 days. Which is correct cannot be decided from the record: the division of the delay into a decision lag and a conversion lag is not identified, while their sum is.</w:t>
      </w:r>
    </w:p>
    <w:p w14:paraId="679A2209" w14:textId="77777777" w:rsidR="008D663C" w:rsidRDefault="005B252C">
      <w:pPr>
        <w:pStyle w:val="BodyText"/>
      </w:pPr>
      <w:r>
        <w:t>Four later orders by the same service can be followed in the same way (Table 3; Figure 2). Across the five orders, order dates span 27 days (60 under reading A) and delivery dates 17 days (20 March to 6 April). Later orders were in general delivered later (Spearman +0.72 under both readings, descriptive only), but the first order was overtaken by an order of surgical masks placed eleven days later (44 under reading A), and an FFP2 order of 23 March overtook one of 16 March. Lags were shorter for surgical ma</w:t>
      </w:r>
      <w:r>
        <w:t>sks (5 and 6 days) than for FFP2 respirators (10–23 days, or up to 56). An order from a new national producer, placed on 20 March, was first delivered in early August.</w:t>
      </w:r>
    </w:p>
    <w:p w14:paraId="1F1890A2" w14:textId="77777777" w:rsidR="008D663C" w:rsidRDefault="005B252C">
      <w:pPr>
        <w:pStyle w:val="BodyText"/>
      </w:pPr>
      <w:r>
        <w:rPr>
          <w:b/>
          <w:bCs/>
        </w:rPr>
        <w:t>Table 3. Belgian federal orders paired with their own first delivery (days from t0).</w:t>
      </w:r>
    </w:p>
    <w:tbl>
      <w:tblPr>
        <w:tblStyle w:val="Table"/>
        <w:tblW w:w="5000" w:type="pct"/>
        <w:tblLook w:val="0020" w:firstRow="1" w:lastRow="0" w:firstColumn="0" w:lastColumn="0" w:noHBand="0" w:noVBand="0"/>
      </w:tblPr>
      <w:tblGrid>
        <w:gridCol w:w="822"/>
        <w:gridCol w:w="1880"/>
        <w:gridCol w:w="2020"/>
        <w:gridCol w:w="1597"/>
        <w:gridCol w:w="1367"/>
        <w:gridCol w:w="1674"/>
      </w:tblGrid>
      <w:tr w:rsidR="008D663C" w14:paraId="4FAC745E" w14:textId="77777777" w:rsidTr="008D663C">
        <w:trPr>
          <w:cnfStyle w:val="100000000000" w:firstRow="1" w:lastRow="0" w:firstColumn="0" w:lastColumn="0" w:oddVBand="0" w:evenVBand="0" w:oddHBand="0" w:evenHBand="0" w:firstRowFirstColumn="0" w:firstRowLastColumn="0" w:lastRowFirstColumn="0" w:lastRowLastColumn="0"/>
          <w:tblHeader/>
        </w:trPr>
        <w:tc>
          <w:tcPr>
            <w:tcW w:w="0" w:type="auto"/>
          </w:tcPr>
          <w:p w14:paraId="0C7156C5" w14:textId="77777777" w:rsidR="008D663C" w:rsidRDefault="005B252C">
            <w:pPr>
              <w:pStyle w:val="Compact"/>
            </w:pPr>
            <w:r>
              <w:t>Order</w:t>
            </w:r>
          </w:p>
        </w:tc>
        <w:tc>
          <w:tcPr>
            <w:tcW w:w="0" w:type="auto"/>
          </w:tcPr>
          <w:p w14:paraId="731A74B7" w14:textId="77777777" w:rsidR="008D663C" w:rsidRDefault="005B252C">
            <w:pPr>
              <w:pStyle w:val="Compact"/>
            </w:pPr>
            <w:r>
              <w:t>Goods</w:t>
            </w:r>
          </w:p>
        </w:tc>
        <w:tc>
          <w:tcPr>
            <w:tcW w:w="0" w:type="auto"/>
          </w:tcPr>
          <w:p w14:paraId="58FC96AD" w14:textId="77777777" w:rsidR="008D663C" w:rsidRDefault="005B252C">
            <w:pPr>
              <w:pStyle w:val="Compact"/>
            </w:pPr>
            <w:r>
              <w:t>Supplier</w:t>
            </w:r>
          </w:p>
        </w:tc>
        <w:tc>
          <w:tcPr>
            <w:tcW w:w="0" w:type="auto"/>
          </w:tcPr>
          <w:p w14:paraId="6D2D50F9" w14:textId="77777777" w:rsidR="008D663C" w:rsidRDefault="005B252C">
            <w:pPr>
              <w:pStyle w:val="Compact"/>
            </w:pPr>
            <w:r>
              <w:t>Order</w:t>
            </w:r>
          </w:p>
        </w:tc>
        <w:tc>
          <w:tcPr>
            <w:tcW w:w="0" w:type="auto"/>
          </w:tcPr>
          <w:p w14:paraId="7E885065" w14:textId="77777777" w:rsidR="008D663C" w:rsidRDefault="005B252C">
            <w:pPr>
              <w:pStyle w:val="Compact"/>
            </w:pPr>
            <w:r>
              <w:t>First delivery</w:t>
            </w:r>
          </w:p>
        </w:tc>
        <w:tc>
          <w:tcPr>
            <w:tcW w:w="0" w:type="auto"/>
          </w:tcPr>
          <w:p w14:paraId="4E814121" w14:textId="77777777" w:rsidR="008D663C" w:rsidRDefault="005B252C">
            <w:pPr>
              <w:pStyle w:val="Compact"/>
            </w:pPr>
            <w:r>
              <w:t>Paired lag</w:t>
            </w:r>
          </w:p>
        </w:tc>
      </w:tr>
      <w:tr w:rsidR="008D663C" w14:paraId="1CDC38F5" w14:textId="77777777">
        <w:tc>
          <w:tcPr>
            <w:tcW w:w="0" w:type="auto"/>
          </w:tcPr>
          <w:p w14:paraId="25F90AC6" w14:textId="77777777" w:rsidR="008D663C" w:rsidRDefault="005B252C">
            <w:pPr>
              <w:pStyle w:val="Compact"/>
            </w:pPr>
            <w:r>
              <w:t>1</w:t>
            </w:r>
          </w:p>
        </w:tc>
        <w:tc>
          <w:tcPr>
            <w:tcW w:w="0" w:type="auto"/>
          </w:tcPr>
          <w:p w14:paraId="5E1F127D" w14:textId="77777777" w:rsidR="008D663C" w:rsidRDefault="005B252C">
            <w:pPr>
              <w:pStyle w:val="Compact"/>
            </w:pPr>
            <w:r>
              <w:t>500,000 FFP2</w:t>
            </w:r>
          </w:p>
        </w:tc>
        <w:tc>
          <w:tcPr>
            <w:tcW w:w="0" w:type="auto"/>
          </w:tcPr>
          <w:p w14:paraId="691526F7" w14:textId="77777777" w:rsidR="008D663C" w:rsidRDefault="005B252C">
            <w:pPr>
              <w:pStyle w:val="Compact"/>
            </w:pPr>
            <w:r>
              <w:t>3M</w:t>
            </w:r>
          </w:p>
        </w:tc>
        <w:tc>
          <w:tcPr>
            <w:tcW w:w="0" w:type="auto"/>
          </w:tcPr>
          <w:p w14:paraId="6B84BE99" w14:textId="77777777" w:rsidR="008D663C" w:rsidRDefault="005B252C">
            <w:pPr>
              <w:pStyle w:val="Compact"/>
            </w:pPr>
            <w:r>
              <w:t>34 (reading A: 1)</w:t>
            </w:r>
          </w:p>
        </w:tc>
        <w:tc>
          <w:tcPr>
            <w:tcW w:w="0" w:type="auto"/>
          </w:tcPr>
          <w:p w14:paraId="5E90F0DC" w14:textId="77777777" w:rsidR="008D663C" w:rsidRDefault="005B252C">
            <w:pPr>
              <w:pStyle w:val="Compact"/>
            </w:pPr>
            <w:r>
              <w:t>57</w:t>
            </w:r>
          </w:p>
        </w:tc>
        <w:tc>
          <w:tcPr>
            <w:tcW w:w="0" w:type="auto"/>
          </w:tcPr>
          <w:p w14:paraId="79751CBB" w14:textId="77777777" w:rsidR="008D663C" w:rsidRDefault="005B252C">
            <w:pPr>
              <w:pStyle w:val="Compact"/>
            </w:pPr>
            <w:r>
              <w:t>23 (reading A: 56)</w:t>
            </w:r>
          </w:p>
        </w:tc>
      </w:tr>
      <w:tr w:rsidR="008D663C" w14:paraId="068B8F48" w14:textId="77777777">
        <w:tc>
          <w:tcPr>
            <w:tcW w:w="0" w:type="auto"/>
          </w:tcPr>
          <w:p w14:paraId="4781CE9E" w14:textId="77777777" w:rsidR="008D663C" w:rsidRDefault="005B252C">
            <w:pPr>
              <w:pStyle w:val="Compact"/>
            </w:pPr>
            <w:r>
              <w:t>2</w:t>
            </w:r>
          </w:p>
        </w:tc>
        <w:tc>
          <w:tcPr>
            <w:tcW w:w="0" w:type="auto"/>
          </w:tcPr>
          <w:p w14:paraId="59E06567" w14:textId="77777777" w:rsidR="008D663C" w:rsidRDefault="005B252C">
            <w:pPr>
              <w:pStyle w:val="Compact"/>
            </w:pPr>
            <w:r>
              <w:t>10,000,000 surgical</w:t>
            </w:r>
          </w:p>
        </w:tc>
        <w:tc>
          <w:tcPr>
            <w:tcW w:w="0" w:type="auto"/>
          </w:tcPr>
          <w:p w14:paraId="109F10BD" w14:textId="77777777" w:rsidR="008D663C" w:rsidRDefault="005B252C">
            <w:pPr>
              <w:pStyle w:val="Compact"/>
            </w:pPr>
            <w:r>
              <w:t>Life</w:t>
            </w:r>
          </w:p>
        </w:tc>
        <w:tc>
          <w:tcPr>
            <w:tcW w:w="0" w:type="auto"/>
          </w:tcPr>
          <w:p w14:paraId="4151E0DA" w14:textId="77777777" w:rsidR="008D663C" w:rsidRDefault="005B252C">
            <w:pPr>
              <w:pStyle w:val="Compact"/>
            </w:pPr>
            <w:r>
              <w:t>45</w:t>
            </w:r>
          </w:p>
        </w:tc>
        <w:tc>
          <w:tcPr>
            <w:tcW w:w="0" w:type="auto"/>
          </w:tcPr>
          <w:p w14:paraId="7D2BDBE4" w14:textId="77777777" w:rsidR="008D663C" w:rsidRDefault="005B252C">
            <w:pPr>
              <w:pStyle w:val="Compact"/>
            </w:pPr>
            <w:r>
              <w:t>50</w:t>
            </w:r>
          </w:p>
        </w:tc>
        <w:tc>
          <w:tcPr>
            <w:tcW w:w="0" w:type="auto"/>
          </w:tcPr>
          <w:p w14:paraId="169FABB9" w14:textId="77777777" w:rsidR="008D663C" w:rsidRDefault="005B252C">
            <w:pPr>
              <w:pStyle w:val="Compact"/>
            </w:pPr>
            <w:r>
              <w:t>5</w:t>
            </w:r>
          </w:p>
        </w:tc>
      </w:tr>
      <w:tr w:rsidR="008D663C" w14:paraId="533479F6" w14:textId="77777777">
        <w:tc>
          <w:tcPr>
            <w:tcW w:w="0" w:type="auto"/>
          </w:tcPr>
          <w:p w14:paraId="3304840A" w14:textId="77777777" w:rsidR="008D663C" w:rsidRDefault="005B252C">
            <w:pPr>
              <w:pStyle w:val="Compact"/>
            </w:pPr>
            <w:r>
              <w:t>3</w:t>
            </w:r>
          </w:p>
        </w:tc>
        <w:tc>
          <w:tcPr>
            <w:tcW w:w="0" w:type="auto"/>
          </w:tcPr>
          <w:p w14:paraId="4F4A4707" w14:textId="77777777" w:rsidR="008D663C" w:rsidRDefault="005B252C">
            <w:pPr>
              <w:pStyle w:val="Compact"/>
            </w:pPr>
            <w:r>
              <w:t>1,000,000 FFP2</w:t>
            </w:r>
          </w:p>
        </w:tc>
        <w:tc>
          <w:tcPr>
            <w:tcW w:w="0" w:type="auto"/>
          </w:tcPr>
          <w:p w14:paraId="6F93B7C0" w14:textId="77777777" w:rsidR="008D663C" w:rsidRDefault="005B252C">
            <w:pPr>
              <w:pStyle w:val="Compact"/>
            </w:pPr>
            <w:r>
              <w:t>Ultrazonic</w:t>
            </w:r>
          </w:p>
        </w:tc>
        <w:tc>
          <w:tcPr>
            <w:tcW w:w="0" w:type="auto"/>
          </w:tcPr>
          <w:p w14:paraId="10FD2349" w14:textId="77777777" w:rsidR="008D663C" w:rsidRDefault="005B252C">
            <w:pPr>
              <w:pStyle w:val="Compact"/>
            </w:pPr>
            <w:r>
              <w:t>46</w:t>
            </w:r>
          </w:p>
        </w:tc>
        <w:tc>
          <w:tcPr>
            <w:tcW w:w="0" w:type="auto"/>
          </w:tcPr>
          <w:p w14:paraId="5A3F5599" w14:textId="77777777" w:rsidR="008D663C" w:rsidRDefault="005B252C">
            <w:pPr>
              <w:pStyle w:val="Compact"/>
            </w:pPr>
            <w:r>
              <w:t>67</w:t>
            </w:r>
          </w:p>
        </w:tc>
        <w:tc>
          <w:tcPr>
            <w:tcW w:w="0" w:type="auto"/>
          </w:tcPr>
          <w:p w14:paraId="4AC3C39F" w14:textId="77777777" w:rsidR="008D663C" w:rsidRDefault="005B252C">
            <w:pPr>
              <w:pStyle w:val="Compact"/>
            </w:pPr>
            <w:r>
              <w:t>21</w:t>
            </w:r>
          </w:p>
        </w:tc>
      </w:tr>
      <w:tr w:rsidR="008D663C" w14:paraId="3678A8F5" w14:textId="77777777">
        <w:tc>
          <w:tcPr>
            <w:tcW w:w="0" w:type="auto"/>
          </w:tcPr>
          <w:p w14:paraId="1F37ABFC" w14:textId="77777777" w:rsidR="008D663C" w:rsidRDefault="005B252C">
            <w:pPr>
              <w:pStyle w:val="Compact"/>
            </w:pPr>
            <w:r>
              <w:t>4</w:t>
            </w:r>
          </w:p>
        </w:tc>
        <w:tc>
          <w:tcPr>
            <w:tcW w:w="0" w:type="auto"/>
          </w:tcPr>
          <w:p w14:paraId="35CD9F51" w14:textId="77777777" w:rsidR="008D663C" w:rsidRDefault="005B252C">
            <w:pPr>
              <w:pStyle w:val="Compact"/>
            </w:pPr>
            <w:r>
              <w:t>3,000,000 FFP2</w:t>
            </w:r>
          </w:p>
        </w:tc>
        <w:tc>
          <w:tcPr>
            <w:tcW w:w="0" w:type="auto"/>
          </w:tcPr>
          <w:p w14:paraId="2C65A5D1" w14:textId="77777777" w:rsidR="008D663C" w:rsidRDefault="005B252C">
            <w:pPr>
              <w:pStyle w:val="Compact"/>
            </w:pPr>
            <w:r>
              <w:t>Life</w:t>
            </w:r>
          </w:p>
        </w:tc>
        <w:tc>
          <w:tcPr>
            <w:tcW w:w="0" w:type="auto"/>
          </w:tcPr>
          <w:p w14:paraId="52971007" w14:textId="77777777" w:rsidR="008D663C" w:rsidRDefault="005B252C">
            <w:pPr>
              <w:pStyle w:val="Compact"/>
            </w:pPr>
            <w:r>
              <w:t>53</w:t>
            </w:r>
          </w:p>
        </w:tc>
        <w:tc>
          <w:tcPr>
            <w:tcW w:w="0" w:type="auto"/>
          </w:tcPr>
          <w:p w14:paraId="084EB2DD" w14:textId="77777777" w:rsidR="008D663C" w:rsidRDefault="005B252C">
            <w:pPr>
              <w:pStyle w:val="Compact"/>
            </w:pPr>
            <w:r>
              <w:t>63</w:t>
            </w:r>
          </w:p>
        </w:tc>
        <w:tc>
          <w:tcPr>
            <w:tcW w:w="0" w:type="auto"/>
          </w:tcPr>
          <w:p w14:paraId="4E30855A" w14:textId="77777777" w:rsidR="008D663C" w:rsidRDefault="005B252C">
            <w:pPr>
              <w:pStyle w:val="Compact"/>
            </w:pPr>
            <w:r>
              <w:t>10</w:t>
            </w:r>
          </w:p>
        </w:tc>
      </w:tr>
      <w:tr w:rsidR="008D663C" w14:paraId="5533082F" w14:textId="77777777">
        <w:tc>
          <w:tcPr>
            <w:tcW w:w="0" w:type="auto"/>
          </w:tcPr>
          <w:p w14:paraId="4DF6A1FC" w14:textId="77777777" w:rsidR="008D663C" w:rsidRDefault="005B252C">
            <w:pPr>
              <w:pStyle w:val="Compact"/>
            </w:pPr>
            <w:r>
              <w:t>5</w:t>
            </w:r>
          </w:p>
        </w:tc>
        <w:tc>
          <w:tcPr>
            <w:tcW w:w="0" w:type="auto"/>
          </w:tcPr>
          <w:p w14:paraId="09B1185E" w14:textId="77777777" w:rsidR="008D663C" w:rsidRDefault="005B252C">
            <w:pPr>
              <w:pStyle w:val="Compact"/>
            </w:pPr>
            <w:r>
              <w:t>2,200,000 surgical</w:t>
            </w:r>
          </w:p>
        </w:tc>
        <w:tc>
          <w:tcPr>
            <w:tcW w:w="0" w:type="auto"/>
          </w:tcPr>
          <w:p w14:paraId="6A007D20" w14:textId="77777777" w:rsidR="008D663C" w:rsidRDefault="005B252C">
            <w:pPr>
              <w:pStyle w:val="Compact"/>
            </w:pPr>
            <w:r>
              <w:t>XML</w:t>
            </w:r>
          </w:p>
        </w:tc>
        <w:tc>
          <w:tcPr>
            <w:tcW w:w="0" w:type="auto"/>
          </w:tcPr>
          <w:p w14:paraId="2FCD308F" w14:textId="77777777" w:rsidR="008D663C" w:rsidRDefault="005B252C">
            <w:pPr>
              <w:pStyle w:val="Compact"/>
            </w:pPr>
            <w:r>
              <w:t>61</w:t>
            </w:r>
          </w:p>
        </w:tc>
        <w:tc>
          <w:tcPr>
            <w:tcW w:w="0" w:type="auto"/>
          </w:tcPr>
          <w:p w14:paraId="6DCCA20E" w14:textId="77777777" w:rsidR="008D663C" w:rsidRDefault="005B252C">
            <w:pPr>
              <w:pStyle w:val="Compact"/>
            </w:pPr>
            <w:r>
              <w:t>67</w:t>
            </w:r>
          </w:p>
        </w:tc>
        <w:tc>
          <w:tcPr>
            <w:tcW w:w="0" w:type="auto"/>
          </w:tcPr>
          <w:p w14:paraId="5E71F78F" w14:textId="77777777" w:rsidR="008D663C" w:rsidRDefault="005B252C">
            <w:pPr>
              <w:pStyle w:val="Compact"/>
            </w:pPr>
            <w:r>
              <w:t>6</w:t>
            </w:r>
          </w:p>
        </w:tc>
      </w:tr>
      <w:tr w:rsidR="008D663C" w14:paraId="70646070" w14:textId="77777777">
        <w:tc>
          <w:tcPr>
            <w:tcW w:w="0" w:type="auto"/>
          </w:tcPr>
          <w:p w14:paraId="21CDC7BF" w14:textId="77777777" w:rsidR="008D663C" w:rsidRDefault="005B252C">
            <w:pPr>
              <w:pStyle w:val="Compact"/>
            </w:pPr>
            <w:r>
              <w:t>6</w:t>
            </w:r>
          </w:p>
        </w:tc>
        <w:tc>
          <w:tcPr>
            <w:tcW w:w="0" w:type="auto"/>
          </w:tcPr>
          <w:p w14:paraId="6E74A79A" w14:textId="77777777" w:rsidR="008D663C" w:rsidRDefault="005B252C">
            <w:pPr>
              <w:pStyle w:val="Compact"/>
            </w:pPr>
            <w:r>
              <w:t>surgical and FFP2</w:t>
            </w:r>
          </w:p>
        </w:tc>
        <w:tc>
          <w:tcPr>
            <w:tcW w:w="0" w:type="auto"/>
          </w:tcPr>
          <w:p w14:paraId="0C4EA826" w14:textId="77777777" w:rsidR="008D663C" w:rsidRDefault="005B252C">
            <w:pPr>
              <w:pStyle w:val="Compact"/>
            </w:pPr>
            <w:r>
              <w:t>new national producer</w:t>
            </w:r>
          </w:p>
        </w:tc>
        <w:tc>
          <w:tcPr>
            <w:tcW w:w="0" w:type="auto"/>
          </w:tcPr>
          <w:p w14:paraId="40956E2E" w14:textId="77777777" w:rsidR="008D663C" w:rsidRDefault="005B252C">
            <w:pPr>
              <w:pStyle w:val="Compact"/>
            </w:pPr>
            <w:r>
              <w:t>50</w:t>
            </w:r>
          </w:p>
        </w:tc>
        <w:tc>
          <w:tcPr>
            <w:tcW w:w="0" w:type="auto"/>
          </w:tcPr>
          <w:p w14:paraId="3FB0B347" w14:textId="77777777" w:rsidR="008D663C" w:rsidRDefault="005B252C">
            <w:pPr>
              <w:pStyle w:val="Compact"/>
            </w:pPr>
            <w:r>
              <w:t>184–198</w:t>
            </w:r>
          </w:p>
        </w:tc>
        <w:tc>
          <w:tcPr>
            <w:tcW w:w="0" w:type="auto"/>
          </w:tcPr>
          <w:p w14:paraId="78DA7917" w14:textId="77777777" w:rsidR="008D663C" w:rsidRDefault="005B252C">
            <w:pPr>
              <w:pStyle w:val="Compact"/>
            </w:pPr>
            <w:r>
              <w:t>134–148</w:t>
            </w:r>
          </w:p>
        </w:tc>
      </w:tr>
    </w:tbl>
    <w:p w14:paraId="55D496E8" w14:textId="77777777" w:rsidR="008D663C" w:rsidRDefault="005B252C">
      <w:pPr>
        <w:pStyle w:val="BodyText"/>
      </w:pPr>
      <w:r>
        <w:rPr>
          <w:i/>
          <w:iCs/>
        </w:rPr>
        <w:t>Note.</w:t>
      </w:r>
      <w:r>
        <w:t xml:space="preserve"> </w:t>
      </w:r>
      <w:r>
        <w:t>Source: Chamber of Representatives (2021a), Annex 5, entries 716, 719, 720, 722, 726 and 742, citing the testimony and annexes of the head of Saniport (Chamber of Representatives, 2021b); order 1 under reading A from entry 1052 (Chamber of Representatives, 2021c). Order 6 was placed with a new domestic producer. Delivery dates are as reported by the purchasing service. One order of 2.7 million FFP2 masks (entry 723), whose recorded delivery precedes its recorded order, and one order of gloves (entry 725; la</w:t>
      </w:r>
      <w:r>
        <w:t>g 5 days) are not shown.</w:t>
      </w:r>
    </w:p>
    <w:p w14:paraId="57AE239D" w14:textId="77777777" w:rsidR="008D663C" w:rsidRDefault="005B252C">
      <w:pPr>
        <w:pStyle w:val="BodyText"/>
      </w:pPr>
      <w:r>
        <w:t>[Figure 2 about here]</w:t>
      </w:r>
    </w:p>
    <w:p w14:paraId="4E991600" w14:textId="77777777" w:rsidR="008D663C" w:rsidRDefault="005B252C">
      <w:pPr>
        <w:pStyle w:val="BodyText"/>
      </w:pPr>
      <w:r>
        <w:t>Belgium’s first delivery to a distribution level, to municipalities on 16 March (day 46), and to general hospitals on 20 March (day 50), came before the 3M masks arrived, from federal and provincial sources that the chronology does not trace to an order; from 11 March, a Defence depot held recently shipped equipment, not a pre-existing stock (Chamber of Representatives, 2021a, Annex 5). The unpaired interval from first order to first delivery, 12 days under reading B, is therefore not a conversion lag: it j</w:t>
      </w:r>
      <w:r>
        <w:t>oins an order to a delivery of other goods.</w:t>
      </w:r>
    </w:p>
    <w:p w14:paraId="61EDE147" w14:textId="77777777" w:rsidR="008D663C" w:rsidRDefault="005B252C">
      <w:pPr>
        <w:pStyle w:val="Heading2"/>
      </w:pPr>
      <w:bookmarkStart w:id="12" w:name="firm-orders-and-deliveries-across-cases"/>
      <w:bookmarkEnd w:id="11"/>
      <w:r>
        <w:t>4.3 Firm orders and deliveries across cases</w:t>
      </w:r>
    </w:p>
    <w:p w14:paraId="7DE8547B" w14:textId="77777777" w:rsidR="008D663C" w:rsidRDefault="005B252C">
      <w:pPr>
        <w:pStyle w:val="FirstParagraph"/>
      </w:pPr>
      <w:r>
        <w:t>Under reading B, the dated first orders of the import-dependent countries fall on or after day 29: Germany between days 29 and 51, Belgium on day 34 and the Netherlands between days 36 and 39; Sweden’s order cannot be dated. Under reading A, Belgium ordered on day 1. France’s first order for general supply came on day 8, from French manufacturers.</w:t>
      </w:r>
    </w:p>
    <w:p w14:paraId="54FDDDE8" w14:textId="77777777" w:rsidR="008D663C" w:rsidRDefault="005B252C">
      <w:pPr>
        <w:pStyle w:val="BodyText"/>
      </w:pPr>
      <w:r>
        <w:t>First deliveries to a distribution level came on day 46 in Belgium, days 51–52 in Germany and day 51 in the Netherlands, within 5–6 days of one another. Their first orders were 2–17 days apart under reading B and 35–50 days apart under reading A. Sweden’s first delivery falls between days 41 and 61. France, the only case with a national stock, delivered first (days 39–45), most plausibly from that stock; the sources do not say which order or stock supplied the first pharmacy deliveries. No dated first deliv</w:t>
      </w:r>
      <w:r>
        <w:t>ery of an import-dependent country came before day 46, 16 days after the recovery of Chinese output was reported; Sweden’s window opens on day 41.</w:t>
      </w:r>
    </w:p>
    <w:p w14:paraId="2A36E46D" w14:textId="77777777" w:rsidR="008D663C" w:rsidRDefault="005B252C">
      <w:pPr>
        <w:pStyle w:val="Heading2"/>
      </w:pPr>
      <w:bookmarkStart w:id="13" w:name="unpaired-intervals-and-rank"/>
      <w:bookmarkEnd w:id="12"/>
      <w:r>
        <w:t>4.4 Unpaired intervals and rank</w:t>
      </w:r>
    </w:p>
    <w:p w14:paraId="16E5E698" w14:textId="77777777" w:rsidR="008D663C" w:rsidRDefault="005B252C">
      <w:pPr>
        <w:pStyle w:val="FirstParagraph"/>
      </w:pPr>
      <w:r>
        <w:t>The unpaired intervals from first order to first delivery are 12–15 days in the Netherlands, 0–23 days in Germany and 12 days in Belgium (45 under reading A). For the Netherlands and Germany, the sources do not link the first delivery to the first order, so these intervals cannot be read as conversion lags; the Belgian case shows how far they can depart from one.</w:t>
      </w:r>
    </w:p>
    <w:p w14:paraId="0CCC0327" w14:textId="77777777" w:rsidR="008D663C" w:rsidRDefault="005B252C">
      <w:pPr>
        <w:pStyle w:val="BodyText"/>
      </w:pPr>
      <w:r>
        <w:t>Whether earlier orders were followed by earlier deliveries cannot be determined. Over all dates consistent with the windows, the Spearman rank correlation between order and delivery dates reaches +1.00 in every combination of cases and readings examined, and its lower end ranges from −0.80 to +0.60. With three to five cases, these values are descriptive only.</w:t>
      </w:r>
    </w:p>
    <w:p w14:paraId="09A1AFE9" w14:textId="77777777" w:rsidR="008D663C" w:rsidRDefault="005B252C">
      <w:pPr>
        <w:pStyle w:val="Heading2"/>
      </w:pPr>
      <w:bookmarkStart w:id="14" w:name="sensitivity-to-the-start-rule"/>
      <w:bookmarkEnd w:id="13"/>
      <w:r>
        <w:t>4.5 Sensitivity to the start rule</w:t>
      </w:r>
    </w:p>
    <w:p w14:paraId="1AE62EBA" w14:textId="77777777" w:rsidR="008D663C" w:rsidRDefault="005B252C">
      <w:pPr>
        <w:pStyle w:val="FirstParagraph"/>
      </w:pPr>
      <w:r>
        <w:t>Under a looser rule counting the first recorded action of any kind, Belgium’s start moves to day 1 (an inquiry to a manufacturer on 29 January and a purchase of 1,080 FFP2 respirators for a repatriation flight on 31 January), France’s to day 0 and the Netherlands’ to day 36, and Belgium’s unpaired interval rises from 12 to 45 days. The contested testimony moves Belgium by the same amount under the firm-order rule. Whether Belgium reads as an early starter with slow conversion or an average starter with fast</w:t>
      </w:r>
      <w:r>
        <w:t>er conversion therefore depends on what counts as a start and on which witness is believed. Only the date of delivery is robust to both.</w:t>
      </w:r>
    </w:p>
    <w:p w14:paraId="0B9B4813" w14:textId="77777777" w:rsidR="008D663C" w:rsidRDefault="005B252C">
      <w:pPr>
        <w:pStyle w:val="Heading2"/>
      </w:pPr>
      <w:bookmarkStart w:id="15" w:name="the-eu-level-and-sensitivity-to-t0"/>
      <w:bookmarkEnd w:id="14"/>
      <w:r>
        <w:t>4.6 The EU level and sensitivity to t0</w:t>
      </w:r>
    </w:p>
    <w:p w14:paraId="5F28C4B6" w14:textId="77777777" w:rsidR="008D663C" w:rsidRDefault="005B252C">
      <w:pPr>
        <w:pStyle w:val="FirstParagraph"/>
      </w:pPr>
      <w:r>
        <w:t>The EU’s first operational step, the first Joint Procurement call on 28 February (day 29), was a tender rather than a firm order. It did not lead to the award of a contract, as a contract award notice of 12 March (day 42) recorded (McEvoy &amp; Ferri, 2020). The first binding EU act, making exports of PPE subject to authorisation, followed on day 44 (European Commission, 2020a), and the rescEU medical stockpile was created on day 49 (European Commission, 2020b). The first verified delivery of EU-financed PPE, f</w:t>
      </w:r>
      <w:r>
        <w:t>rom the rescEU stockpile, came on day 86 (European Parliament, 2020); jointly procured equipment cannot have been delivered before April (day 62), when the contracts first operated (McEvoy &amp; Ferri, 2020). The EU level was the slowest of the six cases to reach delivery.</w:t>
      </w:r>
    </w:p>
    <w:p w14:paraId="3A0F62B8" w14:textId="77777777" w:rsidR="008D663C" w:rsidRDefault="005B252C">
      <w:pPr>
        <w:pStyle w:val="BodyText"/>
      </w:pPr>
      <w:r>
        <w:t>Taking the WHO characterisation of COVID-19 as a pandemic on 11 March 2020 as t0 shifts every lag from t0 by 41 days. Intervals between events, including the paired lags of Section 4.2, are unchanged.</w:t>
      </w:r>
    </w:p>
    <w:p w14:paraId="7B4AF632" w14:textId="77777777" w:rsidR="008D663C" w:rsidRDefault="005B252C">
      <w:pPr>
        <w:pStyle w:val="Heading1"/>
      </w:pPr>
      <w:bookmarkStart w:id="16" w:name="three-explanations"/>
      <w:bookmarkEnd w:id="15"/>
      <w:bookmarkEnd w:id="9"/>
      <w:r>
        <w:t>5. Three explanations</w:t>
      </w:r>
    </w:p>
    <w:p w14:paraId="05D3D5B4" w14:textId="77777777" w:rsidR="008D663C" w:rsidRDefault="005B252C">
      <w:pPr>
        <w:pStyle w:val="FirstParagraph"/>
      </w:pPr>
      <w:r>
        <w:t>Three explanations of the pattern in Section 4 are considered, each with the observations that would contradict it.</w:t>
      </w:r>
    </w:p>
    <w:p w14:paraId="2AB9FF55" w14:textId="77777777" w:rsidR="008D663C" w:rsidRDefault="005B252C">
      <w:pPr>
        <w:pStyle w:val="Heading2"/>
      </w:pPr>
      <w:bookmarkStart w:id="17" w:name="a-common-supply-constraint"/>
      <w:r>
        <w:t>5.1 A common supply constraint</w:t>
      </w:r>
    </w:p>
    <w:p w14:paraId="3C852869" w14:textId="77777777" w:rsidR="008D663C" w:rsidRDefault="005B252C">
      <w:pPr>
        <w:pStyle w:val="FirstParagraph"/>
      </w:pPr>
      <w:r>
        <w:t>If delivery was governed mainly by the recovery of supply, three predictions follow. No import-dependent country should have received PPE in quantity before Chinese output recovered (day 30) plus a transport lag. First deliveries should cluster in the period of rising exports, whatever the date of the first order. And an order placed early, while supply was collapsed, should not be delivered early.</w:t>
      </w:r>
    </w:p>
    <w:p w14:paraId="5B6C1763" w14:textId="77777777" w:rsidR="008D663C" w:rsidRDefault="005B252C">
      <w:pPr>
        <w:pStyle w:val="BodyText"/>
      </w:pPr>
      <w:r>
        <w:t>The observations are consistent with all three. No dated import-dependent first delivery precedes day 46 (Sweden’s window opens on day 41), and all fall within the period of the export surge (days 31–66), before China’s export controls. The sources document Chinese origin for the first Dutch consignment (Ministerie van VWS, 2021), for most masks procured by the German federal government (Deutscher Bundestag, 2020a) and for some Swedish purchases (SOU 2021:89). China supplied 92% of the EU’s face-mask import</w:t>
      </w:r>
      <w:r>
        <w:t>s in the first half of 2020 (Eurostat, 2020b), and EU imports from China rose by €6.8 billion between March and April, driven mainly by masks and other protective textiles (Eurostat, 2020a). First deliveries in the three countries with dated deliveries clustered within six days, although their orders were weeks apart.</w:t>
      </w:r>
    </w:p>
    <w:p w14:paraId="5CCA2999" w14:textId="77777777" w:rsidR="008D663C" w:rsidRDefault="005B252C">
      <w:pPr>
        <w:pStyle w:val="BodyText"/>
      </w:pPr>
      <w:r>
        <w:t xml:space="preserve">The third prediction is the one that could have failed, and the Belgian orders test it. Under reading A, Belgium placed a firm order on day 1, when Chinese daily output was about half its pre-epidemic level, and received it on day 57, seven days after an order placed on day 45. Under reading B, the same order, placed on day 34, was still overtaken by the order of day 45. Either way, the earliest order bought no earlier delivery than orders placed weeks later, which is what the explanation predicts and what </w:t>
      </w:r>
      <w:r>
        <w:t>a delay driven only by decisions would not produce. The test is not decisive. The testimony on the first order is contested; the sources do not state where any of the goods were made; the first order was for FFP2 respirators and the order that overtook it was for surgical masks, which converted faster throughout; and the series comes from one purchasing service.</w:t>
      </w:r>
    </w:p>
    <w:p w14:paraId="52AABD5B" w14:textId="77777777" w:rsidR="008D663C" w:rsidRDefault="005B252C">
      <w:pPr>
        <w:pStyle w:val="Heading2"/>
      </w:pPr>
      <w:bookmarkStart w:id="18" w:name="the-timing-of-alarm-in-europe"/>
      <w:bookmarkEnd w:id="17"/>
      <w:r>
        <w:t>5.2 The timing of alarm in Europe</w:t>
      </w:r>
    </w:p>
    <w:p w14:paraId="7B2F1FAD" w14:textId="77777777" w:rsidR="008D663C" w:rsidRDefault="005B252C">
      <w:pPr>
        <w:pStyle w:val="FirstParagraph"/>
      </w:pPr>
      <w:r>
        <w:t>The first locally acquired case in Lombardy was identified on 20 February 2020 (day 21; Cereda et al., 2021). If governments ordered when domestic alarm rose, orders would cluster in late February and early March for that reason alone, and under reading B the dated orders do. Alarm and recovering supply therefore make the same prediction for the timing of orders, nine days apart. They differ on delivery. Alarm explains when governments ordered, not why deliveries converged when orders did not, and it does n</w:t>
      </w:r>
      <w:r>
        <w:t>ot explain the Belgian case under reading A, in which an order placed three weeks before the outbreak in Lombardy was delivered with the others. The evidence is consistent with alarm as a driver of decisions and with supply as a constraint on delivery; the two are complementary rather than rival.</w:t>
      </w:r>
    </w:p>
    <w:p w14:paraId="59DF24F6" w14:textId="77777777" w:rsidR="008D663C" w:rsidRDefault="005B252C">
      <w:pPr>
        <w:pStyle w:val="Heading2"/>
      </w:pPr>
      <w:bookmarkStart w:id="19" w:name="waiting-for-joint-procurement"/>
      <w:bookmarkEnd w:id="18"/>
      <w:r>
        <w:t>5.3 Waiting for joint procurement</w:t>
      </w:r>
    </w:p>
    <w:p w14:paraId="6099C79C" w14:textId="77777777" w:rsidR="008D663C" w:rsidRDefault="005B252C">
      <w:pPr>
        <w:pStyle w:val="FirstParagraph"/>
      </w:pPr>
      <w:r>
        <w:t>A third explanation is that governments delayed national orders while waiting for the first EU Joint Procurement call, launched on day 29. It can be partly tested, because that call ended without a contract (day 42). Belgium (day 34 under reading B, day 1 under reading A) and the Netherlands (days 36–39) placed firm orders before that outcome was known, so the explanation is not supported for them. Germany’s window (days 29–51) and Sweden’s undated order do not allow the test. The explanation cannot be excl</w:t>
      </w:r>
      <w:r>
        <w:t>uded for those two cases.</w:t>
      </w:r>
    </w:p>
    <w:p w14:paraId="068B8823" w14:textId="77777777" w:rsidR="008D663C" w:rsidRDefault="005B252C">
      <w:pPr>
        <w:pStyle w:val="Heading2"/>
      </w:pPr>
      <w:bookmarkStart w:id="20" w:name="Xea9337a78e471df21f6c4fd94c8472cf99521a7"/>
      <w:bookmarkEnd w:id="19"/>
      <w:r>
        <w:t>5.4 Pre-existing stock and what remains untested</w:t>
      </w:r>
    </w:p>
    <w:p w14:paraId="31F25FBD" w14:textId="77777777" w:rsidR="008D663C" w:rsidRDefault="005B252C">
      <w:pPr>
        <w:pStyle w:val="FirstParagraph"/>
      </w:pPr>
      <w:r>
        <w:t>France, the only case with a national stock and domestic manufacturers able to take early orders, delivered first. With one stocked case, stock is confounded with everything else that distinguishes France, including a national agency with its own distribution system and a requisition decree on day 33. Further cases can test whether, other things equal, systems with stocks at t0 deliver earlier than import-dependent systems that order at the same time. The Belgian record adds one contrast: masks ordered in M</w:t>
      </w:r>
      <w:r>
        <w:t>arch from a new national producer took 134–148 days to reach first delivery. Domestic production helped France because it already existed; created during the crisis, it came too late for the first wave. Further tests need per-order records of order date, supplier origin and arrival date, which the Belgian record shows can be assembled from public sources.</w:t>
      </w:r>
    </w:p>
    <w:p w14:paraId="3A4F91E7" w14:textId="77777777" w:rsidR="008D663C" w:rsidRDefault="005B252C">
      <w:pPr>
        <w:pStyle w:val="Heading1"/>
      </w:pPr>
      <w:bookmarkStart w:id="21" w:name="discussion"/>
      <w:bookmarkEnd w:id="20"/>
      <w:bookmarkEnd w:id="16"/>
      <w:r>
        <w:t>6. Discussion</w:t>
      </w:r>
    </w:p>
    <w:p w14:paraId="199D2642" w14:textId="77777777" w:rsidR="008D663C" w:rsidRDefault="005B252C">
      <w:pPr>
        <w:pStyle w:val="Heading2"/>
      </w:pPr>
      <w:bookmarkStart w:id="22" w:name="X0da131a73f173141354367de7dd84eeae8d649f"/>
      <w:r>
        <w:t>6.1 The warning paradox in two parts, and the limits of the division</w:t>
      </w:r>
    </w:p>
    <w:p w14:paraId="3CD17590" w14:textId="77777777" w:rsidR="008D663C" w:rsidRDefault="005B252C">
      <w:pPr>
        <w:pStyle w:val="FirstParagraph"/>
      </w:pPr>
      <w:r>
        <w:t>Following Friedman’s (1948) distinction between the lag before action and the lag between action and its effects, the warning paradox of Boin and Rhinard (2023) divides into a decision lag, from validated warning to firm order, and a conversion lag, from firm order to the delivery of that order. The Belgian case shows both the value and the fragility of the division. The total for its first order, 57 days, is established; its parts, 1 and 56 days or 34 and 23, are not. A study that took either reading as gi</w:t>
      </w:r>
      <w:r>
        <w:t xml:space="preserve">ven would locate the delay in government hesitation or in the market, from the same record. Nor was the conversion lag a constant: across Belgian orders it ranged from 5 to 23 days with product and supplier. Across cases, deliveries converged while orders diverged, and in Belgium the earliest order was overtaken by later ones, which a binding supply constraint would produce and a delay driven by decisions alone would not. On this evidence, at least part of the warning paradox in this domain lay outside the </w:t>
      </w:r>
      <w:r>
        <w:t>responding governments, and its share cannot be fixed without paired records.</w:t>
      </w:r>
    </w:p>
    <w:p w14:paraId="4A97E902" w14:textId="77777777" w:rsidR="008D663C" w:rsidRDefault="005B252C">
      <w:pPr>
        <w:pStyle w:val="Heading2"/>
      </w:pPr>
      <w:bookmarkStart w:id="23" w:name="implications-for-preparedness"/>
      <w:bookmarkEnd w:id="22"/>
      <w:r>
        <w:t>6.2 Implications for preparedness</w:t>
      </w:r>
    </w:p>
    <w:p w14:paraId="40D2C772" w14:textId="77777777" w:rsidR="008D663C" w:rsidRDefault="005B252C">
      <w:pPr>
        <w:pStyle w:val="FirstParagraph"/>
      </w:pPr>
      <w:r>
        <w:t>If delivery was constrained by supply, an earlier decision would have brought earlier delivery only for a government able to buy from suppliers who could deliver: in early 2020, a stock or domestic manufacturers already in production. The one case that had both delivered first, although its lead is confounded with other features of its system (Section 5.4), and capacity created during the crisis arrived months later. The inquiries drew the same lesson. The Belgian report documents the destruction of the fed</w:t>
      </w:r>
      <w:r>
        <w:t>eral strategic stock (Chamber of Representatives, 2021a); the Swedish Corona Commission concluded that national preparedness stocks are needed as a complement to those within the EU (SOU 2022:10); and Germany adopted a National Health Protection Reserve (Deutsches Ärzteblatt, 2020b). The profile offers a way to check that judgement in the next crisis with dated, paired records.</w:t>
      </w:r>
    </w:p>
    <w:p w14:paraId="713A3275" w14:textId="77777777" w:rsidR="008D663C" w:rsidRDefault="005B252C">
      <w:pPr>
        <w:pStyle w:val="Heading2"/>
      </w:pPr>
      <w:bookmarkStart w:id="24" w:name="Xe1f28da8154f8cef7a5fdbba0455c2d4371967a"/>
      <w:bookmarkEnd w:id="23"/>
      <w:r>
        <w:t>6.3 Implications for the measurement of response</w:t>
      </w:r>
    </w:p>
    <w:p w14:paraId="60AEAEBC" w14:textId="77777777" w:rsidR="008D663C" w:rsidRDefault="005B252C">
      <w:pPr>
        <w:pStyle w:val="FirstParagraph"/>
      </w:pPr>
      <w:r>
        <w:t>Response datasets record when governments adopted measures, and they were built for that purpose. For questions about capacity, the profiles show three reasons why adoption dates are not enough. A response that begins early can arrive no earlier than one that begins late. The start itself depends on a coding rule that is rarely stated and, even under a stated rule, on contested evidence. And an interval from the first order to the first delivery joins events that may not belong together. Datasets that recor</w:t>
      </w:r>
      <w:r>
        <w:t>d response timing would gain from stating what counts as a start, from recording firm commitments separately from preparatory steps, from fixing a common delivery end point, and from linking deliveries to the orders they fulfil where records allow.</w:t>
      </w:r>
    </w:p>
    <w:p w14:paraId="28724248" w14:textId="77777777" w:rsidR="008D663C" w:rsidRDefault="005B252C">
      <w:pPr>
        <w:pStyle w:val="Heading2"/>
      </w:pPr>
      <w:bookmarkStart w:id="25" w:name="Xef3d3dd56bfa624f7ca47a88ca02a4339bbab67"/>
      <w:bookmarkEnd w:id="24"/>
      <w:r>
        <w:t>6.4 The EU level and the scale of coordination</w:t>
      </w:r>
    </w:p>
    <w:p w14:paraId="426591C8" w14:textId="77777777" w:rsidR="008D663C" w:rsidRDefault="005B252C">
      <w:pPr>
        <w:pStyle w:val="FirstParagraph"/>
      </w:pPr>
      <w:r>
        <w:t>The EU level reached delivery last; its role in 2020 complemented national procurement rather than replacing it (European Court of Auditors, 2021), and the profile does not explain its pace. The scale-dependent coding shows a tension a single-scale measure would miss. Germany’s export ban of 4 March is translation in the German profile and a counter-measure in the EU profile; Bown (2022) traces how such restrictions, including on shipments to Italy, led to the EU-wide authorisation regime of 15 March. The s</w:t>
      </w:r>
      <w:r>
        <w:t>ame act can count as fast conversion at one scale and as fragmentation at another, a normative trade-off that the measurement makes visible and dated but does not settle.</w:t>
      </w:r>
    </w:p>
    <w:p w14:paraId="4D968663" w14:textId="77777777" w:rsidR="008D663C" w:rsidRDefault="005B252C">
      <w:pPr>
        <w:pStyle w:val="Heading2"/>
      </w:pPr>
      <w:bookmarkStart w:id="26" w:name="faster-is-not-always-better"/>
      <w:bookmarkEnd w:id="25"/>
      <w:r>
        <w:t>6.5 Faster is not always better</w:t>
      </w:r>
    </w:p>
    <w:p w14:paraId="22AE70EA" w14:textId="77777777" w:rsidR="008D663C" w:rsidRDefault="005B252C">
      <w:pPr>
        <w:pStyle w:val="FirstParagraph"/>
      </w:pPr>
      <w:r>
        <w:t>The profile does not say how fast is desirable. A warning that proves false makes fast actuation a cost, a finite budget may justify converting one warning slowly to convert another quickly, and speed can be bought by overriding other levels of government, as the French requisition of goods ordered by local authorities shows. Profiles should be read alongside the accuracy of the warning, the legitimacy of the response and its opportunity cost.</w:t>
      </w:r>
    </w:p>
    <w:p w14:paraId="192E7888" w14:textId="77777777" w:rsidR="008D663C" w:rsidRDefault="005B252C">
      <w:pPr>
        <w:pStyle w:val="Heading1"/>
      </w:pPr>
      <w:bookmarkStart w:id="27" w:name="limits"/>
      <w:bookmarkEnd w:id="26"/>
      <w:bookmarkEnd w:id="21"/>
      <w:r>
        <w:t>7. Limits</w:t>
      </w:r>
    </w:p>
    <w:p w14:paraId="26D2C3BD" w14:textId="77777777" w:rsidR="008D663C" w:rsidRDefault="005B252C">
      <w:pPr>
        <w:pStyle w:val="FirstParagraph"/>
      </w:pPr>
      <w:r>
        <w:rPr>
          <w:i/>
          <w:iCs/>
        </w:rPr>
        <w:t>Cases and selection.</w:t>
      </w:r>
      <w:r>
        <w:t xml:space="preserve"> </w:t>
      </w:r>
      <w:r>
        <w:t>Six cases, five of them responses by member states to one event, cannot support statistical inference, and the rank correlations of Section 4.4 are descriptive. Cases were selected by the availability of an official reconstruction, and countries that produced one may differ from those that did not.</w:t>
      </w:r>
    </w:p>
    <w:p w14:paraId="7EABE453" w14:textId="77777777" w:rsidR="008D663C" w:rsidRDefault="005B252C">
      <w:pPr>
        <w:pStyle w:val="BodyText"/>
      </w:pPr>
      <w:r>
        <w:rPr>
          <w:i/>
          <w:iCs/>
        </w:rPr>
        <w:t>Pairing.</w:t>
      </w:r>
      <w:r>
        <w:t xml:space="preserve"> </w:t>
      </w:r>
      <w:r>
        <w:t>Paired lags could be established only in Belgium, for five orders of masks from one purchasing service. Their delivery dates are those reported by that service, not receipt records checked independently, and the origin of the goods is not stated. The finding that the first order was overtaken holds under both readings of the contested testimony, but it compares an order of FFP2 respirators with one of surgical masks.</w:t>
      </w:r>
    </w:p>
    <w:p w14:paraId="23634CF9" w14:textId="77777777" w:rsidR="008D663C" w:rsidRDefault="005B252C">
      <w:pPr>
        <w:pStyle w:val="BodyText"/>
      </w:pPr>
      <w:r>
        <w:rPr>
          <w:i/>
          <w:iCs/>
        </w:rPr>
        <w:t>Sources.</w:t>
      </w:r>
      <w:r>
        <w:t xml:space="preserve"> </w:t>
      </w:r>
      <w:r>
        <w:t>Most cases rest on one official reconstruction, which reflects the questions its authors asked. The German case rests on parliamentary papers and one press report, its first order known only within a window and its first delivery dated to a weekend. Thirteen of 84 dated entries rest on secondary sources.</w:t>
      </w:r>
    </w:p>
    <w:p w14:paraId="338CB9DC" w14:textId="77777777" w:rsidR="008D663C" w:rsidRDefault="005B252C">
      <w:pPr>
        <w:pStyle w:val="BodyText"/>
      </w:pPr>
      <w:r>
        <w:rPr>
          <w:i/>
          <w:iCs/>
        </w:rPr>
        <w:t>Coding.</w:t>
      </w:r>
      <w:r>
        <w:t xml:space="preserve"> </w:t>
      </w:r>
      <w:r>
        <w:t>All event files were coded by one person. The firm-order rule was fixed after a first round of coding had shown that a looser rule changed Belgium’s start by a month. Both codings are reported, but the possibility that the rule was shaped by the data cannot be excluded; independent double coding under rules fixed in advance is the necessary next step.</w:t>
      </w:r>
    </w:p>
    <w:p w14:paraId="38C2F8C0" w14:textId="77777777" w:rsidR="008D663C" w:rsidRDefault="005B252C">
      <w:pPr>
        <w:pStyle w:val="BodyText"/>
      </w:pPr>
      <w:r>
        <w:rPr>
          <w:i/>
          <w:iCs/>
        </w:rPr>
        <w:t>Dates and end points.</w:t>
      </w:r>
      <w:r>
        <w:t xml:space="preserve"> </w:t>
      </w:r>
      <w:r>
        <w:t>Several dates are known only within windows, Sweden’s widely so. The uniform end point, first delivery to a distribution level, is the earliest point that all sources date, but distribution levels differ in what they are; Belgium’s provider-level delivery came four days after its distribution-level delivery. First delivery measures the onset of supply, not its sufficiency.</w:t>
      </w:r>
    </w:p>
    <w:p w14:paraId="2ACDB0B2" w14:textId="77777777" w:rsidR="008D663C" w:rsidRDefault="005B252C">
      <w:pPr>
        <w:pStyle w:val="BodyText"/>
      </w:pPr>
      <w:r>
        <w:rPr>
          <w:i/>
          <w:iCs/>
        </w:rPr>
        <w:t>Explanations.</w:t>
      </w:r>
      <w:r>
        <w:t xml:space="preserve"> </w:t>
      </w:r>
      <w:r>
        <w:t>The evidence for a supply constraint is aggregate (Chinese official output and export figures and EU trade statistics, not shipment records), and the origin of the Belgian orders is not stated. It establishes timing consistent with the explanation, not a causal link.</w:t>
      </w:r>
    </w:p>
    <w:p w14:paraId="3000796D" w14:textId="77777777" w:rsidR="008D663C" w:rsidRDefault="005B252C">
      <w:pPr>
        <w:pStyle w:val="BodyText"/>
      </w:pPr>
      <w:r>
        <w:rPr>
          <w:i/>
          <w:iCs/>
        </w:rPr>
        <w:t>Threshold.</w:t>
      </w:r>
      <w:r>
        <w:t xml:space="preserve"> t0 is a global declaration applied to national and EU responses. The paired lags are invariant to the choice; lags from t0 are not.</w:t>
      </w:r>
    </w:p>
    <w:p w14:paraId="1D3F1F7E" w14:textId="77777777" w:rsidR="008D663C" w:rsidRDefault="005B252C">
      <w:pPr>
        <w:pStyle w:val="BodyText"/>
      </w:pPr>
      <w:r>
        <w:t>Table 4 sets out the minimum information a study using the profile should report, so that profiles built by others can be compared with those reported here.</w:t>
      </w:r>
    </w:p>
    <w:p w14:paraId="19A7F6E6" w14:textId="77777777" w:rsidR="008D663C" w:rsidRDefault="005B252C">
      <w:pPr>
        <w:pStyle w:val="BodyText"/>
      </w:pPr>
      <w:r>
        <w:rPr>
          <w:b/>
          <w:bCs/>
        </w:rPr>
        <w:t>Table 4. Minimum reporting standard for DAC studies.</w:t>
      </w:r>
    </w:p>
    <w:tbl>
      <w:tblPr>
        <w:tblStyle w:val="Table"/>
        <w:tblW w:w="5000" w:type="pct"/>
        <w:tblLook w:val="0020" w:firstRow="1" w:lastRow="0" w:firstColumn="0" w:lastColumn="0" w:noHBand="0" w:noVBand="0"/>
      </w:tblPr>
      <w:tblGrid>
        <w:gridCol w:w="2257"/>
        <w:gridCol w:w="7103"/>
      </w:tblGrid>
      <w:tr w:rsidR="008D663C" w14:paraId="791297C7" w14:textId="77777777" w:rsidTr="008D663C">
        <w:trPr>
          <w:cnfStyle w:val="100000000000" w:firstRow="1" w:lastRow="0" w:firstColumn="0" w:lastColumn="0" w:oddVBand="0" w:evenVBand="0" w:oddHBand="0" w:evenHBand="0" w:firstRowFirstColumn="0" w:firstRowLastColumn="0" w:lastRowFirstColumn="0" w:lastRowLastColumn="0"/>
          <w:tblHeader/>
        </w:trPr>
        <w:tc>
          <w:tcPr>
            <w:tcW w:w="0" w:type="auto"/>
          </w:tcPr>
          <w:p w14:paraId="5BB78C07" w14:textId="77777777" w:rsidR="008D663C" w:rsidRDefault="005B252C">
            <w:pPr>
              <w:pStyle w:val="Compact"/>
            </w:pPr>
            <w:r>
              <w:t>Field</w:t>
            </w:r>
          </w:p>
        </w:tc>
        <w:tc>
          <w:tcPr>
            <w:tcW w:w="0" w:type="auto"/>
          </w:tcPr>
          <w:p w14:paraId="2B83C468" w14:textId="77777777" w:rsidR="008D663C" w:rsidRDefault="005B252C">
            <w:pPr>
              <w:pStyle w:val="Compact"/>
            </w:pPr>
            <w:r>
              <w:t>Minimum information</w:t>
            </w:r>
          </w:p>
        </w:tc>
      </w:tr>
      <w:tr w:rsidR="008D663C" w14:paraId="0A5225AC" w14:textId="77777777">
        <w:tc>
          <w:tcPr>
            <w:tcW w:w="0" w:type="auto"/>
          </w:tcPr>
          <w:p w14:paraId="5955B0DE" w14:textId="77777777" w:rsidR="008D663C" w:rsidRDefault="005B252C">
            <w:pPr>
              <w:pStyle w:val="Compact"/>
            </w:pPr>
            <w:r>
              <w:t>Validation (t0)</w:t>
            </w:r>
          </w:p>
        </w:tc>
        <w:tc>
          <w:tcPr>
            <w:tcW w:w="0" w:type="auto"/>
          </w:tcPr>
          <w:p w14:paraId="476F0CFD" w14:textId="77777777" w:rsidR="008D663C" w:rsidRDefault="005B252C">
            <w:pPr>
              <w:pStyle w:val="Compact"/>
            </w:pPr>
            <w:r>
              <w:t>Event used as t0; issuing institution; rule for choosing it; alternative thresholds tested</w:t>
            </w:r>
          </w:p>
        </w:tc>
      </w:tr>
      <w:tr w:rsidR="008D663C" w14:paraId="62629A5E" w14:textId="77777777">
        <w:tc>
          <w:tcPr>
            <w:tcW w:w="0" w:type="auto"/>
          </w:tcPr>
          <w:p w14:paraId="0C7BF035" w14:textId="77777777" w:rsidR="008D663C" w:rsidRDefault="005B252C">
            <w:pPr>
              <w:pStyle w:val="Compact"/>
            </w:pPr>
            <w:r>
              <w:t>Response scale</w:t>
            </w:r>
          </w:p>
        </w:tc>
        <w:tc>
          <w:tcPr>
            <w:tcW w:w="0" w:type="auto"/>
          </w:tcPr>
          <w:p w14:paraId="09BAE7FD" w14:textId="77777777" w:rsidR="008D663C" w:rsidRDefault="005B252C">
            <w:pPr>
              <w:pStyle w:val="Compact"/>
            </w:pPr>
            <w:r>
              <w:t>System whose response is profiled; how acts of other levels are coded</w:t>
            </w:r>
          </w:p>
        </w:tc>
      </w:tr>
      <w:tr w:rsidR="008D663C" w14:paraId="61CB6E45" w14:textId="77777777">
        <w:tc>
          <w:tcPr>
            <w:tcW w:w="0" w:type="auto"/>
          </w:tcPr>
          <w:p w14:paraId="7BC8F098" w14:textId="77777777" w:rsidR="008D663C" w:rsidRDefault="005B252C">
            <w:pPr>
              <w:pStyle w:val="Compact"/>
            </w:pPr>
            <w:r>
              <w:t>Start rule</w:t>
            </w:r>
          </w:p>
        </w:tc>
        <w:tc>
          <w:tcPr>
            <w:tcW w:w="0" w:type="auto"/>
          </w:tcPr>
          <w:p w14:paraId="66C2FF5D" w14:textId="77777777" w:rsidR="008D663C" w:rsidRDefault="005B252C">
            <w:pPr>
              <w:pStyle w:val="Compact"/>
            </w:pPr>
            <w:r>
              <w:t>What counts as a firm commitment; what is excluded (inquiries, options, single-mission purchases)</w:t>
            </w:r>
          </w:p>
        </w:tc>
      </w:tr>
      <w:tr w:rsidR="008D663C" w14:paraId="7C723F2F" w14:textId="77777777">
        <w:tc>
          <w:tcPr>
            <w:tcW w:w="0" w:type="auto"/>
          </w:tcPr>
          <w:p w14:paraId="545244F3" w14:textId="77777777" w:rsidR="008D663C" w:rsidRDefault="005B252C">
            <w:pPr>
              <w:pStyle w:val="Compact"/>
            </w:pPr>
            <w:r>
              <w:t>End point</w:t>
            </w:r>
          </w:p>
        </w:tc>
        <w:tc>
          <w:tcPr>
            <w:tcW w:w="0" w:type="auto"/>
          </w:tcPr>
          <w:p w14:paraId="732C1017" w14:textId="77777777" w:rsidR="008D663C" w:rsidRDefault="005B252C">
            <w:pPr>
              <w:pStyle w:val="Compact"/>
            </w:pPr>
            <w:r>
              <w:t>Level of the distribution system at which delivery is recorded, identical across cases; secondary end points</w:t>
            </w:r>
          </w:p>
        </w:tc>
      </w:tr>
      <w:tr w:rsidR="008D663C" w14:paraId="03DE0725" w14:textId="77777777">
        <w:tc>
          <w:tcPr>
            <w:tcW w:w="0" w:type="auto"/>
          </w:tcPr>
          <w:p w14:paraId="45EEDF71" w14:textId="77777777" w:rsidR="008D663C" w:rsidRDefault="005B252C">
            <w:pPr>
              <w:pStyle w:val="Compact"/>
            </w:pPr>
            <w:r>
              <w:t>Pairing</w:t>
            </w:r>
          </w:p>
        </w:tc>
        <w:tc>
          <w:tcPr>
            <w:tcW w:w="0" w:type="auto"/>
          </w:tcPr>
          <w:p w14:paraId="77FEC525" w14:textId="77777777" w:rsidR="008D663C" w:rsidRDefault="005B252C">
            <w:pPr>
              <w:pStyle w:val="Compact"/>
            </w:pPr>
            <w:r>
              <w:t>Whether each delivery is linked to the order it fulfils; paired and unpaired intervals reported separately</w:t>
            </w:r>
          </w:p>
        </w:tc>
      </w:tr>
      <w:tr w:rsidR="008D663C" w14:paraId="1555C8A2" w14:textId="77777777">
        <w:tc>
          <w:tcPr>
            <w:tcW w:w="0" w:type="auto"/>
          </w:tcPr>
          <w:p w14:paraId="77C4BCBA" w14:textId="77777777" w:rsidR="008D663C" w:rsidRDefault="005B252C">
            <w:pPr>
              <w:pStyle w:val="Compact"/>
            </w:pPr>
            <w:r>
              <w:t>Inclusion rules</w:t>
            </w:r>
          </w:p>
        </w:tc>
        <w:tc>
          <w:tcPr>
            <w:tcW w:w="0" w:type="auto"/>
          </w:tcPr>
          <w:p w14:paraId="518924CE" w14:textId="77777777" w:rsidR="008D663C" w:rsidRDefault="005B252C">
            <w:pPr>
              <w:pStyle w:val="Compact"/>
            </w:pPr>
            <w:r>
              <w:t>Rule for each further sublayer: binding act, dedicated funding, counter-measure in either direction, reversal, institutionalisation, persistence</w:t>
            </w:r>
          </w:p>
        </w:tc>
      </w:tr>
      <w:tr w:rsidR="008D663C" w14:paraId="653F7807" w14:textId="77777777">
        <w:tc>
          <w:tcPr>
            <w:tcW w:w="0" w:type="auto"/>
          </w:tcPr>
          <w:p w14:paraId="16FEA182" w14:textId="77777777" w:rsidR="008D663C" w:rsidRDefault="005B252C">
            <w:pPr>
              <w:pStyle w:val="Compact"/>
            </w:pPr>
            <w:r>
              <w:t>Event file</w:t>
            </w:r>
          </w:p>
        </w:tc>
        <w:tc>
          <w:tcPr>
            <w:tcW w:w="0" w:type="auto"/>
          </w:tcPr>
          <w:p w14:paraId="4186A39C" w14:textId="77777777" w:rsidR="008D663C" w:rsidRDefault="005B252C">
            <w:pPr>
              <w:pStyle w:val="Compact"/>
            </w:pPr>
            <w:r>
              <w:t>Every event with date, sublayer, description, source and source type</w:t>
            </w:r>
          </w:p>
        </w:tc>
      </w:tr>
      <w:tr w:rsidR="008D663C" w14:paraId="33010CCD" w14:textId="77777777">
        <w:tc>
          <w:tcPr>
            <w:tcW w:w="0" w:type="auto"/>
          </w:tcPr>
          <w:p w14:paraId="4EEC9502" w14:textId="77777777" w:rsidR="008D663C" w:rsidRDefault="005B252C">
            <w:pPr>
              <w:pStyle w:val="Compact"/>
            </w:pPr>
            <w:r>
              <w:t>Imprecise and contested dates</w:t>
            </w:r>
          </w:p>
        </w:tc>
        <w:tc>
          <w:tcPr>
            <w:tcW w:w="0" w:type="auto"/>
          </w:tcPr>
          <w:p w14:paraId="651D6037" w14:textId="77777777" w:rsidR="008D663C" w:rsidRDefault="005B252C">
            <w:pPr>
              <w:pStyle w:val="Compact"/>
            </w:pPr>
            <w:r>
              <w:t>Bounds and windows with their source wording; each reading of contested evidence; results under each</w:t>
            </w:r>
          </w:p>
        </w:tc>
      </w:tr>
      <w:tr w:rsidR="008D663C" w14:paraId="4C5BDB7A" w14:textId="77777777">
        <w:tc>
          <w:tcPr>
            <w:tcW w:w="0" w:type="auto"/>
          </w:tcPr>
          <w:p w14:paraId="4A54E0C0" w14:textId="77777777" w:rsidR="008D663C" w:rsidRDefault="005B252C">
            <w:pPr>
              <w:pStyle w:val="Compact"/>
            </w:pPr>
            <w:r>
              <w:t>Missing and censored</w:t>
            </w:r>
          </w:p>
        </w:tc>
        <w:tc>
          <w:tcPr>
            <w:tcW w:w="0" w:type="auto"/>
          </w:tcPr>
          <w:p w14:paraId="353EFC25" w14:textId="77777777" w:rsidR="008D663C" w:rsidRDefault="005B252C">
            <w:pPr>
              <w:pStyle w:val="Compact"/>
            </w:pPr>
            <w:r>
              <w:t>Reported separately from each other and from bounded values; none imputed</w:t>
            </w:r>
          </w:p>
        </w:tc>
      </w:tr>
      <w:tr w:rsidR="008D663C" w14:paraId="27120701" w14:textId="77777777">
        <w:tc>
          <w:tcPr>
            <w:tcW w:w="0" w:type="auto"/>
          </w:tcPr>
          <w:p w14:paraId="7AFFAE75" w14:textId="77777777" w:rsidR="008D663C" w:rsidRDefault="005B252C">
            <w:pPr>
              <w:pStyle w:val="Compact"/>
            </w:pPr>
            <w:r>
              <w:t>Source pool</w:t>
            </w:r>
          </w:p>
        </w:tc>
        <w:tc>
          <w:tcPr>
            <w:tcW w:w="0" w:type="auto"/>
          </w:tcPr>
          <w:p w14:paraId="3DD4C839" w14:textId="77777777" w:rsidR="008D663C" w:rsidRDefault="005B252C">
            <w:pPr>
              <w:pStyle w:val="Compact"/>
            </w:pPr>
            <w:r>
              <w:t>Sources searched, date of search, documents that could not be accessed, reason for case selection</w:t>
            </w:r>
          </w:p>
        </w:tc>
      </w:tr>
      <w:tr w:rsidR="008D663C" w14:paraId="26A9AB68" w14:textId="77777777">
        <w:tc>
          <w:tcPr>
            <w:tcW w:w="0" w:type="auto"/>
          </w:tcPr>
          <w:p w14:paraId="79A37219" w14:textId="77777777" w:rsidR="008D663C" w:rsidRDefault="005B252C">
            <w:pPr>
              <w:pStyle w:val="Compact"/>
            </w:pPr>
            <w:r>
              <w:t>Coding</w:t>
            </w:r>
          </w:p>
        </w:tc>
        <w:tc>
          <w:tcPr>
            <w:tcW w:w="0" w:type="auto"/>
          </w:tcPr>
          <w:p w14:paraId="0E5D26E4" w14:textId="77777777" w:rsidR="008D663C" w:rsidRDefault="005B252C">
            <w:pPr>
              <w:pStyle w:val="Compact"/>
            </w:pPr>
            <w:r>
              <w:t>Number of coders; agreement; whether rules were fixed before coding</w:t>
            </w:r>
          </w:p>
        </w:tc>
      </w:tr>
      <w:tr w:rsidR="008D663C" w14:paraId="2AD0C6B1" w14:textId="77777777">
        <w:tc>
          <w:tcPr>
            <w:tcW w:w="0" w:type="auto"/>
          </w:tcPr>
          <w:p w14:paraId="56217F8F" w14:textId="77777777" w:rsidR="008D663C" w:rsidRDefault="005B252C">
            <w:pPr>
              <w:pStyle w:val="Compact"/>
            </w:pPr>
            <w:r>
              <w:t>Computation</w:t>
            </w:r>
          </w:p>
        </w:tc>
        <w:tc>
          <w:tcPr>
            <w:tcW w:w="0" w:type="auto"/>
          </w:tcPr>
          <w:p w14:paraId="5E27756D" w14:textId="77777777" w:rsidR="008D663C" w:rsidRDefault="005B252C">
            <w:pPr>
              <w:pStyle w:val="Compact"/>
            </w:pPr>
            <w:r>
              <w:t>Event files and code public, with a persistent identifier</w:t>
            </w:r>
          </w:p>
        </w:tc>
      </w:tr>
    </w:tbl>
    <w:p w14:paraId="266343F4" w14:textId="77777777" w:rsidR="008D663C" w:rsidRDefault="005B252C">
      <w:pPr>
        <w:pStyle w:val="Heading1"/>
      </w:pPr>
      <w:bookmarkStart w:id="28" w:name="conclusion"/>
      <w:bookmarkEnd w:id="27"/>
      <w:r>
        <w:t>8. Conclusion</w:t>
      </w:r>
    </w:p>
    <w:p w14:paraId="49329E57" w14:textId="77777777" w:rsidR="008D663C" w:rsidRDefault="005B252C">
      <w:pPr>
        <w:pStyle w:val="FirstParagraph"/>
      </w:pPr>
      <w:r>
        <w:t>The warning-response gap is usually measured by when a response began. Measured with dated and paired records, the first European response to COVID-19 in the supply of protective equipment shows why that is not enough. In Belgium, the one case in which orders can be followed to their own deliveries, the first order of FFP2 masks was delivered from 27 March whether it had been placed on 31 January or on 4 March, a week after an order placed on 15 March; five orders placed over 27 days (60 under the earlier r</w:t>
      </w:r>
      <w:r>
        <w:t>eading) were delivered within 17 days. Across the import-dependent countries with dated deliveries, first deliveries fell within six days of one another while first orders were weeks apart. France, with a stock and domestic manufacturers, delivered first; the EU level delivered last.</w:t>
      </w:r>
    </w:p>
    <w:p w14:paraId="35F13A03" w14:textId="77777777" w:rsidR="008D663C" w:rsidRDefault="005B252C">
      <w:pPr>
        <w:pStyle w:val="BodyText"/>
      </w:pPr>
      <w:r>
        <w:t xml:space="preserve">These findings rest on six cases and on the paired orders of one country, and they do not establish causes. They do show what a measure of delivery can see and a measure of starts cannot: that an early decision need not bring early delivery under a supply constraint, that the division of a delay into decision and conversion can be unidentified even where the total is known, and that the reading of a case can depend on unstated coding choices. The method needs nothing that the public record does not already </w:t>
      </w:r>
      <w:r>
        <w:t>contain. The next test is the one these cases could run only in one country: whether systems that order early, or hold stocks, deliver earlier than systems that order late, measured with orders paired to their deliveries under rules fixed before the data are collected.</w:t>
      </w:r>
    </w:p>
    <w:p w14:paraId="024B46BB" w14:textId="77777777" w:rsidR="008D663C" w:rsidRDefault="005B252C">
      <w:pPr>
        <w:pStyle w:val="Heading1"/>
      </w:pPr>
      <w:bookmarkStart w:id="29" w:name="declarations"/>
      <w:bookmarkEnd w:id="28"/>
      <w:r>
        <w:t>Declarations</w:t>
      </w:r>
    </w:p>
    <w:p w14:paraId="1CE52BE8" w14:textId="77777777" w:rsidR="008D663C" w:rsidRDefault="005B252C">
      <w:pPr>
        <w:pStyle w:val="FirstParagraph"/>
      </w:pPr>
      <w:r>
        <w:rPr>
          <w:b/>
          <w:bCs/>
        </w:rPr>
        <w:t>Declaration of AI-assisted technologies.</w:t>
      </w:r>
      <w:r>
        <w:t xml:space="preserve"> </w:t>
      </w:r>
      <w:r>
        <w:t>AI language models (OpenAI ChatGPT and Anthropic Claude) were used to help draft and edit manuscript text, to locate and check publicly available sources, to extract dated events from official reports, and to write the scripts that compute the profiles, the comparisons and Figure 1. All inputs were the author’s own manuscript text, publicly available reference literature and public legal and institutional records. All AI-assisted outputs, including every date, figure and reference, were verified by the auth</w:t>
      </w:r>
      <w:r>
        <w:t>or. All scientific claims and interpretations are the author’s own.</w:t>
      </w:r>
    </w:p>
    <w:p w14:paraId="1ED23110" w14:textId="77777777" w:rsidR="008D663C" w:rsidRDefault="005B252C">
      <w:pPr>
        <w:pStyle w:val="BodyText"/>
      </w:pPr>
      <w:r>
        <w:rPr>
          <w:b/>
          <w:bCs/>
        </w:rPr>
        <w:t>Conflict of interest.</w:t>
      </w:r>
      <w:r>
        <w:t xml:space="preserve"> The author declares no conflict of interest.</w:t>
      </w:r>
    </w:p>
    <w:p w14:paraId="00B0EBC3" w14:textId="77777777" w:rsidR="008D663C" w:rsidRDefault="005B252C">
      <w:pPr>
        <w:pStyle w:val="BodyText"/>
      </w:pPr>
      <w:r>
        <w:rPr>
          <w:b/>
          <w:bCs/>
        </w:rPr>
        <w:t>Data availability.</w:t>
      </w:r>
      <w:r>
        <w:t xml:space="preserve"> The six event files, the Belgian order file and the scripts that compute every value in Tables 1–3 and Sections 4 and 5, and that draw Figures 1 and 2, are openly available in a public repository and archived with a persistent identifier; the links are withheld here for double-blind review and are given on the title page. An anonymised copy is provided to reviewers as supporting information.</w:t>
      </w:r>
    </w:p>
    <w:p w14:paraId="1E514D1E" w14:textId="77777777" w:rsidR="008D663C" w:rsidRDefault="005B252C">
      <w:pPr>
        <w:pStyle w:val="Heading1"/>
      </w:pPr>
      <w:bookmarkStart w:id="30" w:name="references"/>
      <w:bookmarkEnd w:id="29"/>
      <w:r>
        <w:t>References</w:t>
      </w:r>
    </w:p>
    <w:p w14:paraId="300830FF" w14:textId="77777777" w:rsidR="008D663C" w:rsidRDefault="005B252C">
      <w:pPr>
        <w:pStyle w:val="FirstParagraph"/>
      </w:pPr>
      <w:r>
        <w:t xml:space="preserve">Ansell, C., Boin, A., &amp; Keller, A. (2010). Managing transboundary crises: Identifying the building blocks of an effective response system. </w:t>
      </w:r>
      <w:r>
        <w:rPr>
          <w:i/>
          <w:iCs/>
        </w:rPr>
        <w:t>Journal of Contingencies and Crisis Management, 18</w:t>
      </w:r>
      <w:r>
        <w:t>(4), 195–207. https://doi.org/10.1111/j.1468-5973.2010.00620.x</w:t>
      </w:r>
    </w:p>
    <w:p w14:paraId="454C7559" w14:textId="77777777" w:rsidR="008D663C" w:rsidRDefault="005B252C">
      <w:pPr>
        <w:pStyle w:val="BodyText"/>
      </w:pPr>
      <w:r>
        <w:t xml:space="preserve">Boin, A., &amp; Rhinard, M. (2023). Crisis management performance and the European Union: The case of COVID-19. </w:t>
      </w:r>
      <w:r>
        <w:rPr>
          <w:i/>
          <w:iCs/>
        </w:rPr>
        <w:t>Journal of European Public Policy, 30</w:t>
      </w:r>
      <w:r>
        <w:t>(4), 655–675. https://doi.org/10.1080/13501763.2022.2141304</w:t>
      </w:r>
    </w:p>
    <w:p w14:paraId="213EBD33" w14:textId="77777777" w:rsidR="008D663C" w:rsidRDefault="005B252C">
      <w:pPr>
        <w:pStyle w:val="BodyText"/>
      </w:pPr>
      <w:r>
        <w:t xml:space="preserve">Bown, C. P. (2022). How COVID-19 medical supply shortages led to extraordinary trade and industrial policy. </w:t>
      </w:r>
      <w:r>
        <w:rPr>
          <w:i/>
          <w:iCs/>
        </w:rPr>
        <w:t>Asian Economic Policy Review, 17</w:t>
      </w:r>
      <w:r>
        <w:t>(1), 114–135. https://doi.org/10.1111/aepr.12359</w:t>
      </w:r>
    </w:p>
    <w:p w14:paraId="7EED11EF" w14:textId="77777777" w:rsidR="008D663C" w:rsidRDefault="005B252C">
      <w:pPr>
        <w:pStyle w:val="BodyText"/>
      </w:pPr>
      <w:r>
        <w:t xml:space="preserve">Capano, G., Howlett, M., Jarvis, D. S. L., Ramesh, M., &amp; Goyal, N. (2020). Mobilizing policy (in)capacity to fight COVID-19: Understanding variations in state responses. </w:t>
      </w:r>
      <w:r>
        <w:rPr>
          <w:i/>
          <w:iCs/>
        </w:rPr>
        <w:t>Policy and Society, 39</w:t>
      </w:r>
      <w:r>
        <w:t>(3), 285–308. https://doi.org/10.1080/14494035.2020.1787628</w:t>
      </w:r>
    </w:p>
    <w:p w14:paraId="67D5F7CE" w14:textId="77777777" w:rsidR="008D663C" w:rsidRDefault="005B252C">
      <w:pPr>
        <w:pStyle w:val="BodyText"/>
      </w:pPr>
      <w:r>
        <w:t xml:space="preserve">Cereda, D., Manica, M., Tirani, M., Rovida, F., Demicheli, V., et al. (2021). The early phase of the COVID-19 epidemic in Lombardy, Italy. </w:t>
      </w:r>
      <w:r>
        <w:rPr>
          <w:i/>
          <w:iCs/>
        </w:rPr>
        <w:t>Epidemics, 37</w:t>
      </w:r>
      <w:r>
        <w:t>, 100528. https://doi.org/10.1016/j.epidem.2021.100528</w:t>
      </w:r>
    </w:p>
    <w:p w14:paraId="16908EF4" w14:textId="77777777" w:rsidR="008D663C" w:rsidRDefault="005B252C">
      <w:pPr>
        <w:pStyle w:val="BodyText"/>
      </w:pPr>
      <w:r>
        <w:t xml:space="preserve">Chamber of Representatives of Belgium. (2021a). </w:t>
      </w:r>
      <w:r>
        <w:rPr>
          <w:i/>
          <w:iCs/>
        </w:rPr>
        <w:t>Rapport fait au nom de la commission spéciale chargée d’examiner la gestion de l’épidémie de COVID-19 par la Belgique</w:t>
      </w:r>
      <w:r>
        <w:t xml:space="preserve"> (DOC 55 1394/002, 13 September 2021). https://www.dekamer.be/flwb/pdf/55/1394/55K1394002.pdf</w:t>
      </w:r>
    </w:p>
    <w:p w14:paraId="42C8D672" w14:textId="77777777" w:rsidR="008D663C" w:rsidRDefault="005B252C">
      <w:pPr>
        <w:pStyle w:val="BodyText"/>
      </w:pPr>
      <w:r>
        <w:t xml:space="preserve">Chamber of Representatives of Belgium. (2021b). </w:t>
      </w:r>
      <w:r>
        <w:rPr>
          <w:i/>
          <w:iCs/>
        </w:rPr>
        <w:t>Commission spéciale COVID-19: Compte rendu de l’audition du 12 février 2021, matin</w:t>
      </w:r>
      <w:r>
        <w:t xml:space="preserve"> [Verbatim record of the hearing of 12 February 2021, CRIV 55 K022]. https://www.dekamer.be/kvvcr/pdf_sections/pri/covid/Comm%20Aanpak_GestionCOVID19_20210212_AM.pdf</w:t>
      </w:r>
    </w:p>
    <w:p w14:paraId="2DD7A8E9" w14:textId="77777777" w:rsidR="008D663C" w:rsidRDefault="005B252C">
      <w:pPr>
        <w:pStyle w:val="BodyText"/>
      </w:pPr>
      <w:r>
        <w:t xml:space="preserve">Chamber of Representatives of Belgium. (2021c). </w:t>
      </w:r>
      <w:r>
        <w:rPr>
          <w:i/>
          <w:iCs/>
        </w:rPr>
        <w:t>Commission spéciale COVID-19: Compte rendu de l’audition du 19 avril 2021</w:t>
      </w:r>
      <w:r>
        <w:t xml:space="preserve"> </w:t>
      </w:r>
      <w:r>
        <w:t>[Verbatim record of the hearing of 19 April 2021, CRIV 55 K040]. https://www.dekamer.be/kvvcr/pdf_sections/pri/covid/Comm%20Aanpak_GestionCOVID19_20210419.pdf</w:t>
      </w:r>
    </w:p>
    <w:p w14:paraId="4577AFC9" w14:textId="77777777" w:rsidR="008D663C" w:rsidRDefault="005B252C">
      <w:pPr>
        <w:pStyle w:val="BodyText"/>
      </w:pPr>
      <w:r>
        <w:t xml:space="preserve">Chaves-Gonzalez, J., Milano, L., Omtzigt, D.-J., Pfister, D., Poirier, J., Pople, A., Wittig, J., &amp; Zommers, Z. (2022). Anticipatory action: Lessons for the future. </w:t>
      </w:r>
      <w:r>
        <w:rPr>
          <w:i/>
          <w:iCs/>
        </w:rPr>
        <w:t>Frontiers in Climate, 4</w:t>
      </w:r>
      <w:r>
        <w:t>. https://doi.org/10.3389/fclim.2022.932336</w:t>
      </w:r>
    </w:p>
    <w:p w14:paraId="1B9F9441" w14:textId="77777777" w:rsidR="008D663C" w:rsidRDefault="005B252C">
      <w:pPr>
        <w:pStyle w:val="BodyText"/>
      </w:pPr>
      <w:r>
        <w:t xml:space="preserve">Deutscher Bundestag. (2020a). </w:t>
      </w:r>
      <w:r>
        <w:rPr>
          <w:i/>
          <w:iCs/>
        </w:rPr>
        <w:t>Antwort der Bundesregierung</w:t>
      </w:r>
      <w:r>
        <w:t xml:space="preserve"> </w:t>
      </w:r>
      <w:r>
        <w:t>[Federal government answer on the procurement of protective equipment] (Drucksache 19/21798, 21 August 2020). https://dserver.bundestag.de/btd/19/217/1921798.pdf</w:t>
      </w:r>
    </w:p>
    <w:p w14:paraId="54073A1C" w14:textId="77777777" w:rsidR="008D663C" w:rsidRDefault="005B252C">
      <w:pPr>
        <w:pStyle w:val="BodyText"/>
      </w:pPr>
      <w:r>
        <w:t xml:space="preserve">Deutscher Bundestag. (2020b). </w:t>
      </w:r>
      <w:r>
        <w:rPr>
          <w:i/>
          <w:iCs/>
        </w:rPr>
        <w:t>Antwort der Bundesregierung</w:t>
      </w:r>
      <w:r>
        <w:t xml:space="preserve"> [Federal government answer on protective equipment and pandemic stockpiling] (Drucksache 19/19047, 7 May 2020). https://dserver.bundestag.de/btd/19/190/1919047.pdf</w:t>
      </w:r>
    </w:p>
    <w:p w14:paraId="344D1C5D" w14:textId="77777777" w:rsidR="008D663C" w:rsidRDefault="005B252C">
      <w:pPr>
        <w:pStyle w:val="BodyText"/>
      </w:pPr>
      <w:r>
        <w:t xml:space="preserve">Deutsches Ärzteblatt. (2020a, March 27). </w:t>
      </w:r>
      <w:r>
        <w:rPr>
          <w:i/>
          <w:iCs/>
        </w:rPr>
        <w:t>Coronakrise: Erstes Schutzmaterial erreicht die Ärzte.</w:t>
      </w:r>
      <w:r>
        <w:t xml:space="preserve"> </w:t>
      </w:r>
      <w:r>
        <w:t>https://www.aerzteblatt.de/news/coronakrise-erstes-schutzmaterial-erreicht-die-aerzte-49100b20-c0c8-448b-8ceb-f4f6d1d6b0b1</w:t>
      </w:r>
    </w:p>
    <w:p w14:paraId="0D45ED9C" w14:textId="77777777" w:rsidR="008D663C" w:rsidRDefault="005B252C">
      <w:pPr>
        <w:pStyle w:val="BodyText"/>
      </w:pPr>
      <w:r>
        <w:t xml:space="preserve">Deutsches Ärzteblatt. (2020b, November 26). </w:t>
      </w:r>
      <w:r>
        <w:rPr>
          <w:i/>
          <w:iCs/>
        </w:rPr>
        <w:t>Nationale Reserve für Schutzausrüstung soll in drei Phasen anlaufen.</w:t>
      </w:r>
      <w:r>
        <w:t xml:space="preserve"> https://www.aerzteblatt.de/nachrichten/118733/Nationale-Reserve-fuer-Schutzausruestung-soll-in-drei-Phasen-anlaufen</w:t>
      </w:r>
    </w:p>
    <w:p w14:paraId="4EB93AA2" w14:textId="77777777" w:rsidR="008D663C" w:rsidRDefault="005B252C">
      <w:pPr>
        <w:pStyle w:val="BodyText"/>
      </w:pPr>
      <w:r>
        <w:t xml:space="preserve">European Commission. (2020a). Commission Implementing Regulation (EU) 2020/402 of 14 March 2020 making the exportation of certain products subject to the production of an export authorisation. </w:t>
      </w:r>
      <w:r>
        <w:rPr>
          <w:i/>
          <w:iCs/>
        </w:rPr>
        <w:t>Official Journal of the European Union, L 77I</w:t>
      </w:r>
      <w:r>
        <w:t>, 15 March 2020. https://eur-lex.europa.eu/eli/reg_impl/2020/402/oj</w:t>
      </w:r>
    </w:p>
    <w:p w14:paraId="330B4533" w14:textId="77777777" w:rsidR="008D663C" w:rsidRDefault="005B252C">
      <w:pPr>
        <w:pStyle w:val="BodyText"/>
      </w:pPr>
      <w:r>
        <w:t xml:space="preserve">European Commission. (2020b). Commission Implementing Decision (EU) 2020/414 of 19 March 2020 amending Implementing Decision (EU) 2019/570 as regards medical stockpiling rescEU capacities. </w:t>
      </w:r>
      <w:r>
        <w:rPr>
          <w:i/>
          <w:iCs/>
        </w:rPr>
        <w:t>Official Journal of the European Union, L 82I</w:t>
      </w:r>
      <w:r>
        <w:t>, 19 March 2020. https://eur-lex.europa.eu/eli/dec_impl/2020/414/oj</w:t>
      </w:r>
    </w:p>
    <w:p w14:paraId="526A8207" w14:textId="77777777" w:rsidR="008D663C" w:rsidRDefault="005B252C">
      <w:pPr>
        <w:pStyle w:val="BodyText"/>
      </w:pPr>
      <w:r>
        <w:t xml:space="preserve">European Commission. (2020c). </w:t>
      </w:r>
      <w:r>
        <w:rPr>
          <w:i/>
          <w:iCs/>
        </w:rPr>
        <w:t>Notification 2020/0104/D: Order restricting foreign trade in certain goods (medical protective equipment)</w:t>
      </w:r>
      <w:r>
        <w:t xml:space="preserve"> [Notification under Directive (EU) 2015/1535, received 4 March 2020].</w:t>
      </w:r>
    </w:p>
    <w:p w14:paraId="5B0B31D7" w14:textId="77777777" w:rsidR="008D663C" w:rsidRDefault="005B252C">
      <w:pPr>
        <w:pStyle w:val="BodyText"/>
      </w:pPr>
      <w:r>
        <w:t xml:space="preserve">European Court of Auditors. (2021). </w:t>
      </w:r>
      <w:r>
        <w:rPr>
          <w:i/>
          <w:iCs/>
        </w:rPr>
        <w:t>The EU’s initial contribution to the public health response to COVID-19</w:t>
      </w:r>
      <w:r>
        <w:t xml:space="preserve"> (Review No 01/2021).</w:t>
      </w:r>
    </w:p>
    <w:p w14:paraId="5783E324" w14:textId="77777777" w:rsidR="008D663C" w:rsidRDefault="005B252C">
      <w:pPr>
        <w:pStyle w:val="BodyText"/>
      </w:pPr>
      <w:r>
        <w:t xml:space="preserve">European Environment Agency. (2001). </w:t>
      </w:r>
      <w:r>
        <w:rPr>
          <w:i/>
          <w:iCs/>
        </w:rPr>
        <w:t>Late lessons from early warnings: The precautionary principle 1896–2000</w:t>
      </w:r>
      <w:r>
        <w:t xml:space="preserve"> (Environmental issue report No 22; P. Harremoës, D. Gee, M. MacGarvin, A. Stirling, J. Keys, B. Wynne, &amp; S. Guedes Vaz, Eds.). Office for Official Publications of the European Communities.</w:t>
      </w:r>
    </w:p>
    <w:p w14:paraId="79ADB457" w14:textId="77777777" w:rsidR="008D663C" w:rsidRDefault="005B252C">
      <w:pPr>
        <w:pStyle w:val="BodyText"/>
      </w:pPr>
      <w:r>
        <w:t xml:space="preserve">European Environment Agency. (2013). </w:t>
      </w:r>
      <w:r>
        <w:rPr>
          <w:i/>
          <w:iCs/>
        </w:rPr>
        <w:t>Late lessons from early warnings: Science, precaution, innovation</w:t>
      </w:r>
      <w:r>
        <w:t xml:space="preserve"> (EEA Report No 1/2013). Publications Office of the European Union.</w:t>
      </w:r>
    </w:p>
    <w:p w14:paraId="17EC6CC3" w14:textId="77777777" w:rsidR="008D663C" w:rsidRDefault="005B252C">
      <w:pPr>
        <w:pStyle w:val="BodyText"/>
      </w:pPr>
      <w:r>
        <w:t xml:space="preserve">European Parliament. (2020). </w:t>
      </w:r>
      <w:r>
        <w:rPr>
          <w:i/>
          <w:iCs/>
        </w:rPr>
        <w:t>Coronavirus: Delivery of medical equipment from rescEU reserve in Italy, 25 April 2020</w:t>
      </w:r>
      <w:r>
        <w:t xml:space="preserve"> [Photo record]. https://multimedia.europarl.europa.eu/en/photo/coronavirus-delivery-of-medical-equipment-from-resceu-reserve-in-italyon-25-april-2020-ffp2-protecti_20200425_P043686-850895</w:t>
      </w:r>
    </w:p>
    <w:p w14:paraId="641531C1" w14:textId="77777777" w:rsidR="008D663C" w:rsidRDefault="005B252C">
      <w:pPr>
        <w:pStyle w:val="BodyText"/>
      </w:pPr>
      <w:r>
        <w:t xml:space="preserve">Eurostat. (2020a, June 22). </w:t>
      </w:r>
      <w:r>
        <w:rPr>
          <w:i/>
          <w:iCs/>
        </w:rPr>
        <w:t>Impact of the COVID-19 on EU trade with China</w:t>
      </w:r>
      <w:r>
        <w:t xml:space="preserve"> [Eurostat news]. https://ec.europa.eu/eurostat/de/web/products-eurostat-news/-/edn-20200622-1</w:t>
      </w:r>
    </w:p>
    <w:p w14:paraId="1C22ACCE" w14:textId="77777777" w:rsidR="008D663C" w:rsidRDefault="005B252C">
      <w:pPr>
        <w:pStyle w:val="BodyText"/>
      </w:pPr>
      <w:r>
        <w:t xml:space="preserve">Eurostat. (2020b, October 6). </w:t>
      </w:r>
      <w:r>
        <w:rPr>
          <w:i/>
          <w:iCs/>
        </w:rPr>
        <w:t>Which country imported the most face masks?</w:t>
      </w:r>
      <w:r>
        <w:t xml:space="preserve"> [Eurostat news]. https://ec.europa.eu/eurostat/web/products-eurostat-news/-/ddn-20201006-1</w:t>
      </w:r>
    </w:p>
    <w:p w14:paraId="794C1FB1" w14:textId="77777777" w:rsidR="008D663C" w:rsidRDefault="005B252C">
      <w:pPr>
        <w:pStyle w:val="BodyText"/>
      </w:pPr>
      <w:r>
        <w:t xml:space="preserve">Friedman, M. (1948). A monetary and fiscal framework for economic stability. </w:t>
      </w:r>
      <w:r>
        <w:rPr>
          <w:i/>
          <w:iCs/>
        </w:rPr>
        <w:t>American Economic Review, 38</w:t>
      </w:r>
      <w:r>
        <w:t>(3), 245–264.</w:t>
      </w:r>
    </w:p>
    <w:p w14:paraId="7868C6BA" w14:textId="77777777" w:rsidR="008D663C" w:rsidRDefault="005B252C">
      <w:pPr>
        <w:pStyle w:val="BodyText"/>
      </w:pPr>
      <w:r>
        <w:t xml:space="preserve">George, A. L., &amp; Holl, J. E. (1997). </w:t>
      </w:r>
      <w:r>
        <w:rPr>
          <w:i/>
          <w:iCs/>
        </w:rPr>
        <w:t>The warning-response problem and missed opportunities in preventive diplomacy.</w:t>
      </w:r>
      <w:r>
        <w:t xml:space="preserve"> Carnegie Corporation of New York.</w:t>
      </w:r>
    </w:p>
    <w:p w14:paraId="669CD051" w14:textId="77777777" w:rsidR="008D663C" w:rsidRDefault="005B252C">
      <w:pPr>
        <w:pStyle w:val="BodyText"/>
      </w:pPr>
      <w:r>
        <w:t xml:space="preserve">Gereffi, G. (2020). What does the COVID-19 pandemic teach us about global value chains? The case of medical supplies. </w:t>
      </w:r>
      <w:r>
        <w:rPr>
          <w:i/>
          <w:iCs/>
        </w:rPr>
        <w:t>Journal of International Business Policy, 3</w:t>
      </w:r>
      <w:r>
        <w:t>(3), 287–301. https://doi.org/10.1057/s42214-020-00062-w</w:t>
      </w:r>
    </w:p>
    <w:p w14:paraId="28F0B248" w14:textId="77777777" w:rsidR="008D663C" w:rsidRDefault="005B252C">
      <w:pPr>
        <w:pStyle w:val="BodyText"/>
      </w:pPr>
      <w:r>
        <w:t xml:space="preserve">Hale, T., Angrist, N., Goldszmidt, R., Kira, B., Petherick, A., Phillips, T., Webster, S., Cameron-Blake, E., Hallas, L., Majumdar, S., &amp; Tatlow, H. (2021). A global panel database of pandemic policies (Oxford COVID-19 Government Response Tracker). </w:t>
      </w:r>
      <w:r>
        <w:rPr>
          <w:i/>
          <w:iCs/>
        </w:rPr>
        <w:t>Nature Human Behaviour, 5</w:t>
      </w:r>
      <w:r>
        <w:t>(4), 529–538. https://doi.org/10.1038/s41562-021-01079-8</w:t>
      </w:r>
    </w:p>
    <w:p w14:paraId="34F43B7D" w14:textId="77777777" w:rsidR="008D663C" w:rsidRDefault="005B252C">
      <w:pPr>
        <w:pStyle w:val="BodyText"/>
      </w:pPr>
      <w:r>
        <w:t xml:space="preserve">Hillier, D., &amp; Dempsey, B. (2012). </w:t>
      </w:r>
      <w:r>
        <w:rPr>
          <w:i/>
          <w:iCs/>
        </w:rPr>
        <w:t>A dangerous delay: The cost of late response to early warnings in the 2011 drought in the Horn of Africa.</w:t>
      </w:r>
      <w:r>
        <w:t xml:space="preserve"> Oxfam International &amp; Save the Children.</w:t>
      </w:r>
    </w:p>
    <w:p w14:paraId="189B0141" w14:textId="77777777" w:rsidR="008D663C" w:rsidRDefault="005B252C">
      <w:pPr>
        <w:pStyle w:val="BodyText"/>
      </w:pPr>
      <w:r>
        <w:t xml:space="preserve">Lindström, M. (2023). The COVID-19 pandemic and the timing of government response: A comparison of four Nordic countries March–June 2020. </w:t>
      </w:r>
      <w:r>
        <w:rPr>
          <w:i/>
          <w:iCs/>
        </w:rPr>
        <w:t>Scandinavian Journal of Public Health, 51</w:t>
      </w:r>
      <w:r>
        <w:t>(5), 754–758. https://doi.org/10.1177/14034948231171201</w:t>
      </w:r>
    </w:p>
    <w:p w14:paraId="0D8BE219" w14:textId="77777777" w:rsidR="008D663C" w:rsidRDefault="005B252C">
      <w:pPr>
        <w:pStyle w:val="BodyText"/>
      </w:pPr>
      <w:r>
        <w:t xml:space="preserve">McEvoy, E., &amp; Ferri, D. (2020). The role of the Joint Procurement Agreement during the COVID-19 pandemic: Assessing its usefulness and discussing its potential to support a European Health Union. </w:t>
      </w:r>
      <w:r>
        <w:rPr>
          <w:i/>
          <w:iCs/>
        </w:rPr>
        <w:t>European Journal of Risk Regulation, 11</w:t>
      </w:r>
      <w:r>
        <w:t>(4), 851–863. https://doi.org/10.1017/err.2020.91</w:t>
      </w:r>
    </w:p>
    <w:p w14:paraId="4A6D977F" w14:textId="77777777" w:rsidR="008D663C" w:rsidRDefault="005B252C">
      <w:pPr>
        <w:pStyle w:val="BodyText"/>
      </w:pPr>
      <w:r>
        <w:t xml:space="preserve">Ministerie van Volksgezondheid, Welzijn en Sport. (2021). </w:t>
      </w:r>
      <w:r>
        <w:rPr>
          <w:i/>
          <w:iCs/>
        </w:rPr>
        <w:t>Feitenreconstructie, tijdlijn: Persoonlijke beschermingsmiddelen, januari–juli 2020</w:t>
      </w:r>
      <w:r>
        <w:t xml:space="preserve"> </w:t>
      </w:r>
      <w:r>
        <w:t>[Programmadirectie Nafase COVID-19, with the Nederlandse School voor Openbaar Bestuur; adopted 9 April 2021]. https://www.eerstekamer.nl/overig/20230914/interactieve_tijdlijn_persoonlijke/document</w:t>
      </w:r>
    </w:p>
    <w:p w14:paraId="6959C8BD" w14:textId="77777777" w:rsidR="008D663C" w:rsidRDefault="005B252C">
      <w:pPr>
        <w:pStyle w:val="BodyText"/>
      </w:pPr>
      <w:r>
        <w:t xml:space="preserve">Ministry of Commerce of China, General Administration of Customs, &amp; National Medical Products Administration. (2020). </w:t>
      </w:r>
      <w:r>
        <w:rPr>
          <w:i/>
          <w:iCs/>
        </w:rPr>
        <w:t>Announcement No. 5 of 2020</w:t>
      </w:r>
      <w:r>
        <w:t xml:space="preserve"> </w:t>
      </w:r>
      <w:r>
        <w:t>[On the orderly export of medical supplies; 31 March 2020, effective 1 April 2020]. https://english.mofcom.gov.cn/Policies/AnnouncementsOrders/art/2020/art_80fb50993ff44cefb306a2e795ccc259.html</w:t>
      </w:r>
    </w:p>
    <w:p w14:paraId="3476E030" w14:textId="77777777" w:rsidR="008D663C" w:rsidRDefault="005B252C">
      <w:pPr>
        <w:pStyle w:val="BodyText"/>
      </w:pPr>
      <w:r>
        <w:t xml:space="preserve">Muggah, R., &amp; Whitlock, M. (2022). Reflections on the evolution of conflict early warning. </w:t>
      </w:r>
      <w:r>
        <w:rPr>
          <w:i/>
          <w:iCs/>
        </w:rPr>
        <w:t>Stability: International Journal of Security and Development, 10</w:t>
      </w:r>
      <w:r>
        <w:t>(1). https://doi.org/10.5334/sta.857</w:t>
      </w:r>
    </w:p>
    <w:p w14:paraId="4F836FFF" w14:textId="77777777" w:rsidR="008D663C" w:rsidRDefault="005B252C">
      <w:pPr>
        <w:pStyle w:val="BodyText"/>
      </w:pPr>
      <w:r>
        <w:t xml:space="preserve">National Audit Office. (2020). </w:t>
      </w:r>
      <w:r>
        <w:rPr>
          <w:i/>
          <w:iCs/>
        </w:rPr>
        <w:t>The supply of personal protective equipment (PPE) during the COVID-19 pandemic</w:t>
      </w:r>
      <w:r>
        <w:t xml:space="preserve"> </w:t>
      </w:r>
      <w:r>
        <w:t>(HC 961, Session 2019–2021, 25 November 2020). https://www.nao.org.uk/wp-content/uploads/2020/11/The-supply-of-personal-protective-equipment-PPE-during-the-COVID-19-pandemic.pdf</w:t>
      </w:r>
    </w:p>
    <w:p w14:paraId="006C6C52" w14:textId="77777777" w:rsidR="008D663C" w:rsidRDefault="005B252C">
      <w:pPr>
        <w:pStyle w:val="BodyText"/>
      </w:pPr>
      <w:r>
        <w:t xml:space="preserve">National Health Commission of China. (2020, March 2). </w:t>
      </w:r>
      <w:r>
        <w:rPr>
          <w:i/>
          <w:iCs/>
        </w:rPr>
        <w:t>China’s daily mask output exceeds 110 million units</w:t>
      </w:r>
      <w:r>
        <w:t xml:space="preserve"> [Xinhua report]. https://en.nhc.gov.cn/2020-03/03/c_77258.htm</w:t>
      </w:r>
    </w:p>
    <w:p w14:paraId="5A8441BB" w14:textId="77777777" w:rsidR="008D663C" w:rsidRDefault="005B252C">
      <w:pPr>
        <w:pStyle w:val="BodyText"/>
      </w:pPr>
      <w:r>
        <w:t xml:space="preserve">Sénat. (2020). </w:t>
      </w:r>
      <w:r>
        <w:rPr>
          <w:i/>
          <w:iCs/>
        </w:rPr>
        <w:t>Rapport fait au nom de la commission d’enquête pour l’évaluation des politiques publiques face aux grandes pandémies à la lumière de la crise sanitaire de la covid-19 et de sa gestion</w:t>
      </w:r>
      <w:r>
        <w:t xml:space="preserve"> (Rapport n° 199, 2020–2021; C. Deroche, B. Jomier, &amp; S. Vermeillet, rapporteurs; 8 December 2020). https://www.senat.fr/rap/r20-199-1/r20-199-11.pdf</w:t>
      </w:r>
    </w:p>
    <w:p w14:paraId="1EDA88C4" w14:textId="77777777" w:rsidR="008D663C" w:rsidRDefault="005B252C">
      <w:pPr>
        <w:pStyle w:val="BodyText"/>
      </w:pPr>
      <w:r>
        <w:t xml:space="preserve">Siedschlag, I., &amp; Yan, W. (2020). </w:t>
      </w:r>
      <w:r>
        <w:rPr>
          <w:i/>
          <w:iCs/>
        </w:rPr>
        <w:t>Containing the COVID-19 pandemic: What determined the speed of government interventions?</w:t>
      </w:r>
      <w:r>
        <w:t xml:space="preserve"> </w:t>
      </w:r>
      <w:r>
        <w:t>(ESRI Working Paper No 680). Economic and Social Research Institute.</w:t>
      </w:r>
    </w:p>
    <w:p w14:paraId="40BD8060" w14:textId="77777777" w:rsidR="008D663C" w:rsidRDefault="005B252C">
      <w:pPr>
        <w:pStyle w:val="BodyText"/>
      </w:pPr>
      <w:r>
        <w:t xml:space="preserve">SOU 2021:89. (2021). </w:t>
      </w:r>
      <w:r>
        <w:rPr>
          <w:i/>
          <w:iCs/>
        </w:rPr>
        <w:t>Sverige under pandemin: Volym 1, Smittspridning och smittskydd</w:t>
      </w:r>
      <w:r>
        <w:t xml:space="preserve"> [Interim report of the Corona Commission]. Statens offentliga utredningar. https://regeringen.se/contentassets/e1c4a1033b9042fe96c0b2a3f453ff1d/sverige-under-pandemin-volym-1_webb-1.pdf</w:t>
      </w:r>
    </w:p>
    <w:p w14:paraId="40F2AD0E" w14:textId="77777777" w:rsidR="008D663C" w:rsidRDefault="005B252C">
      <w:pPr>
        <w:pStyle w:val="BodyText"/>
      </w:pPr>
      <w:r>
        <w:t xml:space="preserve">SOU 2022:10. (2022). </w:t>
      </w:r>
      <w:r>
        <w:rPr>
          <w:i/>
          <w:iCs/>
        </w:rPr>
        <w:t>Sverige under pandemin</w:t>
      </w:r>
      <w:r>
        <w:t xml:space="preserve"> </w:t>
      </w:r>
      <w:r>
        <w:t>[Final report of the Corona Commission; 17 February 2022]. Statens offentliga utredningar. https://data.riksdagen.se/dokument/HAB310.html</w:t>
      </w:r>
    </w:p>
    <w:p w14:paraId="38E5C52F" w14:textId="77777777" w:rsidR="008D663C" w:rsidRDefault="005B252C">
      <w:pPr>
        <w:pStyle w:val="BodyText"/>
      </w:pPr>
      <w:r>
        <w:t xml:space="preserve">Yicai Global. (2020, April 6). </w:t>
      </w:r>
      <w:r>
        <w:rPr>
          <w:i/>
          <w:iCs/>
        </w:rPr>
        <w:t>China has exported 3.86 billion face masks worldwide.</w:t>
      </w:r>
      <w:r>
        <w:t xml:space="preserve"> https://yicaiglobal.com/news/china-has-exported-386-billion-face-masks-worldwide</w:t>
      </w:r>
    </w:p>
    <w:p w14:paraId="61CA6068" w14:textId="77777777" w:rsidR="008D663C" w:rsidRDefault="005B252C">
      <w:pPr>
        <w:pStyle w:val="Heading1"/>
      </w:pPr>
      <w:bookmarkStart w:id="31" w:name="figure-legends"/>
      <w:bookmarkEnd w:id="30"/>
      <w:r>
        <w:t>Figure legends</w:t>
      </w:r>
    </w:p>
    <w:p w14:paraId="2BE168CC" w14:textId="77777777" w:rsidR="008D663C" w:rsidRDefault="005B252C">
      <w:pPr>
        <w:pStyle w:val="FirstParagraph"/>
      </w:pPr>
      <w:r>
        <w:rPr>
          <w:b/>
          <w:bCs/>
        </w:rPr>
        <w:t>Figure 1.</w:t>
      </w:r>
      <w:r>
        <w:t xml:space="preserve"> </w:t>
      </w:r>
      <w:r>
        <w:t>First firm order, first binding act and first delivery of PPE to a distribution level for each case, in days from 30 January 2020. Filled symbols mark exact dates; bars with open ends mark windows; the open circle with an arrow marks a lower bound; the cross marks the EU’s first tender, which is not a firm order. The grey lines and diamond show the Belgian 3M order and its delivery on day 57 under reading B (solid, order day 34) and reading A (dotted, order day 1). Dashed vertical lines mark dated supply ev</w:t>
      </w:r>
      <w:r>
        <w:t>ents in China; the shaded band is the period over which China exported 3.86 billion masks.</w:t>
      </w:r>
    </w:p>
    <w:p w14:paraId="017E2CFC" w14:textId="77777777" w:rsidR="008D663C" w:rsidRDefault="005B252C">
      <w:pPr>
        <w:pStyle w:val="BodyText"/>
      </w:pPr>
      <w:r>
        <w:rPr>
          <w:b/>
          <w:bCs/>
        </w:rPr>
        <w:t>Figure 2.</w:t>
      </w:r>
      <w:r>
        <w:t xml:space="preserve"> </w:t>
      </w:r>
      <w:r>
        <w:t>Belgian federal orders of masks from commercial suppliers, each paired with the first delivery of that same order, in days from 30 January 2020. Squares mark orders and circles first deliveries; labels give the paired lag. The open square and dotted line show the first order under reading A of the contested testimony (31 January); the solid line on the same row shows reading B (4 March). The shaded band is the period over which China exported 3.86 billion masks; the dashed line marks China’s export controls</w:t>
      </w:r>
      <w:r>
        <w:t>.</w:t>
      </w:r>
    </w:p>
    <w:bookmarkEnd w:id="31"/>
    <w:sectPr w:rsidR="008D663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A9CB5" w14:textId="77777777" w:rsidR="005B252C" w:rsidRDefault="005B252C">
      <w:pPr>
        <w:spacing w:after="0"/>
      </w:pPr>
      <w:r>
        <w:separator/>
      </w:r>
    </w:p>
  </w:endnote>
  <w:endnote w:type="continuationSeparator" w:id="0">
    <w:p w14:paraId="36C1B165" w14:textId="77777777" w:rsidR="005B252C" w:rsidRDefault="005B25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9FFF3" w14:textId="77777777" w:rsidR="008D663C" w:rsidRDefault="005B252C">
      <w:r>
        <w:separator/>
      </w:r>
    </w:p>
  </w:footnote>
  <w:footnote w:type="continuationSeparator" w:id="0">
    <w:p w14:paraId="0A717C05" w14:textId="77777777" w:rsidR="008D663C" w:rsidRDefault="005B25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5884269">
    <w:abstractNumId w:val="0"/>
  </w:num>
  <w:num w:numId="2" w16cid:durableId="393504773">
    <w:abstractNumId w:val="1"/>
  </w:num>
  <w:num w:numId="3" w16cid:durableId="202338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63C"/>
    <w:rsid w:val="005B252C"/>
    <w:rsid w:val="008D663C"/>
    <w:rsid w:val="00A326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6ABD9B"/>
  <w15:docId w15:val="{BC4D4ACE-2493-5B45-92AB-AB36BE6F0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7633</Words>
  <Characters>43510</Characters>
  <Application>Microsoft Office Word</Application>
  <DocSecurity>0</DocSecurity>
  <Lines>362</Lines>
  <Paragraphs>102</Paragraphs>
  <ScaleCrop>false</ScaleCrop>
  <Company/>
  <LinksUpToDate>false</LinksUpToDate>
  <CharactersWithSpaces>51041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Warning to Delivery: How a Validated Pandemic Warning Became Protective-Equipment Supply in Five European Countries and the European Union</dc:title>
  <dc:creator/>
  <cp:keywords/>
  <cp:lastModifiedBy>Adrian Avramescu</cp:lastModifiedBy>
  <cp:revision>2</cp:revision>
  <dcterms:created xsi:type="dcterms:W3CDTF">2026-10-26T14:13:00Z</dcterms:created>
  <dcterms:modified xsi:type="dcterms:W3CDTF">2026-10-26T14:13:00Z</dcterms:modified>
</cp:coreProperties>
</file>