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Virtual Reality: The Future of Medicine?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Aishwarya Arun Kumar &amp; Ashish Kumar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Reality has become a frequently used term in the past few years. While it is best known for completely revolving the gaming arena amongst teens, it has also contributed immensely to medicine. This paper attempts to bring about the recent developments in the field of medicine with the help of virtual reality.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Virtual Reality is an artificially created environment that is presented to the user in such a way that he/she believes that it is the real surrounding. This is done with the help of certain softwares and uses two senses particularly, sight and sound. Medicine in its current phase has developed so much that it can practically cure almost everything. Adding to this is virtual reality that not only helps in medical education but has brought about new dimensions to areas such as surgery, recovery and several other specialities.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Through this paper, we will understand the scope of this technology in Indian medicine. It introduces a couple of instances where VR has been used to get forward in a medical case. This study also throws light over the prospects of VR in medical education and how it can help students practice surgery using VR before trying it on actual patients. The aim is to bring about awareness regarding companies like “Loop Reality” who are trying to discover innovations to help dawn a new 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Pharmaceutical companies have already incorporated the use of VR for marketing. InceptionX, for instance, used the technology to help its customers understand how symptoms of various illnesses feel. This will lead to patients being vary of the symptoms at a greater level and will also help treat diseases at the root level. With cancer being predominant in India, symptoms can help detect the disease in its prior stages. Apart from this, VR has promised plastic surgery and face reconstruction new 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crucial to know how to use this technology efficiently and effectively and this study helps us understand this. Its aim is to bring awareness amongst people, not only those affiliated to the healthcare industry, but also citizens and the government who can work on implementing VR in a lot more hospitals and medical schools.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the goal is to bring about a complete revolution in terms of medicine and virtual reality.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Virtual Reality, VR, Surgery, Medical Education, Awareness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