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Acknowledgments: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Data is provided by Terry Reid (treid@aqua-aerobic.com) of Aqua-Aerobic Systems, Inc. from their full-scale primary cloth depth filter installation in the Linda County Water District Wastewater Treatment Plant (WWTP).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Dataset Description:</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Primary filtration is a novel approach to treat more wastewater with a smaller physical footprint than a traditional primary clarifier. The Linda County Water District WWTP has operated a cloth filter unit since 2017. Included in this dataset: online operational data at the 5-second interval for 2019 and intermittent daily laboratory data from April 2017 – October 2019. Laboratory samples include grab, 1-hr composite, 2-hour composite, 12-hr composites, and 24-h composites of the filter influent and effluent and clarifier influent and effluent.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Data Quality: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The cleaned .csv files are categorized as clarifier influent and effluent and filter influent and effluent. Each file contains variables (date, time, sample type, parameter, value), where value corresponds to the sample type. Note that the datasets may differ in time periods covered.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Dataset Purpose: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cs="Arial" w:eastAsia="Arial" w:hAnsi="Arial"/>
          <w:smallCaps w:val="0"/>
          <w:sz w:val="36"/>
          <w:szCs w:val="36"/>
        </w:rPr>
      </w:pPr>
      <w:r w:rsidDel="00000000" w:rsidR="00000000" w:rsidRPr="00000000">
        <w:rPr>
          <w:rFonts w:ascii="Arial" w:cs="Arial" w:eastAsia="Arial" w:hAnsi="Arial"/>
          <w:smallCaps w:val="0"/>
          <w:sz w:val="36"/>
          <w:szCs w:val="36"/>
          <w:rtl w:val="0"/>
        </w:rPr>
        <w:t xml:space="preserv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1. Compare the removal of water quality variables from the clarifier and the filter using the lab data. Are the differences significant?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mallCaps w:val="0"/>
          <w:color w:val="000000"/>
          <w:sz w:val="36"/>
          <w:szCs w:val="36"/>
        </w:rPr>
      </w:pPr>
      <w:r w:rsidDel="00000000" w:rsidR="00000000" w:rsidRPr="00000000">
        <w:rPr>
          <w:rFonts w:ascii="Arial" w:cs="Arial" w:eastAsia="Arial" w:hAnsi="Arial"/>
          <w:smallCaps w:val="0"/>
          <w:color w:val="000000"/>
          <w:sz w:val="36"/>
          <w:szCs w:val="36"/>
          <w:rtl w:val="0"/>
        </w:rPr>
        <w:t xml:space="preserve">2. Are there correlations between the filter’s online process data and the filter’s offline laboratory results?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color w:val="000000"/>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240" w:lineRule="auto"/>
        <w:ind w:left="400" w:hanging="400"/>
        <w:rPr>
          <w:rFonts w:ascii="Arial" w:cs="Arial" w:eastAsia="Arial" w:hAnsi="Arial"/>
          <w:smallCaps w:val="0"/>
          <w:color w:val="000000"/>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