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Cs/>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bookmarkStart w:id="20" w:name="abstract"/>
    <w:p>
      <w:pPr>
        <w:pStyle w:val="Heading1"/>
      </w:pPr>
      <w:r>
        <w:rPr>
          <w:rStyle w:val="SectionNumber"/>
        </w:rPr>
        <w:t xml:space="preserve">1</w:t>
      </w:r>
      <w:r>
        <w:tab/>
      </w:r>
      <w:r>
        <w:t xml:space="preserve">Abstract</w:t>
      </w:r>
    </w:p>
    <w:p>
      <w:pPr>
        <w:pStyle w:val="FirstParagraph"/>
      </w:pPr>
      <w:r>
        <w:rPr>
          <w:bCs/>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Cs/>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Cs/>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Cs/>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Cs/>
          <w:b/>
        </w:rPr>
        <w:t xml:space="preserve">Keywords</w:t>
      </w:r>
      <w:r>
        <w:t xml:space="preserve">: Covid-19, SARS-CoV-2, surveillance, forecasting, time-varying reproduction number</w:t>
      </w:r>
    </w:p>
    <w:bookmarkEnd w:id="20"/>
    <w:bookmarkStart w:id="22" w:name="introduction"/>
    <w:p>
      <w:pPr>
        <w:pStyle w:val="Heading1"/>
      </w:pPr>
      <w:r>
        <w:rPr>
          <w:rStyle w:val="SectionNumber"/>
        </w:rPr>
        <w:t xml:space="preserve">2</w:t>
      </w:r>
      <w:r>
        <w:tab/>
      </w:r>
      <w:r>
        <w:t xml:space="preserve">Introduction</w:t>
      </w:r>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1">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bookmarkEnd w:id="22"/>
    <w:bookmarkStart w:id="34" w:name="methods"/>
    <w:p>
      <w:pPr>
        <w:pStyle w:val="Heading1"/>
      </w:pPr>
      <w:r>
        <w:rPr>
          <w:rStyle w:val="SectionNumber"/>
        </w:rPr>
        <w:t xml:space="preserve">3</w:t>
      </w:r>
      <w:r>
        <w:tab/>
      </w:r>
      <w:r>
        <w:t xml:space="preserve">Methods</w:t>
      </w:r>
    </w:p>
    <w:bookmarkStart w:id="23" w:name="data"/>
    <w:p>
      <w:pPr>
        <w:pStyle w:val="Heading2"/>
      </w:pPr>
      <w:r>
        <w:rPr>
          <w:rStyle w:val="SectionNumber"/>
        </w:rPr>
        <w:t xml:space="preserve">3.1</w:t>
      </w:r>
      <w:r>
        <w:tab/>
      </w:r>
      <w:r>
        <w:t xml:space="preserve">Data</w:t>
      </w:r>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bookmarkEnd w:id="23"/>
    <w:bookmarkStart w:id="24" w:name="delays-between-case-onset-and-report"/>
    <w:p>
      <w:pPr>
        <w:pStyle w:val="Heading2"/>
      </w:pPr>
      <w:r>
        <w:rPr>
          <w:rStyle w:val="SectionNumber"/>
        </w:rPr>
        <w:t xml:space="preserve">3.2</w:t>
      </w:r>
      <w:r>
        <w:tab/>
      </w:r>
      <w:r>
        <w:t xml:space="preserve">Delays between case onset and report</w:t>
      </w:r>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bookmarkEnd w:id="24"/>
    <w:bookmarkStart w:id="26" w:name="X2f109b0ab9a3bb4941514ba3510a584b89f7637"/>
    <w:p>
      <w:pPr>
        <w:pStyle w:val="Heading2"/>
      </w:pPr>
      <w:r>
        <w:rPr>
          <w:rStyle w:val="SectionNumber"/>
        </w:rPr>
        <w:t xml:space="preserve">3.3</w:t>
      </w:r>
      <w:r>
        <w:tab/>
      </w:r>
      <w:r>
        <w:t xml:space="preserve">Estimating the time-varying reproduction number and nowcasting reported infections</w:t>
      </w:r>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rPr>
                <m:sty m:val="p"/>
              </m:rP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rPr>
                <m:sty m:val="p"/>
              </m:rPr>
              <m:t>(</m:t>
            </m:r>
            <m:r>
              <m:t>t</m:t>
            </m:r>
            <m:r>
              <m:t> </m:t>
            </m:r>
            <m:r>
              <m:rPr>
                <m:nor/>
                <m:sty m:val="p"/>
              </m:rPr>
              <m:t>mod</m:t>
            </m:r>
            <m:r>
              <m:t> </m:t>
            </m:r>
            <m:r>
              <m:t>7</m:t>
            </m:r>
            <m:r>
              <m:rPr>
                <m:sty m:val="p"/>
              </m:rP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rPr>
                    <m:sty m:val="p"/>
                  </m:rPr>
                  <m:t>∼</m:t>
                </m:r>
                <m:sSub>
                  <m:e>
                    <m:r>
                      <m:t>R</m:t>
                    </m:r>
                  </m:e>
                  <m:sub>
                    <m:r>
                      <m:t>t</m:t>
                    </m:r>
                    <m:r>
                      <m:rPr>
                        <m:sty m:val="p"/>
                      </m:rPr>
                      <m:t>−</m:t>
                    </m:r>
                    <m:r>
                      <m:t>1</m:t>
                    </m:r>
                  </m:sub>
                </m:sSub>
                <m:r>
                  <m:rPr>
                    <m:sty m:val="p"/>
                  </m:rPr>
                  <m:t>×</m:t>
                </m:r>
                <m:r>
                  <m:rPr>
                    <m:sty m:val="p"/>
                  </m:rPr>
                  <m:t>G</m:t>
                </m:r>
                <m:r>
                  <m:rPr>
                    <m:sty m:val="p"/>
                  </m:rPr>
                  <m:t>P</m:t>
                </m:r>
              </m:e>
            </m:mr>
            <m:mr>
              <m:e>
                <m:sSub>
                  <m:e>
                    <m:r>
                      <m:t>I</m:t>
                    </m:r>
                  </m:e>
                  <m:sub>
                    <m:r>
                      <m:t>t</m:t>
                    </m:r>
                  </m:sub>
                </m:sSub>
              </m:e>
              <m:e>
                <m:r>
                  <m:rPr>
                    <m:sty m:val="p"/>
                  </m:rP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rPr>
                        <m:sty m:val="p"/>
                      </m:rPr>
                      <m:t>−</m:t>
                    </m:r>
                    <m:r>
                      <m:t>τ</m:t>
                    </m:r>
                  </m:sub>
                </m:sSub>
              </m:e>
            </m:mr>
            <m:mr>
              <m:e>
                <m:sSub>
                  <m:e>
                    <m:r>
                      <m:t>D</m:t>
                    </m:r>
                  </m:e>
                  <m:sub>
                    <m:r>
                      <m:t>t</m:t>
                    </m:r>
                  </m:sub>
                </m:sSub>
              </m:e>
              <m:e>
                <m:r>
                  <m:rPr>
                    <m:sty m:val="p"/>
                  </m:rPr>
                  <m:t>=</m:t>
                </m:r>
                <m:nary>
                  <m:naryPr>
                    <m:chr m:val="∑"/>
                    <m:limLoc m:val="undOvr"/>
                    <m:subHide m:val="0"/>
                    <m:supHide m:val="1"/>
                  </m:naryPr>
                  <m:sub>
                    <m:r>
                      <m:t>τ</m:t>
                    </m:r>
                  </m:sub>
                  <m:sup>
                    <m:r>
                      <m:t>​</m:t>
                    </m:r>
                  </m:sup>
                  <m:e>
                    <m:sSub>
                      <m:e>
                        <m:r>
                          <m:t>ξ</m:t>
                        </m:r>
                      </m:e>
                      <m:sub>
                        <m:r>
                          <m:t>τ</m:t>
                        </m:r>
                      </m:sub>
                    </m:sSub>
                  </m:e>
                </m:nary>
                <m:sSub>
                  <m:e>
                    <m:r>
                      <m:t>I</m:t>
                    </m:r>
                  </m:e>
                  <m:sub>
                    <m:r>
                      <m:t>t</m:t>
                    </m:r>
                    <m:r>
                      <m:rPr>
                        <m:sty m:val="p"/>
                      </m:rPr>
                      <m:t>−</m:t>
                    </m:r>
                    <m:r>
                      <m:t>τ</m:t>
                    </m:r>
                  </m:sub>
                </m:sSub>
              </m:e>
            </m:mr>
            <m:mr>
              <m:e>
                <m:sSub>
                  <m:e>
                    <m:r>
                      <m:t>C</m:t>
                    </m:r>
                  </m:e>
                  <m:sub>
                    <m:r>
                      <m:t>t</m:t>
                    </m:r>
                  </m:sub>
                </m:sSub>
              </m:e>
              <m:e>
                <m:r>
                  <m:rPr>
                    <m:sty m:val="p"/>
                  </m:rPr>
                  <m:t>∼</m:t>
                </m:r>
                <m:r>
                  <m:rPr>
                    <m:sty m:val="p"/>
                  </m:rPr>
                  <m:t>N</m:t>
                </m:r>
                <m:r>
                  <m:rPr>
                    <m:sty m:val="p"/>
                  </m:rPr>
                  <m:t>B</m:t>
                </m:r>
                <m:r>
                  <m:rPr>
                    <m:sty m:val="p"/>
                  </m:rPr>
                  <m:t>(</m:t>
                </m:r>
                <m:sSub>
                  <m:e>
                    <m:r>
                      <m:t>D</m:t>
                    </m:r>
                  </m:e>
                  <m:sub>
                    <m:r>
                      <m:t>t</m:t>
                    </m:r>
                  </m:sub>
                </m:sSub>
                <m:sSub>
                  <m:e>
                    <m:r>
                      <m:t>ω</m:t>
                    </m:r>
                  </m:e>
                  <m:sub>
                    <m:r>
                      <m:rPr>
                        <m:sty m:val="p"/>
                      </m:rPr>
                      <m:t>(</m:t>
                    </m:r>
                    <m:r>
                      <m:t>t</m:t>
                    </m:r>
                    <m:r>
                      <m:t> </m:t>
                    </m:r>
                    <m:r>
                      <m:rPr>
                        <m:nor/>
                        <m:sty m:val="p"/>
                      </m:rPr>
                      <m:t>mod</m:t>
                    </m:r>
                    <m:r>
                      <m:t> </m:t>
                    </m:r>
                    <m:r>
                      <m:t>7</m:t>
                    </m:r>
                    <m:r>
                      <m:rPr>
                        <m:sty m:val="p"/>
                      </m:rPr>
                      <m:t>)</m:t>
                    </m:r>
                  </m:sub>
                </m:sSub>
                <m:r>
                  <m:rPr>
                    <m:sty m:val="p"/>
                  </m:rPr>
                  <m:t>,</m:t>
                </m:r>
                <m:r>
                  <m:t>ϕ</m:t>
                </m:r>
                <m:r>
                  <m:rPr>
                    <m:sty m:val="p"/>
                  </m:rP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5">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bookmarkEnd w:id="26"/>
    <w:bookmarkStart w:id="27" w:name="Xf0d1b2f4cd5608e139b1b116e107929d8749713"/>
    <w:p>
      <w:pPr>
        <w:pStyle w:val="Heading2"/>
      </w:pPr>
      <w:r>
        <w:rPr>
          <w:rStyle w:val="SectionNumber"/>
        </w:rPr>
        <w:t xml:space="preserve">3.4</w:t>
      </w:r>
      <w:r>
        <w:tab/>
      </w:r>
      <w:r>
        <w:t xml:space="preserve">Estimating the daily growth rate and doubling time</w:t>
      </w:r>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rPr>
            <m:sty m:val="p"/>
          </m:rPr>
          <m:t>(</m:t>
        </m:r>
        <m:r>
          <m:t>2</m:t>
        </m:r>
        <m:r>
          <m:rPr>
            <m:sty m:val="p"/>
          </m:rPr>
          <m:t>)</m:t>
        </m:r>
        <m:f>
          <m:fPr>
            <m:type m:val="bar"/>
          </m:fPr>
          <m:num>
            <m:r>
              <m:t>1</m:t>
            </m:r>
          </m:num>
          <m:den>
            <m:r>
              <m:t>r</m:t>
            </m:r>
          </m:den>
        </m:f>
      </m:oMath>
      <w:r>
        <w:t xml:space="preserve"> </w:t>
      </w:r>
      <w:r>
        <w:t xml:space="preserve">for each estimate of the rate of spread.</w:t>
      </w:r>
    </w:p>
    <w:bookmarkEnd w:id="27"/>
    <w:bookmarkStart w:id="28" w:name="estimated-change-in-daily-cases"/>
    <w:p>
      <w:pPr>
        <w:pStyle w:val="Heading2"/>
      </w:pPr>
      <w:r>
        <w:rPr>
          <w:rStyle w:val="SectionNumber"/>
        </w:rPr>
        <w:t xml:space="preserve">3.5</w:t>
      </w:r>
      <w:r>
        <w:tab/>
      </w:r>
      <w:r>
        <w:t xml:space="preserve">Estimated change in daily cases</w:t>
      </w:r>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bookmarkEnd w:id="28"/>
    <w:bookmarkStart w:id="29" w:name="Xcc85e8540fac07c730a5caf6f7438f0556b2629"/>
    <w:p>
      <w:pPr>
        <w:pStyle w:val="Heading2"/>
      </w:pPr>
      <w:r>
        <w:rPr>
          <w:rStyle w:val="SectionNumber"/>
        </w:rPr>
        <w:t xml:space="preserve">3.6</w:t>
      </w:r>
      <w:r>
        <w:tab/>
      </w:r>
      <w:r>
        <w:t xml:space="preserve">The effect of changes in testing procedure</w:t>
      </w:r>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bookmarkEnd w:id="29"/>
    <w:bookmarkStart w:id="30" w:name="X4e767a87fa4d4dbb1a7ae93af816c67b698f954"/>
    <w:p>
      <w:pPr>
        <w:pStyle w:val="Heading2"/>
      </w:pPr>
      <w:r>
        <w:rPr>
          <w:rStyle w:val="SectionNumber"/>
        </w:rPr>
        <w:t xml:space="preserve">3.7</w:t>
      </w:r>
      <w:r>
        <w:tab/>
      </w:r>
      <w:r>
        <w:t xml:space="preserve">Forecasting the reproduction number and case counts by date of infection</w:t>
      </w:r>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bookmarkEnd w:id="30"/>
    <w:bookmarkStart w:id="32" w:name="reporting"/>
    <w:p>
      <w:pPr>
        <w:pStyle w:val="Heading2"/>
      </w:pPr>
      <w:r>
        <w:rPr>
          <w:rStyle w:val="SectionNumber"/>
        </w:rPr>
        <w:t xml:space="preserve">3.8</w:t>
      </w:r>
      <w:r>
        <w:tab/>
      </w:r>
      <w:r>
        <w:t xml:space="preserve">Reporting</w:t>
      </w:r>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1">
        <w:r>
          <w:rPr>
            <w:rStyle w:val="Hyperlink"/>
          </w:rPr>
          <w:t xml:space="preserve">https://github.com/epiforecasts/covid-rt-estimate</w:t>
        </w:r>
      </w:hyperlink>
      <w:r>
        <w:t xml:space="preserve">).</w:t>
      </w:r>
    </w:p>
    <w:bookmarkEnd w:id="32"/>
    <w:bookmarkStart w:id="33" w:name="X6f18032d4415b4131eb2cd55ad09cf974f76266"/>
    <w:p>
      <w:pPr>
        <w:pStyle w:val="Heading2"/>
      </w:pPr>
      <w:r>
        <w:rPr>
          <w:rStyle w:val="SectionNumber"/>
        </w:rPr>
        <w:t xml:space="preserve">3.9</w:t>
      </w:r>
      <w:r>
        <w:tab/>
      </w:r>
      <w:r>
        <w:t xml:space="preserve">Website, summarised estimates, and interactivity</w:t>
      </w:r>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bookmarkEnd w:id="33"/>
    <w:bookmarkEnd w:id="34"/>
    <w:bookmarkStart w:id="35" w:name="results"/>
    <w:p>
      <w:pPr>
        <w:pStyle w:val="Heading1"/>
      </w:pPr>
      <w:r>
        <w:rPr>
          <w:rStyle w:val="SectionNumber"/>
        </w:rPr>
        <w:t xml:space="preserve">4</w:t>
      </w:r>
      <w:r>
        <w:tab/>
      </w:r>
      <w:r>
        <w:t xml:space="preserve">Results</w:t>
      </w:r>
    </w:p>
    <w:p>
      <w:pPr>
        <w:pStyle w:val="FirstParagraph"/>
      </w:pPr>
      <w:r>
        <w:t xml:space="preserve">Estimates of the reproduction number, trajectories of infections, and forecasts are displayed on a dedicated website as both maps and time series, and made available to download in tabular form.</w:t>
      </w:r>
    </w:p>
    <w:bookmarkEnd w:id="35"/>
    <w:bookmarkStart w:id="53" w:name="discussion"/>
    <w:p>
      <w:pPr>
        <w:pStyle w:val="Heading1"/>
      </w:pPr>
      <w:r>
        <w:rPr>
          <w:rStyle w:val="SectionNumber"/>
        </w:rPr>
        <w:t xml:space="preserve">5</w:t>
      </w:r>
      <w:r>
        <w:tab/>
      </w:r>
      <w:r>
        <w:t xml:space="preserve">Discussion</w:t>
      </w:r>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bookmarkStart w:id="38" w:name="data-availability"/>
    <w:p>
      <w:pPr>
        <w:pStyle w:val="Heading2"/>
      </w:pPr>
      <w:r>
        <w:rPr>
          <w:rStyle w:val="SectionNumber"/>
        </w:rPr>
        <w:t xml:space="preserve">5.1</w:t>
      </w:r>
      <w:r>
        <w:tab/>
      </w:r>
      <w:r>
        <w:t xml:space="preserve">Data availability</w:t>
      </w:r>
    </w:p>
    <w:p>
      <w:pPr>
        <w:pStyle w:val="FirstParagraph"/>
      </w:pPr>
      <w:r>
        <w:t xml:space="preserve">Latest data:</w:t>
      </w:r>
      <w:r>
        <w:t xml:space="preserve"> </w:t>
      </w:r>
      <w:hyperlink r:id="rId36">
        <w:r>
          <w:rPr>
            <w:rStyle w:val="Hyperlink"/>
          </w:rPr>
          <w:t xml:space="preserve">https://dataverse.harvard.edu/dataverse/covid-rt</w:t>
        </w:r>
      </w:hyperlink>
    </w:p>
    <w:p>
      <w:pPr>
        <w:pStyle w:val="BodyText"/>
      </w:pPr>
      <w:r>
        <w:t xml:space="preserve">Archived data at the time of publication:</w:t>
      </w:r>
      <w:r>
        <w:t xml:space="preserve"> </w:t>
      </w:r>
      <w:hyperlink r:id="rId36">
        <w:r>
          <w:rPr>
            <w:rStyle w:val="Hyperlink"/>
          </w:rPr>
          <w:t xml:space="preserve">https://dataverse.harvard.edu/dataverse/covid-rt</w:t>
        </w:r>
      </w:hyperlink>
    </w:p>
    <w:p>
      <w:pPr>
        <w:pStyle w:val="BodyText"/>
      </w:pPr>
      <w:r>
        <w:t xml:space="preserve">License:</w:t>
      </w:r>
      <w:r>
        <w:t xml:space="preserve"> </w:t>
      </w:r>
      <w:hyperlink r:id="rId37">
        <w:r>
          <w:rPr>
            <w:rStyle w:val="Hyperlink"/>
          </w:rPr>
          <w:t xml:space="preserve">MIT</w:t>
        </w:r>
      </w:hyperlink>
    </w:p>
    <w:bookmarkEnd w:id="38"/>
    <w:bookmarkStart w:id="50" w:name="software-availability"/>
    <w:p>
      <w:pPr>
        <w:pStyle w:val="Heading2"/>
      </w:pPr>
      <w:r>
        <w:rPr>
          <w:rStyle w:val="SectionNumber"/>
        </w:rPr>
        <w:t xml:space="preserve">5.2</w:t>
      </w:r>
      <w:r>
        <w:tab/>
      </w:r>
      <w:r>
        <w:t xml:space="preserve">Software availability</w:t>
      </w:r>
    </w:p>
    <w:bookmarkStart w:id="44" w:name="development"/>
    <w:p>
      <w:pPr>
        <w:pStyle w:val="Heading3"/>
      </w:pPr>
      <w:r>
        <w:rPr>
          <w:rStyle w:val="SectionNumber"/>
        </w:rPr>
        <w:t xml:space="preserve">5.2.1</w:t>
      </w:r>
      <w:r>
        <w:tab/>
      </w:r>
      <w:r>
        <w:t xml:space="preserve">Development</w:t>
      </w:r>
    </w:p>
    <w:p>
      <w:pPr>
        <w:numPr>
          <w:ilvl w:val="0"/>
          <w:numId w:val="1001"/>
        </w:numPr>
        <w:pStyle w:val="Compact"/>
      </w:pPr>
      <w:r>
        <w:t xml:space="preserve">Website (Front-end):</w:t>
      </w:r>
      <w:r>
        <w:t xml:space="preserve"> </w:t>
      </w:r>
      <w:hyperlink r:id="rId39">
        <w:r>
          <w:rPr>
            <w:rStyle w:val="Hyperlink"/>
          </w:rPr>
          <w:t xml:space="preserve">https://github.com/epiforecasts/covid</w:t>
        </w:r>
      </w:hyperlink>
    </w:p>
    <w:p>
      <w:pPr>
        <w:numPr>
          <w:ilvl w:val="0"/>
          <w:numId w:val="1001"/>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1"/>
        </w:numPr>
        <w:pStyle w:val="Compact"/>
      </w:pPr>
      <w:r>
        <w:rPr>
          <w:iCs/>
          <w:i/>
        </w:rPr>
        <w:t xml:space="preserve">EpiNow2</w:t>
      </w:r>
      <w:r>
        <w:t xml:space="preserve"> </w:t>
      </w:r>
      <w:r>
        <w:t xml:space="preserve">R package (R estimation, data processing, visualisation and reporting):</w:t>
      </w:r>
      <w:r>
        <w:t xml:space="preserve"> </w:t>
      </w:r>
      <w:hyperlink r:id="rId41">
        <w:r>
          <w:rPr>
            <w:rStyle w:val="Hyperlink"/>
          </w:rPr>
          <w:t xml:space="preserve">https://github.com/epiforecasts/EpiNow2</w:t>
        </w:r>
      </w:hyperlink>
    </w:p>
    <w:p>
      <w:pPr>
        <w:numPr>
          <w:ilvl w:val="0"/>
          <w:numId w:val="1001"/>
        </w:numPr>
        <w:pStyle w:val="Compact"/>
      </w:pPr>
      <w:r>
        <w:rPr>
          <w:iCs/>
          <w:i/>
        </w:rPr>
        <w:t xml:space="preserve">covidregionaldata</w:t>
      </w:r>
      <w:r>
        <w:t xml:space="preserve"> </w:t>
      </w:r>
      <w:r>
        <w:t xml:space="preserve">R package (data aggregation and processing):</w:t>
      </w:r>
      <w:r>
        <w:t xml:space="preserve"> </w:t>
      </w:r>
      <w:hyperlink r:id="rId42">
        <w:r>
          <w:rPr>
            <w:rStyle w:val="Hyperlink"/>
          </w:rPr>
          <w:t xml:space="preserve">https://github.com/epiforecasts/covidregionaldata</w:t>
        </w:r>
      </w:hyperlink>
    </w:p>
    <w:p>
      <w:pPr>
        <w:numPr>
          <w:ilvl w:val="0"/>
          <w:numId w:val="1001"/>
        </w:numPr>
        <w:pStyle w:val="Compact"/>
      </w:pPr>
      <w:r>
        <w:rPr>
          <w:iCs/>
          <w:i/>
        </w:rPr>
        <w:t xml:space="preserve">RtD3</w:t>
      </w:r>
      <w:r>
        <w:t xml:space="preserve"> </w:t>
      </w:r>
      <w:r>
        <w:t xml:space="preserve">R package (interative visualisation):</w:t>
      </w:r>
      <w:r>
        <w:t xml:space="preserve"> </w:t>
      </w:r>
      <w:hyperlink r:id="rId43">
        <w:r>
          <w:rPr>
            <w:rStyle w:val="Hyperlink"/>
          </w:rPr>
          <w:t xml:space="preserve">https://github.com/epiforecasts/RtD3</w:t>
        </w:r>
      </w:hyperlink>
    </w:p>
    <w:bookmarkEnd w:id="44"/>
    <w:bookmarkStart w:id="49" w:name="archived-at-the-time-of-publication"/>
    <w:p>
      <w:pPr>
        <w:pStyle w:val="Heading3"/>
      </w:pPr>
      <w:r>
        <w:rPr>
          <w:rStyle w:val="SectionNumber"/>
        </w:rPr>
        <w:t xml:space="preserve">5.2.2</w:t>
      </w:r>
      <w:r>
        <w:tab/>
      </w:r>
      <w:r>
        <w:t xml:space="preserve">Archived at the time of publication</w:t>
      </w:r>
    </w:p>
    <w:p>
      <w:pPr>
        <w:numPr>
          <w:ilvl w:val="0"/>
          <w:numId w:val="1002"/>
        </w:numPr>
        <w:pStyle w:val="Compact"/>
      </w:pPr>
      <w:r>
        <w:t xml:space="preserve">Website:</w:t>
      </w:r>
      <w:r>
        <w:t xml:space="preserve"> </w:t>
      </w:r>
      <w:hyperlink r:id="rId45">
        <w:r>
          <w:rPr>
            <w:rStyle w:val="Hyperlink"/>
          </w:rPr>
          <w:t xml:space="preserve">https://doi.org/10.5281/zenodo.3841818</w:t>
        </w:r>
      </w:hyperlink>
    </w:p>
    <w:p>
      <w:pPr>
        <w:numPr>
          <w:ilvl w:val="0"/>
          <w:numId w:val="1002"/>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2"/>
        </w:numPr>
        <w:pStyle w:val="Compact"/>
      </w:pPr>
      <w:r>
        <w:rPr>
          <w:iCs/>
          <w:i/>
        </w:rPr>
        <w:t xml:space="preserve">EpiNow2</w:t>
      </w:r>
      <w:r>
        <w:t xml:space="preserve"> </w:t>
      </w:r>
      <w:r>
        <w:t xml:space="preserve">R package</w:t>
      </w:r>
      <w:r>
        <w:t xml:space="preserve"> </w:t>
      </w:r>
      <w:r>
        <w:t xml:space="preserve">[10]</w:t>
      </w:r>
      <w:r>
        <w:t xml:space="preserve">:</w:t>
      </w:r>
      <w:r>
        <w:t xml:space="preserve"> </w:t>
      </w:r>
      <w:hyperlink r:id="rId46">
        <w:r>
          <w:rPr>
            <w:rStyle w:val="Hyperlink"/>
          </w:rPr>
          <w:t xml:space="preserve">https://doi.org/10.5281/zenodo.3957489</w:t>
        </w:r>
      </w:hyperlink>
    </w:p>
    <w:p>
      <w:pPr>
        <w:numPr>
          <w:ilvl w:val="0"/>
          <w:numId w:val="1002"/>
        </w:numPr>
        <w:pStyle w:val="Compact"/>
      </w:pPr>
      <w:r>
        <w:rPr>
          <w:iCs/>
          <w:i/>
        </w:rPr>
        <w:t xml:space="preserve">covidregionaldata</w:t>
      </w:r>
      <w:r>
        <w:t xml:space="preserve"> </w:t>
      </w:r>
      <w:r>
        <w:t xml:space="preserve">R package</w:t>
      </w:r>
      <w:r>
        <w:t xml:space="preserve"> </w:t>
      </w:r>
      <w:r>
        <w:t xml:space="preserve">[11]</w:t>
      </w:r>
      <w:r>
        <w:t xml:space="preserve">:</w:t>
      </w:r>
      <w:r>
        <w:t xml:space="preserve"> </w:t>
      </w:r>
      <w:hyperlink r:id="rId47">
        <w:r>
          <w:rPr>
            <w:rStyle w:val="Hyperlink"/>
          </w:rPr>
          <w:t xml:space="preserve">https://doi.org/10.5281/zenodo.3957539</w:t>
        </w:r>
      </w:hyperlink>
    </w:p>
    <w:p>
      <w:pPr>
        <w:numPr>
          <w:ilvl w:val="0"/>
          <w:numId w:val="1002"/>
        </w:numPr>
        <w:pStyle w:val="Compact"/>
      </w:pPr>
      <w:r>
        <w:rPr>
          <w:iCs/>
          <w:i/>
        </w:rPr>
        <w:t xml:space="preserve">RtD3</w:t>
      </w:r>
      <w:r>
        <w:t xml:space="preserve"> </w:t>
      </w:r>
      <w:r>
        <w:t xml:space="preserve">[24]</w:t>
      </w:r>
      <w:r>
        <w:t xml:space="preserve">:</w:t>
      </w:r>
      <w:r>
        <w:t xml:space="preserve"> </w:t>
      </w:r>
      <w:hyperlink r:id="rId48">
        <w:r>
          <w:rPr>
            <w:rStyle w:val="Hyperlink"/>
          </w:rPr>
          <w:t xml:space="preserve">https://doi.org/10.5281/zenodo.4011841</w:t>
        </w:r>
      </w:hyperlink>
    </w:p>
    <w:p>
      <w:pPr>
        <w:pStyle w:val="FirstParagraph"/>
      </w:pPr>
      <w:r>
        <w:t xml:space="preserve">License:</w:t>
      </w:r>
      <w:r>
        <w:t xml:space="preserve"> </w:t>
      </w:r>
      <w:hyperlink r:id="rId37">
        <w:r>
          <w:rPr>
            <w:rStyle w:val="Hyperlink"/>
          </w:rPr>
          <w:t xml:space="preserve">MIT</w:t>
        </w:r>
      </w:hyperlink>
    </w:p>
    <w:bookmarkEnd w:id="49"/>
    <w:bookmarkEnd w:id="50"/>
    <w:bookmarkStart w:id="51" w:name="acknowledgements"/>
    <w:p>
      <w:pPr>
        <w:pStyle w:val="Heading2"/>
      </w:pPr>
      <w:r>
        <w:rPr>
          <w:rStyle w:val="SectionNumber"/>
        </w:rPr>
        <w:t xml:space="preserve">5.3</w:t>
      </w:r>
      <w:r>
        <w:tab/>
      </w:r>
      <w:r>
        <w:t xml:space="preserve">Acknowledgements</w:t>
      </w:r>
    </w:p>
    <w:p>
      <w:pPr>
        <w:pStyle w:val="FirstParagraph"/>
      </w:pPr>
      <w:r>
        <w:t xml:space="preserve">This project was enabled through access to the</w:t>
      </w:r>
      <w:r>
        <w:t xml:space="preserve"> </w:t>
      </w:r>
      <w:r>
        <w:rPr>
          <w:bCs/>
          <w:b/>
        </w:rPr>
        <w:t xml:space="preserve">MRC eMedLab Medical Bioinformatics infrastructure</w:t>
      </w:r>
      <w:r>
        <w:t xml:space="preserve">, supported by the</w:t>
      </w:r>
      <w:r>
        <w:t xml:space="preserve"> </w:t>
      </w:r>
      <w:r>
        <w:rPr>
          <w:bCs/>
          <w:b/>
        </w:rPr>
        <w:t xml:space="preserve">Medical Research Council</w:t>
      </w:r>
      <w:r>
        <w:t xml:space="preserve"> </w:t>
      </w:r>
      <w:r>
        <w:t xml:space="preserve">(MR/L016311/1). Additional compute infrastructure and support was provided by the</w:t>
      </w:r>
      <w:r>
        <w:t xml:space="preserve"> </w:t>
      </w:r>
      <w:r>
        <w:rPr>
          <w:bCs/>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bookmarkEnd w:id="51"/>
    <w:bookmarkStart w:id="52" w:name="funding"/>
    <w:p>
      <w:pPr>
        <w:pStyle w:val="Heading2"/>
      </w:pPr>
      <w:r>
        <w:rPr>
          <w:rStyle w:val="SectionNumber"/>
        </w:rPr>
        <w:t xml:space="preserve">5.4</w:t>
      </w:r>
      <w:r>
        <w:tab/>
      </w:r>
      <w:r>
        <w:t xml:space="preserve">Funding</w:t>
      </w:r>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bookmarkEnd w:id="52"/>
    <w:bookmarkEnd w:id="53"/>
    <w:bookmarkStart w:id="93" w:name="references"/>
    <w:p>
      <w:pPr>
        <w:pStyle w:val="Heading1"/>
      </w:pPr>
      <w:r>
        <w:t xml:space="preserve">References</w:t>
      </w:r>
    </w:p>
    <w:bookmarkStart w:id="92" w:name="refs"/>
    <w:bookmarkStart w:id="54" w:name="ref-Linton:2020gg"/>
    <w:p>
      <w:pPr>
        <w:pStyle w:val="Bibliography"/>
      </w:pPr>
      <w:r>
        <w:t xml:space="preserve">1</w:t>
      </w:r>
      <w:r>
        <w:t xml:space="preserve"> </w:t>
      </w:r>
      <w:r>
        <w:t xml:space="preserve">	</w:t>
      </w:r>
      <w:r>
        <w:t xml:space="preserve">Linton NM, Kobayashi T, Yang Y,</w:t>
      </w:r>
      <w:r>
        <w:t xml:space="preserve"> </w:t>
      </w:r>
      <w:r>
        <w:rPr>
          <w:iCs/>
          <w:i/>
        </w:rPr>
        <w:t xml:space="preserve">et al.</w:t>
      </w:r>
      <w:r>
        <w:t xml:space="preserve"> Incubation period and other epidemiological characteristics of 2019 novel coronavirus infections with right truncation: A statistical analysis of publicly available case data.</w:t>
      </w:r>
      <w:r>
        <w:t xml:space="preserve"> </w:t>
      </w:r>
      <w:r>
        <w:rPr>
          <w:iCs/>
          <w:i/>
        </w:rPr>
        <w:t xml:space="preserve">Journal of clinical medicine</w:t>
      </w:r>
      <w:r>
        <w:t xml:space="preserve"> </w:t>
      </w:r>
      <w:r>
        <w:t xml:space="preserve">2020;</w:t>
      </w:r>
      <w:r>
        <w:rPr>
          <w:bCs/>
          <w:b/>
        </w:rPr>
        <w:t xml:space="preserve">9</w:t>
      </w:r>
      <w:r>
        <w:t xml:space="preserve">.</w:t>
      </w:r>
    </w:p>
    <w:bookmarkEnd w:id="54"/>
    <w:bookmarkStart w:id="55" w:name="ref-Cori:2017fg"/>
    <w:p>
      <w:pPr>
        <w:pStyle w:val="Bibliography"/>
      </w:pPr>
      <w:r>
        <w:t xml:space="preserve">2</w:t>
      </w:r>
      <w:r>
        <w:t xml:space="preserve"> </w:t>
      </w:r>
      <w:r>
        <w:t xml:space="preserve">	</w:t>
      </w:r>
      <w:r>
        <w:t xml:space="preserve">Cori A, Donnelly CA, Dorigatti I,</w:t>
      </w:r>
      <w:r>
        <w:t xml:space="preserve"> </w:t>
      </w:r>
      <w:r>
        <w:rPr>
          <w:iCs/>
          <w:i/>
        </w:rPr>
        <w:t xml:space="preserve">et al.</w:t>
      </w:r>
      <w:r>
        <w:t xml:space="preserve"> Key data for outbreak evaluation: Building on the ebola experience.</w:t>
      </w:r>
      <w:r>
        <w:t xml:space="preserve"> </w:t>
      </w:r>
      <w:r>
        <w:rPr>
          <w:iCs/>
          <w:i/>
        </w:rPr>
        <w:t xml:space="preserve">Philosophical transactions of the Royal Society of London Series B, Biological sciences</w:t>
      </w:r>
      <w:r>
        <w:t xml:space="preserve"> </w:t>
      </w:r>
      <w:r>
        <w:t xml:space="preserve">2017;</w:t>
      </w:r>
      <w:r>
        <w:rPr>
          <w:bCs/>
          <w:b/>
        </w:rPr>
        <w:t xml:space="preserve">372</w:t>
      </w:r>
      <w:r>
        <w:t xml:space="preserve">.</w:t>
      </w:r>
    </w:p>
    <w:bookmarkEnd w:id="55"/>
    <w:bookmarkStart w:id="56" w:name="ref-Mizumoto:2020ct"/>
    <w:p>
      <w:pPr>
        <w:pStyle w:val="Bibliography"/>
      </w:pPr>
      <w:r>
        <w:t xml:space="preserve">3</w:t>
      </w:r>
      <w:r>
        <w:t xml:space="preserve"> </w:t>
      </w:r>
      <w:r>
        <w:t xml:space="preserve">	</w:t>
      </w:r>
      <w:r>
        <w:t xml:space="preserve">Mizumoto K, Kagaya K, Zarebski A,</w:t>
      </w:r>
      <w:r>
        <w:t xml:space="preserve"> </w:t>
      </w:r>
      <w:r>
        <w:rPr>
          <w:iCs/>
          <w:i/>
        </w:rPr>
        <w:t xml:space="preserve">et al.</w:t>
      </w:r>
      <w:r>
        <w:t xml:space="preserve"> Estimating the asymptomatic proportion of coronavirus disease 2019 (COVID-19) cases on board the diamond princess cruise ship, yokohama, japan, 2020.</w:t>
      </w:r>
      <w:r>
        <w:t xml:space="preserve"> </w:t>
      </w:r>
      <w:r>
        <w:rPr>
          <w:iCs/>
          <w:i/>
        </w:rPr>
        <w:t xml:space="preserve">Eurosurveillance : bulletin Europeen sur les maladies transmissibles = European communicable disease bulletin</w:t>
      </w:r>
      <w:r>
        <w:t xml:space="preserve"> </w:t>
      </w:r>
      <w:r>
        <w:t xml:space="preserve">2020;</w:t>
      </w:r>
      <w:r>
        <w:rPr>
          <w:bCs/>
          <w:b/>
        </w:rPr>
        <w:t xml:space="preserve">25</w:t>
      </w:r>
      <w:r>
        <w:t xml:space="preserve">.</w:t>
      </w:r>
    </w:p>
    <w:bookmarkEnd w:id="56"/>
    <w:bookmarkStart w:id="57" w:name="ref-Donker:2011fk"/>
    <w:p>
      <w:pPr>
        <w:pStyle w:val="Bibliography"/>
      </w:pPr>
      <w:r>
        <w:t xml:space="preserve">4</w:t>
      </w:r>
      <w:r>
        <w:t xml:space="preserve"> </w:t>
      </w:r>
      <w:r>
        <w:t xml:space="preserve">	</w:t>
      </w:r>
      <w:r>
        <w:t xml:space="preserve">Donker T, Boven M van, Ballegooijen WM van,</w:t>
      </w:r>
      <w:r>
        <w:t xml:space="preserve"> </w:t>
      </w:r>
      <w:r>
        <w:rPr>
          <w:iCs/>
          <w:i/>
        </w:rPr>
        <w:t xml:space="preserve">et al.</w:t>
      </w:r>
      <w:r>
        <w:t xml:space="preserve"> Nowcasting pandemic influenza a/H1N1 2009 hospitalizations in the netherlands.</w:t>
      </w:r>
      <w:r>
        <w:t xml:space="preserve"> </w:t>
      </w:r>
      <w:r>
        <w:rPr>
          <w:iCs/>
          <w:i/>
        </w:rPr>
        <w:t xml:space="preserve">European journal of epidemiology</w:t>
      </w:r>
      <w:r>
        <w:t xml:space="preserve"> </w:t>
      </w:r>
      <w:r>
        <w:t xml:space="preserve">2011;</w:t>
      </w:r>
      <w:r>
        <w:rPr>
          <w:bCs/>
          <w:b/>
        </w:rPr>
        <w:t xml:space="preserve">26</w:t>
      </w:r>
      <w:r>
        <w:t xml:space="preserve">:195–201.</w:t>
      </w:r>
    </w:p>
    <w:bookmarkEnd w:id="57"/>
    <w:bookmarkStart w:id="58" w:name="ref-vandeKassteele:2019cn"/>
    <w:p>
      <w:pPr>
        <w:pStyle w:val="Bibliography"/>
      </w:pPr>
      <w:r>
        <w:t xml:space="preserve">5</w:t>
      </w:r>
      <w:r>
        <w:t xml:space="preserve"> </w:t>
      </w:r>
      <w:r>
        <w:t xml:space="preserve">	</w:t>
      </w:r>
      <w:r>
        <w:t xml:space="preserve">Kassteele J van de, Eilers PHC, Wallinga J. Nowcasting the number of new symptomatic cases during infectious disease outbreaks using constrained p-spline smoothing.</w:t>
      </w:r>
      <w:r>
        <w:t xml:space="preserve"> </w:t>
      </w:r>
      <w:r>
        <w:rPr>
          <w:iCs/>
          <w:i/>
        </w:rPr>
        <w:t xml:space="preserve">Epidemiology (Cambridge, Mass)</w:t>
      </w:r>
      <w:r>
        <w:t xml:space="preserve"> </w:t>
      </w:r>
      <w:r>
        <w:t xml:space="preserve">2019;</w:t>
      </w:r>
      <w:r>
        <w:rPr>
          <w:bCs/>
          <w:b/>
        </w:rPr>
        <w:t xml:space="preserve">30</w:t>
      </w:r>
      <w:r>
        <w:t xml:space="preserve">:737–45.</w:t>
      </w:r>
    </w:p>
    <w:bookmarkEnd w:id="58"/>
    <w:bookmarkStart w:id="60" w:name="ref-cori2013"/>
    <w:p>
      <w:pPr>
        <w:pStyle w:val="Bibliography"/>
      </w:pPr>
      <w:r>
        <w:t xml:space="preserve">6</w:t>
      </w:r>
      <w:r>
        <w:t xml:space="preserve"> </w:t>
      </w:r>
      <w:r>
        <w:t xml:space="preserve">	</w:t>
      </w:r>
      <w:r>
        <w:t xml:space="preserve">Cori A, Ferguson NM, Fraser C,</w:t>
      </w:r>
      <w:r>
        <w:t xml:space="preserve"> </w:t>
      </w:r>
      <w:r>
        <w:rPr>
          <w:iCs/>
          <w:i/>
        </w:rPr>
        <w:t xml:space="preserve">et al.</w:t>
      </w:r>
      <w:r>
        <w:t xml:space="preserve"> A new framework and software to estimate time-varying reproduction numbers during epidemics.</w:t>
      </w:r>
      <w:r>
        <w:t xml:space="preserve"> </w:t>
      </w:r>
      <w:r>
        <w:rPr>
          <w:iCs/>
          <w:i/>
        </w:rPr>
        <w:t xml:space="preserve">American Journal of Epidemiology</w:t>
      </w:r>
      <w:r>
        <w:t xml:space="preserve"> </w:t>
      </w:r>
      <w:r>
        <w:t xml:space="preserve">2013;</w:t>
      </w:r>
      <w:r>
        <w:rPr>
          <w:bCs/>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w:t>
      </w:r>
      <w:r>
        <w:t xml:space="preserve"> </w:t>
      </w:r>
      <w:r>
        <w:t xml:space="preserve">	</w:t>
      </w:r>
      <w:r>
        <w:t xml:space="preserve">Thompson RN, Stockwin JE, Gaalen RD van,</w:t>
      </w:r>
      <w:r>
        <w:t xml:space="preserve"> </w:t>
      </w:r>
      <w:r>
        <w:rPr>
          <w:iCs/>
          <w:i/>
        </w:rPr>
        <w:t xml:space="preserve">et al.</w:t>
      </w:r>
      <w:r>
        <w:t xml:space="preserve"> Improved inference of time-varying reproduction numbers during infectious disease outbreaks.</w:t>
      </w:r>
      <w:r>
        <w:t xml:space="preserve"> </w:t>
      </w:r>
      <w:r>
        <w:rPr>
          <w:iCs/>
          <w:i/>
        </w:rPr>
        <w:t xml:space="preserve">Epidemics</w:t>
      </w:r>
      <w:r>
        <w:t xml:space="preserve"> </w:t>
      </w:r>
      <w:r>
        <w:t xml:space="preserve">2019;</w:t>
      </w:r>
      <w:r>
        <w:rPr>
          <w:bCs/>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w:t>
      </w:r>
      <w:r>
        <w:t xml:space="preserve"> </w:t>
      </w:r>
      <w:r>
        <w:t xml:space="preserve">	</w:t>
      </w:r>
      <w:r>
        <w:t xml:space="preserve">Fraser C. Estimating individual and household reproduction numbers in an emerging epidemic.</w:t>
      </w:r>
      <w:r>
        <w:t xml:space="preserve"> </w:t>
      </w:r>
      <w:r>
        <w:rPr>
          <w:iCs/>
          <w:i/>
        </w:rPr>
        <w:t xml:space="preserve">PloS one</w:t>
      </w:r>
      <w:r>
        <w:t xml:space="preserve"> </w:t>
      </w:r>
      <w:r>
        <w:t xml:space="preserve">2007;</w:t>
      </w:r>
      <w:r>
        <w:rPr>
          <w:bCs/>
          <w:b/>
        </w:rPr>
        <w:t xml:space="preserve">2</w:t>
      </w:r>
      <w:r>
        <w:t xml:space="preserve">:e758.</w:t>
      </w:r>
    </w:p>
    <w:bookmarkEnd w:id="63"/>
    <w:bookmarkStart w:id="64" w:name="ref-dataverse"/>
    <w:p>
      <w:pPr>
        <w:pStyle w:val="Bibliography"/>
      </w:pPr>
      <w:r>
        <w:t xml:space="preserve">9</w:t>
      </w:r>
      <w:r>
        <w:t xml:space="preserve"> </w:t>
      </w:r>
      <w:r>
        <w:t xml:space="preserve">	</w:t>
      </w:r>
      <w:r>
        <w:t xml:space="preserve">Abbott S, Hickson J, Allen J,</w:t>
      </w:r>
      <w:r>
        <w:t xml:space="preserve"> </w:t>
      </w:r>
      <w:r>
        <w:rPr>
          <w:iCs/>
          <w:i/>
        </w:rPr>
        <w:t xml:space="preserve">et al.</w:t>
      </w:r>
      <w:r>
        <w:t xml:space="preserve"> National and subnational estimates of the time-varying reproduction number of SARS-CoV-2. 2020.</w:t>
      </w:r>
      <w:hyperlink r:id="rId36">
        <w:r>
          <w:rPr>
            <w:rStyle w:val="Hyperlink"/>
          </w:rPr>
          <w:t xml:space="preserve">https://dataverse.harvard.edu/dataverse/covid-rt</w:t>
        </w:r>
      </w:hyperlink>
    </w:p>
    <w:bookmarkEnd w:id="64"/>
    <w:bookmarkStart w:id="65" w:name="ref-epinow2"/>
    <w:p>
      <w:pPr>
        <w:pStyle w:val="Bibliography"/>
      </w:pPr>
      <w:r>
        <w:t xml:space="preserve">10</w:t>
      </w:r>
      <w:r>
        <w:t xml:space="preserve"> </w:t>
      </w:r>
      <w:r>
        <w:t xml:space="preserve">	</w:t>
      </w:r>
      <w:r>
        <w:t xml:space="preserve">Abbott S, Hellewell J, Hickson J,</w:t>
      </w:r>
      <w:r>
        <w:t xml:space="preserve"> </w:t>
      </w:r>
      <w:r>
        <w:rPr>
          <w:iCs/>
          <w:i/>
        </w:rPr>
        <w:t xml:space="preserve">et al.</w:t>
      </w:r>
      <w:r>
        <w:t xml:space="preserve"> EpiNow2: Estimate real-time case counts and time-varying epidemiological parameters.</w:t>
      </w:r>
      <w:r>
        <w:t xml:space="preserve"> </w:t>
      </w:r>
      <w:r>
        <w:rPr>
          <w:iCs/>
          <w:i/>
        </w:rPr>
        <w:t xml:space="preserve">-</w:t>
      </w:r>
      <w:r>
        <w:t xml:space="preserve"> </w:t>
      </w:r>
      <w:r>
        <w:t xml:space="preserve">2020;</w:t>
      </w:r>
      <w:r>
        <w:rPr>
          <w:bCs/>
          <w:b/>
        </w:rPr>
        <w:t xml:space="preserve">-</w:t>
      </w:r>
      <w:r>
        <w:t xml:space="preserve">:–. doi:</w:t>
      </w:r>
      <w:hyperlink r:id="rId46">
        <w:r>
          <w:rPr>
            <w:rStyle w:val="Hyperlink"/>
          </w:rPr>
          <w:t xml:space="preserve">10.5281/zenodo.3957489</w:t>
        </w:r>
      </w:hyperlink>
    </w:p>
    <w:bookmarkEnd w:id="65"/>
    <w:bookmarkStart w:id="66" w:name="ref-covidregionaldata"/>
    <w:p>
      <w:pPr>
        <w:pStyle w:val="Bibliography"/>
      </w:pPr>
      <w:r>
        <w:t xml:space="preserve">11</w:t>
      </w:r>
      <w:r>
        <w:t xml:space="preserve"> </w:t>
      </w:r>
      <w:r>
        <w:t xml:space="preserve">	</w:t>
      </w:r>
      <w:r>
        <w:t xml:space="preserve">Abbott S, Sherratt K, Bevan J,</w:t>
      </w:r>
      <w:r>
        <w:t xml:space="preserve"> </w:t>
      </w:r>
      <w:r>
        <w:rPr>
          <w:iCs/>
          <w:i/>
        </w:rPr>
        <w:t xml:space="preserve">et al.</w:t>
      </w:r>
      <w:r>
        <w:t xml:space="preserve"> Covidregionaldata: Subnational data for the covid-19 outbreak.</w:t>
      </w:r>
      <w:r>
        <w:t xml:space="preserve"> </w:t>
      </w:r>
      <w:r>
        <w:rPr>
          <w:iCs/>
          <w:i/>
        </w:rPr>
        <w:t xml:space="preserve">-</w:t>
      </w:r>
      <w:r>
        <w:t xml:space="preserve"> </w:t>
      </w:r>
      <w:r>
        <w:t xml:space="preserve">2020;</w:t>
      </w:r>
      <w:r>
        <w:rPr>
          <w:bCs/>
          <w:b/>
        </w:rPr>
        <w:t xml:space="preserve">-</w:t>
      </w:r>
      <w:r>
        <w:t xml:space="preserve">:–. doi:</w:t>
      </w:r>
      <w:hyperlink r:id="rId47">
        <w:r>
          <w:rPr>
            <w:rStyle w:val="Hyperlink"/>
          </w:rPr>
          <w:t xml:space="preserve">10.5281/zenodo.3957539</w:t>
        </w:r>
      </w:hyperlink>
    </w:p>
    <w:bookmarkEnd w:id="66"/>
    <w:bookmarkStart w:id="68" w:name="ref-ecdc_data"/>
    <w:p>
      <w:pPr>
        <w:pStyle w:val="Bibliography"/>
      </w:pPr>
      <w:r>
        <w:t xml:space="preserve">12</w:t>
      </w:r>
      <w:r>
        <w:t xml:space="preserve"> </w:t>
      </w:r>
      <w:r>
        <w:t xml:space="preserve">	</w:t>
      </w:r>
      <w:r>
        <w:t xml:space="preserve">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w:t>
      </w:r>
      <w:r>
        <w:t xml:space="preserve"> </w:t>
      </w:r>
      <w:r>
        <w:t xml:space="preserve">	</w:t>
      </w:r>
      <w:r>
        <w:t xml:space="preserve">Xu B, Gutierrez B, Hill S,</w:t>
      </w:r>
      <w:r>
        <w:t xml:space="preserve"> </w:t>
      </w:r>
      <w:r>
        <w:rPr>
          <w:iCs/>
          <w:i/>
        </w:rPr>
        <w:t xml:space="preserve">et al.</w:t>
      </w:r>
      <w:r>
        <w:t xml:space="preserve"> 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w:t>
      </w:r>
      <w:r>
        <w:t xml:space="preserve"> </w:t>
      </w:r>
      <w:r>
        <w:t xml:space="preserve">	</w:t>
      </w:r>
      <w:r>
        <w:t xml:space="preserve">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w:t>
      </w:r>
      <w:r>
        <w:t xml:space="preserve"> </w:t>
      </w:r>
      <w:r>
        <w:t xml:space="preserve">	</w:t>
      </w:r>
      <w:r>
        <w:t xml:space="preserve">Imai N, Cori A, Dorigatti Ii,</w:t>
      </w:r>
      <w:r>
        <w:t xml:space="preserve"> </w:t>
      </w:r>
      <w:r>
        <w:rPr>
          <w:iCs/>
          <w:i/>
        </w:rPr>
        <w:t xml:space="preserve">et al.</w:t>
      </w:r>
      <w:r>
        <w:t xml:space="preserve"> 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w:t>
      </w:r>
      <w:r>
        <w:t xml:space="preserve"> </w:t>
      </w:r>
      <w:r>
        <w:t xml:space="preserve">	</w:t>
      </w:r>
      <w:r>
        <w:t xml:space="preserve">Abbott S, Hellewell J, Munday J,</w:t>
      </w:r>
      <w:r>
        <w:t xml:space="preserve"> </w:t>
      </w:r>
      <w:r>
        <w:rPr>
          <w:iCs/>
          <w:i/>
        </w:rPr>
        <w:t xml:space="preserve">et al.</w:t>
      </w:r>
      <w:r>
        <w:t xml:space="preserve"> The transmissibility of novel coronavirus in the early stages of the 2019-20 outbreak in wuhan: Exploring initial point-source exposure sizes and durations using scenario analysis.</w:t>
      </w:r>
      <w:r>
        <w:t xml:space="preserve"> </w:t>
      </w:r>
      <w:r>
        <w:rPr>
          <w:iCs/>
          <w:i/>
        </w:rPr>
        <w:t xml:space="preserve">Wellcome open research</w:t>
      </w:r>
      <w:r>
        <w:t xml:space="preserve"> </w:t>
      </w:r>
      <w:r>
        <w:t xml:space="preserve">2020;</w:t>
      </w:r>
      <w:r>
        <w:rPr>
          <w:bCs/>
          <w:b/>
        </w:rPr>
        <w:t xml:space="preserve">5</w:t>
      </w:r>
      <w:r>
        <w:t xml:space="preserve">:17.</w:t>
      </w:r>
    </w:p>
    <w:bookmarkEnd w:id="75"/>
    <w:bookmarkStart w:id="77" w:name="ref-approxGP"/>
    <w:p>
      <w:pPr>
        <w:pStyle w:val="Bibliography"/>
      </w:pPr>
      <w:r>
        <w:t xml:space="preserve">17</w:t>
      </w:r>
      <w:r>
        <w:t xml:space="preserve"> </w:t>
      </w:r>
      <w:r>
        <w:t xml:space="preserve">	</w:t>
      </w:r>
      <w:r>
        <w:t xml:space="preserve">Riutort-Mayol G, Bürkner P-C, Andersen MR,</w:t>
      </w:r>
      <w:r>
        <w:t xml:space="preserve"> </w:t>
      </w:r>
      <w:r>
        <w:rPr>
          <w:iCs/>
          <w:i/>
        </w:rPr>
        <w:t xml:space="preserve">et al.</w:t>
      </w:r>
      <w:r>
        <w:t xml:space="preserve"> 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w:t>
      </w:r>
      <w:r>
        <w:t xml:space="preserve"> </w:t>
      </w:r>
      <w:r>
        <w:t xml:space="preserve">	</w:t>
      </w:r>
      <w:r>
        <w:t xml:space="preserve">Ganyani T, Kremer C, Chen D,</w:t>
      </w:r>
      <w:r>
        <w:t xml:space="preserve"> </w:t>
      </w:r>
      <w:r>
        <w:rPr>
          <w:iCs/>
          <w:i/>
        </w:rPr>
        <w:t xml:space="preserve">et al.</w:t>
      </w:r>
      <w:r>
        <w:t xml:space="preserve"> Estimating the generation interval for coronavirus disease (COVID-19) based on symptom onset data, march 2020.</w:t>
      </w:r>
      <w:r>
        <w:t xml:space="preserve"> </w:t>
      </w:r>
      <w:r>
        <w:rPr>
          <w:iCs/>
          <w:i/>
        </w:rPr>
        <w:t xml:space="preserve">Eurosurveillance</w:t>
      </w:r>
      <w:r>
        <w:t xml:space="preserve"> </w:t>
      </w:r>
      <w:r>
        <w:t xml:space="preserve">2020;</w:t>
      </w:r>
      <w:r>
        <w:rPr>
          <w:bCs/>
          <w:b/>
        </w:rPr>
        <w:t xml:space="preserve">25</w:t>
      </w:r>
      <w:r>
        <w:t xml:space="preserve">.</w:t>
      </w:r>
    </w:p>
    <w:bookmarkEnd w:id="78"/>
    <w:bookmarkStart w:id="79" w:name="ref-incubationperiod"/>
    <w:p>
      <w:pPr>
        <w:pStyle w:val="Bibliography"/>
      </w:pPr>
      <w:r>
        <w:t xml:space="preserve">19</w:t>
      </w:r>
      <w:r>
        <w:t xml:space="preserve"> </w:t>
      </w:r>
      <w:r>
        <w:t xml:space="preserve">	</w:t>
      </w:r>
      <w:r>
        <w:t xml:space="preserve">Lauer SA, Grantz KH, Bi Q,</w:t>
      </w:r>
      <w:r>
        <w:t xml:space="preserve"> </w:t>
      </w:r>
      <w:r>
        <w:rPr>
          <w:iCs/>
          <w:i/>
        </w:rPr>
        <w:t xml:space="preserve">et al.</w:t>
      </w:r>
      <w:r>
        <w:t xml:space="preserve"> The incubation period of coronavirus disease 2019 (COVID-19) from publicly reported confirmed cases: Estimation and application.</w:t>
      </w:r>
      <w:r>
        <w:t xml:space="preserve"> </w:t>
      </w:r>
      <w:r>
        <w:rPr>
          <w:iCs/>
          <w:i/>
        </w:rPr>
        <w:t xml:space="preserve">Annals of Internal Medicine</w:t>
      </w:r>
      <w:r>
        <w:t xml:space="preserve"> </w:t>
      </w:r>
      <w:r>
        <w:t xml:space="preserve">2020;</w:t>
      </w:r>
      <w:r>
        <w:rPr>
          <w:bCs/>
          <w:b/>
        </w:rPr>
        <w:t xml:space="preserve">172</w:t>
      </w:r>
      <w:r>
        <w:t xml:space="preserve">:577–82.</w:t>
      </w:r>
    </w:p>
    <w:bookmarkEnd w:id="79"/>
    <w:bookmarkStart w:id="81" w:name="ref-Park2019"/>
    <w:p>
      <w:pPr>
        <w:pStyle w:val="Bibliography"/>
      </w:pPr>
      <w:r>
        <w:t xml:space="preserve">20</w:t>
      </w:r>
      <w:r>
        <w:t xml:space="preserve"> </w:t>
      </w:r>
      <w:r>
        <w:t xml:space="preserve">	</w:t>
      </w:r>
      <w:r>
        <w:t xml:space="preserve">Park SW, Champredon D, Weitz JS,</w:t>
      </w:r>
      <w:r>
        <w:t xml:space="preserve"> </w:t>
      </w:r>
      <w:r>
        <w:rPr>
          <w:iCs/>
          <w:i/>
        </w:rPr>
        <w:t xml:space="preserve">et al.</w:t>
      </w:r>
      <w:r>
        <w:t xml:space="preserve"> A practical generation-interval-based approach to inferring the strength of epidemics from their speed.</w:t>
      </w:r>
      <w:r>
        <w:t xml:space="preserve"> </w:t>
      </w:r>
      <w:r>
        <w:rPr>
          <w:iCs/>
          <w:i/>
        </w:rPr>
        <w:t xml:space="preserve">Epidemics</w:t>
      </w:r>
      <w:r>
        <w:t xml:space="preserve"> </w:t>
      </w:r>
      <w:r>
        <w:t xml:space="preserve">2019;</w:t>
      </w:r>
      <w:r>
        <w:rPr>
          <w:bCs/>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w:t>
      </w:r>
      <w:r>
        <w:t xml:space="preserve"> </w:t>
      </w:r>
      <w:r>
        <w:t xml:space="preserve">	</w:t>
      </w:r>
      <w:r>
        <w:t xml:space="preserve">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w:t>
      </w:r>
      <w:r>
        <w:t xml:space="preserve"> </w:t>
      </w:r>
      <w:r>
        <w:t xml:space="preserve">	</w:t>
      </w:r>
      <w:r>
        <w:t xml:space="preserve">Xie Y, Allaire JJ, Grolemund G.</w:t>
      </w:r>
      <w:r>
        <w:t xml:space="preserve"> </w:t>
      </w:r>
      <w:r>
        <w:rPr>
          <w:iCs/>
          <w:i/>
        </w:rPr>
        <w:t xml:space="preserve">R markdown: The definitive guide</w:t>
      </w:r>
      <w:r>
        <w:t xml:space="preserve">. Boca Raton, Florida: :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w:t>
      </w:r>
      <w:r>
        <w:t xml:space="preserve"> </w:t>
      </w:r>
      <w:r>
        <w:t xml:space="preserve">	</w:t>
      </w:r>
      <w:r>
        <w:t xml:space="preserve">Allaire J, Iannone R, Xie Y.</w:t>
      </w:r>
      <w:r>
        <w:t xml:space="preserve"> </w:t>
      </w:r>
      <w:r>
        <w:rPr>
          <w:iCs/>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w:t>
      </w:r>
      <w:r>
        <w:t xml:space="preserve"> </w:t>
      </w:r>
      <w:r>
        <w:t xml:space="preserve">	</w:t>
      </w:r>
      <w:r>
        <w:t xml:space="preserve">Gibbs H, Abbott S, Funk S. RtD3: Rt visualization in D3.</w:t>
      </w:r>
      <w:r>
        <w:t xml:space="preserve"> </w:t>
      </w:r>
      <w:r>
        <w:rPr>
          <w:iCs/>
          <w:i/>
        </w:rPr>
        <w:t xml:space="preserve">Zenodo</w:t>
      </w:r>
      <w:r>
        <w:t xml:space="preserve"> </w:t>
      </w:r>
      <w:r>
        <w:t xml:space="preserve">2020;</w:t>
      </w:r>
      <w:r>
        <w:rPr>
          <w:bCs/>
          <w:b/>
        </w:rPr>
        <w:t xml:space="preserve">-</w:t>
      </w:r>
      <w:r>
        <w:t xml:space="preserve">:–. doi:</w:t>
      </w:r>
      <w:hyperlink r:id="rId48">
        <w:r>
          <w:rPr>
            <w:rStyle w:val="Hyperlink"/>
          </w:rPr>
          <w:t xml:space="preserve">10.5281/zenodo.4011841</w:t>
        </w:r>
      </w:hyperlink>
    </w:p>
    <w:bookmarkEnd w:id="88"/>
    <w:bookmarkStart w:id="90" w:name="ref-rt-comparison"/>
    <w:p>
      <w:pPr>
        <w:pStyle w:val="Bibliography"/>
      </w:pPr>
      <w:r>
        <w:t xml:space="preserve">25</w:t>
      </w:r>
      <w:r>
        <w:t xml:space="preserve"> </w:t>
      </w:r>
      <w:r>
        <w:t xml:space="preserve">	</w:t>
      </w:r>
      <w:r>
        <w:t xml:space="preserve">Sherratt K, Abbott S, Meakin SR,</w:t>
      </w:r>
      <w:r>
        <w:t xml:space="preserve"> </w:t>
      </w:r>
      <w:r>
        <w:rPr>
          <w:iCs/>
          <w:i/>
        </w:rPr>
        <w:t xml:space="preserve">et al.</w:t>
      </w:r>
      <w:r>
        <w:t xml:space="preserve"> Evaluating the use of the reproduction number as an epidemiological tool, using spatio-temporal trends of the covid-19 outbreak in england.</w:t>
      </w:r>
      <w:r>
        <w:t xml:space="preserve"> </w:t>
      </w:r>
      <w:r>
        <w:rPr>
          <w:iCs/>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w:t>
      </w:r>
      <w:r>
        <w:t xml:space="preserve"> </w:t>
      </w:r>
      <w:r>
        <w:t xml:space="preserve">	</w:t>
      </w:r>
      <w:r>
        <w:t xml:space="preserve">Britton T, Scalia Tomba G. Estimation in emerging epidemics: Biases and remedies.</w:t>
      </w:r>
      <w:r>
        <w:t xml:space="preserve"> </w:t>
      </w:r>
      <w:r>
        <w:rPr>
          <w:iCs/>
          <w:i/>
        </w:rPr>
        <w:t xml:space="preserve">Journal of the Royal Society, Interface</w:t>
      </w:r>
      <w:r>
        <w:t xml:space="preserve"> </w:t>
      </w:r>
      <w:r>
        <w:t xml:space="preserve">2019;</w:t>
      </w:r>
      <w:r>
        <w:rPr>
          <w:bCs/>
          <w:b/>
        </w:rPr>
        <w:t xml:space="preserve">16</w:t>
      </w:r>
      <w:r>
        <w:t xml:space="preserve">.</w:t>
      </w:r>
    </w:p>
    <w:bookmarkEnd w:id="91"/>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2021-07-19T18:10:10Z</dcterms:created>
  <dcterms:modified xsi:type="dcterms:W3CDTF">2021-07-19T18:10:10Z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