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документами в электронном виде (ЭД) в целях признания электронной подписи (ЭП)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Используемые в Соглашении термины и определения понимаются и толкуются в соответствии со следующими нормативными правовыми актами: Гражданский кодекс Республики Беларусь, Закон Республики Беларусь от 25.11.2011 N 323-З "Об архивном деле и делопроизводстве", Закон Республики Беларусь от 28.12.2009 N 113-З "Об электронном документе и электронной цифровой подписи", Закон Республики Беларусь от 12.07.2013 N 57-З "О бухгалтерском учете и отчетности", Постановление Министерства юстиции Республики Беларусь от 19.01.2009 N 4 "Об утверждении Инструкции по делопроизводству в государственных органах, иных организациях", Постановление Министерства юстиции Республики Беларусь от 06.02.2019 N 19 "Об утверждении Инструкции о порядке работы с электронными документами в государственных органах, иных организациях",</w:t>
      </w:r>
      <w:r>
        <w:rPr>
          <w:rFonts w:eastAsia="Calibri" w:eastAsiaTheme="minorHAnsi"/>
          <w:b w:val="false"/>
          <w:bCs w:val="false"/>
          <w:kern w:val="0"/>
          <w:sz w:val="20"/>
          <w:szCs w:val="20"/>
          <w:lang w:eastAsia="en-US"/>
        </w:rPr>
        <w:t xml:space="preserve">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w:t>
        </w:r>
        <w:r>
          <w:rPr>
            <w:rStyle w:val="InternetLink"/>
            <w:rFonts w:eastAsia="Calibri" w:eastAsiaTheme="minorHAnsi"/>
            <w:b w:val="false"/>
            <w:bCs w:val="false"/>
            <w:kern w:val="0"/>
            <w:sz w:val="20"/>
            <w:szCs w:val="20"/>
            <w:lang w:val="en-US" w:eastAsia="en-US"/>
          </w:rPr>
          <w:t>by</w:t>
        </w:r>
        <w:r>
          <w:rPr>
            <w:rStyle w:val="InternetLink"/>
            <w:rFonts w:eastAsia="Calibri" w:eastAsiaTheme="minorHAnsi"/>
            <w:b w:val="false"/>
            <w:bCs w:val="false"/>
            <w:kern w:val="0"/>
            <w:sz w:val="20"/>
            <w:szCs w:val="20"/>
            <w:lang w:eastAsia="en-US"/>
          </w:rPr>
          <w:t>/abuse/sign.php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 Электронной подписи</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b/>
                <w:bCs/>
                <w:kern w:val="0"/>
                <w:sz w:val="20"/>
                <w:szCs w:val="20"/>
                <w:lang w:val="ru-RU" w:eastAsia="en-US" w:bidi="ar-SA"/>
              </w:rPr>
              <w:t>аналог собственноручной подписи, обеспечивающий идентификацию стороны по договору (ЭП)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Виды документов, подписываемых Сторонами</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ЭП, формируемый и направленный Битрикс24.Подпись Сторонам </w:t>
      </w:r>
      <w:r>
        <w:rPr>
          <w:sz w:val="20"/>
          <w:szCs w:val="20"/>
        </w:rPr>
        <w:t>посредством одного из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Стороны подтверждают, что ЭД, подписанный ЭП посредством Ключа 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документа фиксируется</w:t>
      </w:r>
      <w:r>
        <w:rPr>
          <w:rFonts w:ascii="Times New Roman" w:hAnsi="Times New Roman"/>
          <w:color w:val="000000" w:themeColor="text1"/>
          <w:sz w:val="20"/>
          <w:szCs w:val="20"/>
        </w:rPr>
        <w:t xml:space="preserve">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целостности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color w:val="000000" w:themeColor="text1"/>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ЭП, несет ответственность за ЭД, подписанные с использованием скомпрометированного Ключа 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Республики Беларусь.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8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787"/>
        <w:gridCol w:w="3177"/>
      </w:tblGrid>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3177" w:type="dxa"/>
            <w:tcBorders/>
          </w:tcPr>
          <w:p>
            <w:pPr>
              <w:pStyle w:val="Normal"/>
              <w:widowControl w:val="false"/>
              <w:suppressAutoHyphens w:val="true"/>
              <w:spacing w:before="0" w:after="0"/>
              <w:jc w:val="both"/>
              <w:rPr>
                <w:sz w:val="20"/>
                <w:szCs w:val="20"/>
                <w:lang w:val="en-US"/>
              </w:rPr>
            </w:pPr>
            <w:r>
              <w:rPr>
                <w:rFonts w:eastAsia="Calibri" w:cs="Times New Roman"/>
                <w:kern w:val="0"/>
                <w:sz w:val="20"/>
                <w:szCs w:val="20"/>
                <w:lang w:val="ru-RU" w:eastAsia="en-US" w:bidi="ar-SA"/>
              </w:rPr>
              <w:t>{RequisiteRqCompanyName}</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УНП/ паспортные данные</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{RequisiteRqInn}</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{RequisiteRegisteredAddressText}</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{MyCompanyRequisiteRqDirector~Format=#LAST_NAME# #NAME# #SECOND_NAME#}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{RequisiteRqDirector~Format=#LAST_NAME# #NAME# #SECOND_NAME#}</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w:t>
            </w:r>
            <w:r>
              <w:rPr>
                <w:rFonts w:eastAsia="Calibri" w:cs="Times New Roman"/>
                <w:kern w:val="0"/>
                <w:sz w:val="20"/>
                <w:szCs w:val="20"/>
                <w:lang w:val="en-US" w:eastAsia="en-US" w:bidi="ar-SA"/>
              </w:rPr>
              <w:t>Client</w:t>
            </w:r>
            <w:r>
              <w:rPr>
                <w:rFonts w:eastAsia="Calibri" w:cs="Times New Roman"/>
                <w:kern w:val="0"/>
                <w:sz w:val="20"/>
                <w:szCs w:val="20"/>
                <w:lang w:val="ru-RU" w:eastAsia="en-US" w:bidi="ar-SA"/>
              </w:rPr>
              <w:t>Email}</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w:t>
            </w:r>
            <w:r>
              <w:rPr>
                <w:rFonts w:eastAsia="Calibri" w:cs="Times New Roman"/>
                <w:kern w:val="0"/>
                <w:sz w:val="20"/>
                <w:szCs w:val="20"/>
                <w:lang w:val="en-US" w:eastAsia="en-US" w:bidi="ar-SA"/>
              </w:rPr>
              <w:t>Client</w:t>
            </w:r>
            <w:r>
              <w:rPr>
                <w:rFonts w:eastAsia="Calibri" w:cs="Times New Roman"/>
                <w:kern w:val="0"/>
                <w:sz w:val="20"/>
                <w:szCs w:val="20"/>
                <w:lang w:val="ru-RU" w:eastAsia="en-US" w:bidi="ar-SA"/>
              </w:rPr>
              <w:t>Phone}</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мессенджер</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w:t>
            </w:r>
            <w:r>
              <w:rPr>
                <w:rFonts w:eastAsia="Calibri" w:cs="Times New Roman"/>
                <w:kern w:val="0"/>
                <w:sz w:val="20"/>
                <w:szCs w:val="20"/>
                <w:u w:val="double"/>
                <w:lang w:val="en-US" w:eastAsia="en-US" w:bidi="ar-SA"/>
              </w:rPr>
              <w:t>Client</w:t>
            </w:r>
            <w:r>
              <w:rPr>
                <w:rFonts w:eastAsia="Calibri" w:cs="Times New Roman"/>
                <w:kern w:val="0"/>
                <w:sz w:val="20"/>
                <w:szCs w:val="20"/>
                <w:u w:val="double"/>
                <w:lang w:val="ru-RU" w:eastAsia="en-US" w:bidi="ar-SA"/>
              </w:rPr>
              <w:t>Phone</w:t>
            </w:r>
            <w:r>
              <w:rPr>
                <w:rFonts w:eastAsia="Calibri" w:cs="Times New Roman"/>
                <w:kern w:val="0"/>
                <w:sz w:val="20"/>
                <w:szCs w:val="20"/>
                <w:lang w:val="ru-RU" w:eastAsia="en-US" w:bidi="ar-SA"/>
              </w:rPr>
              <w:t>}</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11" w:customStyle="1">
    <w:name w:val="Неразрешенное упоминание1"/>
    <w:basedOn w:val="DefaultParagraphFont"/>
    <w:uiPriority w:val="99"/>
    <w:semiHidden/>
    <w:unhideWhenUsed/>
    <w:qFormat/>
    <w:rsid w:val="00be6cc2"/>
    <w:rPr>
      <w:color w:val="605E5C"/>
      <w:shd w:fill="E1DFDD" w:val="clear"/>
    </w:rPr>
  </w:style>
  <w:style w:type="character" w:styleId="Style15" w:customStyle="1">
    <w:name w:val="Текст выноски Знак"/>
    <w:basedOn w:val="DefaultParagraphFont"/>
    <w:link w:val="BalloonText"/>
    <w:uiPriority w:val="99"/>
    <w:semiHidden/>
    <w:qFormat/>
    <w:rsid w:val="008305e3"/>
    <w:rPr>
      <w:rFonts w:ascii="Tahoma" w:hAnsi="Tahoma" w:cs="Tahoma"/>
      <w:sz w:val="16"/>
      <w:szCs w:val="16"/>
    </w:rPr>
  </w:style>
  <w:style w:type="character" w:styleId="UnresolvedMention">
    <w:name w:val="Unresolved Mention"/>
    <w:basedOn w:val="DefaultParagraphFont"/>
    <w:uiPriority w:val="99"/>
    <w:semiHidden/>
    <w:unhideWhenUsed/>
    <w:qFormat/>
    <w:rsid w:val="009e477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paragraph" w:styleId="BalloonText">
    <w:name w:val="Balloon Text"/>
    <w:basedOn w:val="Normal"/>
    <w:link w:val="Style15"/>
    <w:uiPriority w:val="99"/>
    <w:semiHidden/>
    <w:unhideWhenUsed/>
    <w:qFormat/>
    <w:rsid w:val="008305e3"/>
    <w:pPr/>
    <w:rPr>
      <w:rFonts w:ascii="Tahoma" w:hAnsi="Tahoma" w:cs="Tahoma"/>
      <w:sz w:val="16"/>
      <w:szCs w:val="16"/>
    </w:rPr>
  </w:style>
  <w:style w:type="paragraph" w:styleId="Revision">
    <w:name w:val="Revision"/>
    <w:uiPriority w:val="99"/>
    <w:semiHidden/>
    <w:qFormat/>
    <w:rsid w:val="009e477e"/>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by/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9973-00BC-BA48-91B7-B76E3BC0B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LibreOffice/7.3.7.2$Linux_X86_64 LibreOffice_project/30$Build-2</Application>
  <AppVersion>15.0000</AppVersion>
  <Pages>2</Pages>
  <Words>652</Words>
  <Characters>4892</Characters>
  <CharactersWithSpaces>5488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2022-11-09T11:31:00Z</dcterms:created>
  <dc:creator>Зорина Эльвира</dc:creator>
  <dc:description/>
  <dc:language>en-US</dc:language>
  <cp:lastModifiedBy/>
  <dcterms:modified xsi:type="dcterms:W3CDTF">2023-01-24T16:10:36Z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