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F3A5F"/>
          <w:sz w:val="44"/>
          <w:szCs w:val="44"/>
        </w:rPr>
        <w:t xml:space="preserve">SECURITY REPORT</w:t>
      </w:r>
    </w:p>
    <w:p>
      <w:pPr>
        <w:pBdr>
          <w:bottom w:val="single" w:color="C00000" w:sz="12" w:space="8"/>
        </w:pBdr>
        <w:spacing w:after="400"/>
        <w:jc w:val="center"/>
      </w:pPr>
      <w:r>
        <w:rPr>
          <w:rFonts w:ascii="Arial" w:cs="Arial" w:eastAsia="Arial" w:hAnsi="Arial"/>
          <w:color w:val="555555"/>
          <w:sz w:val="32"/>
          <w:szCs w:val="32"/>
        </w:rPr>
        <w:t xml:space="preserve">GadiW Cloud Document Archive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5F5F5" w:val="clear"/>
            <w:tcMar>
              <w:top w:type="dxa" w:w="120"/>
              <w:left w:type="dxa" w:w="140"/>
              <w:bottom w:type="dxa" w:w="120"/>
              <w:right w:type="dxa" w:w="140"/>
            </w:tcMar>
          </w:tcPr>
          <w:p>
            <w:r>
              <w:rPr>
                <w:b/>
                <w:bCs/>
                <w:sz w:val="20"/>
                <w:szCs w:val="20"/>
              </w:rPr>
              <w:t xml:space="preserve">Prepared for:</w:t>
            </w:r>
          </w:p>
        </w:tc>
        <w:tc>
          <w:tcPr>
            <w:tcW w:type="dxa" w:w="656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sz w:val="20"/>
                <w:szCs w:val="20"/>
              </w:rPr>
              <w:t xml:space="preserve">Adv. Gadi</w:t>
            </w:r>
          </w:p>
        </w:tc>
      </w:tr>
      <w:tr>
        <w:tc>
          <w:tcPr>
            <w:tcW w:type="dxa" w:w="2800"/>
            <w:tcBorders>
              <w:top w:val="single" w:color="CCCCCC" w:sz="4"/>
              <w:left w:val="single" w:color="CCCCCC" w:sz="4"/>
              <w:bottom w:val="single" w:color="CCCCCC" w:sz="4"/>
              <w:right w:val="single" w:color="CCCCCC" w:sz="4"/>
            </w:tcBorders>
            <w:shd w:fill="F5F5F5" w:val="clear"/>
            <w:tcMar>
              <w:top w:type="dxa" w:w="120"/>
              <w:left w:type="dxa" w:w="140"/>
              <w:bottom w:type="dxa" w:w="120"/>
              <w:right w:type="dxa" w:w="140"/>
            </w:tcMar>
          </w:tcPr>
          <w:p>
            <w:r>
              <w:rPr>
                <w:b/>
                <w:bCs/>
                <w:sz w:val="20"/>
                <w:szCs w:val="20"/>
              </w:rPr>
              <w:t xml:space="preserve">Prepared by:</w:t>
            </w:r>
          </w:p>
        </w:tc>
        <w:tc>
          <w:tcPr>
            <w:tcW w:type="dxa" w:w="656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sz w:val="20"/>
                <w:szCs w:val="20"/>
              </w:rPr>
              <w:t xml:space="preserve">Avshi Sapir — GadiW Project Developer</w:t>
            </w:r>
          </w:p>
        </w:tc>
      </w:tr>
      <w:tr>
        <w:tc>
          <w:tcPr>
            <w:tcW w:type="dxa" w:w="2800"/>
            <w:tcBorders>
              <w:top w:val="single" w:color="CCCCCC" w:sz="4"/>
              <w:left w:val="single" w:color="CCCCCC" w:sz="4"/>
              <w:bottom w:val="single" w:color="CCCCCC" w:sz="4"/>
              <w:right w:val="single" w:color="CCCCCC" w:sz="4"/>
            </w:tcBorders>
            <w:shd w:fill="F5F5F5" w:val="clear"/>
            <w:tcMar>
              <w:top w:type="dxa" w:w="120"/>
              <w:left w:type="dxa" w:w="140"/>
              <w:bottom w:type="dxa" w:w="120"/>
              <w:right w:type="dxa" w:w="140"/>
            </w:tcMar>
          </w:tcPr>
          <w:p>
            <w:r>
              <w:rPr>
                <w:b/>
                <w:bCs/>
                <w:sz w:val="20"/>
                <w:szCs w:val="20"/>
              </w:rPr>
              <w:t xml:space="preserve">Date:</w:t>
            </w:r>
          </w:p>
        </w:tc>
        <w:tc>
          <w:tcPr>
            <w:tcW w:type="dxa" w:w="656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sz w:val="20"/>
                <w:szCs w:val="20"/>
              </w:rPr>
              <w:t xml:space="preserve">24 April 2026</w:t>
            </w:r>
          </w:p>
        </w:tc>
      </w:tr>
      <w:tr>
        <w:tc>
          <w:tcPr>
            <w:tcW w:type="dxa" w:w="2800"/>
            <w:tcBorders>
              <w:top w:val="single" w:color="CCCCCC" w:sz="4"/>
              <w:left w:val="single" w:color="CCCCCC" w:sz="4"/>
              <w:bottom w:val="single" w:color="CCCCCC" w:sz="4"/>
              <w:right w:val="single" w:color="CCCCCC" w:sz="4"/>
            </w:tcBorders>
            <w:shd w:fill="F5F5F5" w:val="clear"/>
            <w:tcMar>
              <w:top w:type="dxa" w:w="120"/>
              <w:left w:type="dxa" w:w="140"/>
              <w:bottom w:type="dxa" w:w="120"/>
              <w:right w:type="dxa" w:w="140"/>
            </w:tcMar>
          </w:tcPr>
          <w:p>
            <w:r>
              <w:rPr>
                <w:b/>
                <w:bCs/>
                <w:sz w:val="20"/>
                <w:szCs w:val="20"/>
              </w:rPr>
              <w:t xml:space="preserve">System:</w:t>
            </w:r>
          </w:p>
        </w:tc>
        <w:tc>
          <w:tcPr>
            <w:tcW w:type="dxa" w:w="656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sz w:val="20"/>
                <w:szCs w:val="20"/>
              </w:rPr>
              <w:t xml:space="preserve">GadiW Cloud Document Archive (replacement for USB drive)</w:t>
            </w:r>
          </w:p>
        </w:tc>
      </w:tr>
      <w:tr>
        <w:tc>
          <w:tcPr>
            <w:tcW w:type="dxa" w:w="2800"/>
            <w:tcBorders>
              <w:top w:val="single" w:color="CCCCCC" w:sz="4"/>
              <w:left w:val="single" w:color="CCCCCC" w:sz="4"/>
              <w:bottom w:val="single" w:color="CCCCCC" w:sz="4"/>
              <w:right w:val="single" w:color="CCCCCC" w:sz="4"/>
            </w:tcBorders>
            <w:shd w:fill="F5F5F5" w:val="clear"/>
            <w:tcMar>
              <w:top w:type="dxa" w:w="120"/>
              <w:left w:type="dxa" w:w="140"/>
              <w:bottom w:type="dxa" w:w="120"/>
              <w:right w:type="dxa" w:w="140"/>
            </w:tcMar>
          </w:tcPr>
          <w:p>
            <w:r>
              <w:rPr>
                <w:b/>
                <w:bCs/>
                <w:sz w:val="20"/>
                <w:szCs w:val="20"/>
              </w:rPr>
              <w:t xml:space="preserve">Data center:</w:t>
            </w:r>
          </w:p>
        </w:tc>
        <w:tc>
          <w:tcPr>
            <w:tcW w:type="dxa" w:w="656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bCs/>
                <w:color w:val="2E7D32"/>
                <w:sz w:val="20"/>
                <w:szCs w:val="20"/>
              </w:rPr>
              <w:t xml:space="preserve">AWS eu-west-1 (Ireland, European Union)</w:t>
            </w:r>
          </w:p>
        </w:tc>
      </w:tr>
    </w:tbl>
    <w:p>
      <w:r>
        <w:br w:type="page"/>
      </w:r>
    </w:p>
    <w:p>
      <w:pPr>
        <w:pStyle w:val="Heading1"/>
        <w:pBdr>
          <w:bottom w:val="single" w:color="1F3A5F" w:sz="12" w:space="4"/>
        </w:pBdr>
        <w:spacing w:after="200" w:before="400"/>
      </w:pPr>
      <w:r>
        <w:rPr>
          <w:rFonts w:ascii="Arial" w:cs="Arial" w:eastAsia="Arial" w:hAnsi="Arial"/>
          <w:b/>
          <w:bCs/>
          <w:color w:val="1F3A5F"/>
          <w:sz w:val="32"/>
          <w:szCs w:val="32"/>
        </w:rPr>
        <w:t xml:space="preserve">1. What This Report Answers</w:t>
      </w:r>
    </w:p>
    <w:p>
      <w:pPr>
        <w:spacing w:after="120" w:before="0"/>
      </w:pPr>
      <w:r>
        <w:rPr>
          <w:sz w:val="22"/>
          <w:szCs w:val="22"/>
        </w:rPr>
        <w:t xml:space="preserve">You asked a simple and important question:</w:t>
      </w:r>
    </w:p>
    <w:p>
      <w:pPr>
        <w:pBdr>
          <w:left w:val="single" w:color="1F3A5F" w:sz="16" w:space="12"/>
        </w:pBdr>
        <w:spacing w:after="200" w:before="120"/>
        <w:ind w:left="360"/>
      </w:pPr>
      <w:r>
        <w:rPr>
          <w:i/>
          <w:iCs/>
          <w:color w:val="1F3A5F"/>
          <w:sz w:val="24"/>
          <w:szCs w:val="24"/>
        </w:rPr>
        <w:t xml:space="preserve">"How safe are my client files in this cloud system?"</w:t>
      </w:r>
    </w:p>
    <w:p>
      <w:pPr>
        <w:spacing w:after="120" w:before="0"/>
      </w:pPr>
      <w:r>
        <w:rPr>
          <w:sz w:val="22"/>
          <w:szCs w:val="22"/>
        </w:rPr>
        <w:t xml:space="preserve">This report explains, in plain language, what protects your files, how the protection works, and what responsibility remains with you as the user. It is written so you can make an informed decision before migrating your client documents from the USB drive to the cloud archive.</w:t>
      </w:r>
    </w:p>
    <w:p>
      <w:pPr>
        <w:pStyle w:val="Heading1"/>
        <w:pBdr>
          <w:bottom w:val="single" w:color="1F3A5F" w:sz="12" w:space="4"/>
        </w:pBdr>
        <w:spacing w:after="200" w:before="400"/>
      </w:pPr>
      <w:r>
        <w:rPr>
          <w:rFonts w:ascii="Arial" w:cs="Arial" w:eastAsia="Arial" w:hAnsi="Arial"/>
          <w:b/>
          <w:bCs/>
          <w:color w:val="1F3A5F"/>
          <w:sz w:val="32"/>
          <w:szCs w:val="32"/>
        </w:rPr>
        <w:t xml:space="preserve">2. Who Hosts Your Files</w:t>
      </w:r>
    </w:p>
    <w:p>
      <w:pPr>
        <w:spacing w:after="120" w:before="0"/>
      </w:pPr>
      <w:r>
        <w:rPr>
          <w:sz w:val="22"/>
          <w:szCs w:val="22"/>
        </w:rPr>
        <w:t xml:space="preserve">Your files are stored on Supabase, an established cloud services company used by thousands of applications worldwide. Supabase itself stores the data on Amazon Web Services (AWS) — the same infrastructure used by Netflix, Airbnb, major international banks, and government agencies in many countries.</w:t>
      </w:r>
    </w:p>
    <w:p>
      <w:pPr>
        <w:spacing w:after="100" w:before="200"/>
      </w:pPr>
      <w:r>
        <w:rPr>
          <w:b/>
          <w:bCs/>
          <w:color w:val="1F3A5F"/>
          <w:sz w:val="24"/>
          <w:szCs w:val="24"/>
        </w:rPr>
        <w:t xml:space="preserve">Data Center Location: AWS eu-west-1 (Dublin, Ireland)</w:t>
      </w:r>
    </w:p>
    <w:p>
      <w:pPr>
        <w:spacing w:after="120" w:before="0"/>
      </w:pPr>
      <w:r>
        <w:rPr>
          <w:b/>
          <w:bCs/>
          <w:sz w:val="22"/>
          <w:szCs w:val="22"/>
        </w:rPr>
        <w:t xml:space="preserve">This is important good news for you:</w:t>
      </w:r>
    </w:p>
    <w:p>
      <w:pPr>
        <w:pStyle w:val="ListParagraph"/>
        <w:numPr>
          <w:ilvl w:val="0"/>
          <w:numId w:val="2"/>
        </w:numPr>
        <w:spacing w:after="80"/>
      </w:pPr>
      <w:r>
        <w:rPr>
          <w:b/>
          <w:bCs/>
          <w:sz w:val="22"/>
          <w:szCs w:val="22"/>
        </w:rPr>
        <w:t xml:space="preserve">EU jurisdiction: </w:t>
      </w:r>
      <w:r>
        <w:rPr>
          <w:sz w:val="22"/>
          <w:szCs w:val="22"/>
        </w:rPr>
        <w:t xml:space="preserve">Your client data is physically stored inside the European Union.</w:t>
      </w:r>
    </w:p>
    <w:p>
      <w:pPr>
        <w:pStyle w:val="ListParagraph"/>
        <w:numPr>
          <w:ilvl w:val="0"/>
          <w:numId w:val="2"/>
        </w:numPr>
        <w:spacing w:after="80"/>
      </w:pPr>
      <w:r>
        <w:rPr>
          <w:b/>
          <w:bCs/>
          <w:sz w:val="22"/>
          <w:szCs w:val="22"/>
        </w:rPr>
        <w:t xml:space="preserve">GDPR protection: </w:t>
      </w:r>
      <w:r>
        <w:rPr>
          <w:sz w:val="22"/>
          <w:szCs w:val="22"/>
        </w:rPr>
        <w:t xml:space="preserve">Protected by GDPR, one of the world's strictest privacy laws.</w:t>
      </w:r>
    </w:p>
    <w:p>
      <w:pPr>
        <w:pStyle w:val="ListParagraph"/>
        <w:numPr>
          <w:ilvl w:val="0"/>
          <w:numId w:val="2"/>
        </w:numPr>
        <w:spacing w:after="80"/>
      </w:pPr>
      <w:r>
        <w:rPr>
          <w:b/>
          <w:bCs/>
          <w:sz w:val="22"/>
          <w:szCs w:val="22"/>
        </w:rPr>
        <w:t xml:space="preserve">Israeli law alignment: </w:t>
      </w:r>
      <w:r>
        <w:rPr>
          <w:sz w:val="22"/>
          <w:szCs w:val="22"/>
        </w:rPr>
        <w:t xml:space="preserve">Ireland is on Israel's approved countries list for cross-border data transfers.</w:t>
      </w:r>
    </w:p>
    <w:p>
      <w:pPr>
        <w:pStyle w:val="ListParagraph"/>
        <w:numPr>
          <w:ilvl w:val="0"/>
          <w:numId w:val="2"/>
        </w:numPr>
        <w:spacing w:after="80"/>
      </w:pPr>
      <w:r>
        <w:rPr>
          <w:b/>
          <w:bCs/>
          <w:sz w:val="22"/>
          <w:szCs w:val="22"/>
        </w:rPr>
        <w:t xml:space="preserve">Peer usage: </w:t>
      </w:r>
      <w:r>
        <w:rPr>
          <w:sz w:val="22"/>
          <w:szCs w:val="22"/>
        </w:rPr>
        <w:t xml:space="preserve">Same region used by major European law firms, banks, and healthcare providers.</w:t>
      </w:r>
    </w:p>
    <w:p>
      <w:pPr>
        <w:pStyle w:val="Heading1"/>
        <w:pBdr>
          <w:bottom w:val="single" w:color="1F3A5F" w:sz="12" w:space="4"/>
        </w:pBdr>
        <w:spacing w:after="200" w:before="400"/>
      </w:pPr>
      <w:r>
        <w:rPr>
          <w:rFonts w:ascii="Arial" w:cs="Arial" w:eastAsia="Arial" w:hAnsi="Arial"/>
          <w:b/>
          <w:bCs/>
          <w:color w:val="1F3A5F"/>
          <w:sz w:val="32"/>
          <w:szCs w:val="32"/>
        </w:rPr>
        <w:t xml:space="preserve">3. How Your Files Are Protected — Five Layers of Security</w:t>
      </w:r>
    </w:p>
    <w:p>
      <w:pPr>
        <w:spacing w:after="120" w:before="0"/>
      </w:pPr>
      <w:r>
        <w:rPr>
          <w:sz w:val="22"/>
          <w:szCs w:val="22"/>
        </w:rPr>
        <w:t xml:space="preserve">Security in a well-designed system is layered. If one layer is breached, the others still protect the data. The GadiW archive uses five independent protection layers.</w:t>
      </w:r>
    </w:p>
    <w:p>
      <w:pPr>
        <w:pStyle w:val="Heading2"/>
        <w:spacing w:after="140" w:before="280"/>
      </w:pPr>
      <w:r>
        <w:rPr>
          <w:rFonts w:ascii="Arial" w:cs="Arial" w:eastAsia="Arial" w:hAnsi="Arial"/>
          <w:b/>
          <w:bCs/>
          <w:color w:val="1F3A5F"/>
          <w:sz w:val="26"/>
          <w:szCs w:val="26"/>
        </w:rPr>
        <w:t xml:space="preserve">Layer 1 — Encrypted on Disk (Data at Rest)</w:t>
      </w:r>
    </w:p>
    <w:p>
      <w:pPr>
        <w:spacing w:after="120" w:before="0"/>
      </w:pPr>
      <w:r>
        <w:rPr>
          <w:sz w:val="22"/>
          <w:szCs w:val="22"/>
        </w:rPr>
        <w:t xml:space="preserve">Every file you upload and every database record is stored using AES-256 encryption. This is the same encryption standard used by the US military for classified information and by banks for financial records.</w:t>
      </w:r>
    </w:p>
    <w:p>
      <w:pPr>
        <w:spacing w:after="120" w:before="0"/>
      </w:pPr>
      <w:r>
        <w:rPr>
          <w:i/>
          <w:iCs/>
          <w:sz w:val="22"/>
          <w:szCs w:val="22"/>
        </w:rPr>
        <w:t xml:space="preserve">Practical meaning: if someone physically stole a hard drive from the data center in Ireland, the files on that drive would be unreadable gibberish without the encryption keys. The keys are managed separately and never stored with the data.</w:t>
      </w:r>
    </w:p>
    <w:p>
      <w:pPr>
        <w:pStyle w:val="Heading2"/>
        <w:spacing w:after="140" w:before="280"/>
      </w:pPr>
      <w:r>
        <w:rPr>
          <w:rFonts w:ascii="Arial" w:cs="Arial" w:eastAsia="Arial" w:hAnsi="Arial"/>
          <w:b/>
          <w:bCs/>
          <w:color w:val="1F3A5F"/>
          <w:sz w:val="26"/>
          <w:szCs w:val="26"/>
        </w:rPr>
        <w:t xml:space="preserve">Layer 2 — Encrypted in Transit (TLS / HTTPS)</w:t>
      </w:r>
    </w:p>
    <w:p>
      <w:pPr>
        <w:spacing w:after="120" w:before="0"/>
      </w:pPr>
      <w:r>
        <w:rPr>
          <w:sz w:val="22"/>
          <w:szCs w:val="22"/>
        </w:rPr>
        <w:t xml:space="preserve">When you upload a file from your phone or laptop, the connection to the server is encrypted using TLS — the same technology that shows the padlock icon in your browser when you use online banking.</w:t>
      </w:r>
    </w:p>
    <w:p>
      <w:pPr>
        <w:spacing w:after="120" w:before="0"/>
      </w:pPr>
      <w:r>
        <w:rPr>
          <w:i/>
          <w:iCs/>
          <w:sz w:val="22"/>
          <w:szCs w:val="22"/>
        </w:rPr>
        <w:t xml:space="preserve">Practical meaning: no one on your Wi-Fi network, your internet provider, or anywhere on the public internet can see what files you are uploading or downloading. The connection is private end-to-end.</w:t>
      </w:r>
    </w:p>
    <w:p>
      <w:pPr>
        <w:pStyle w:val="Heading2"/>
        <w:spacing w:after="140" w:before="280"/>
      </w:pPr>
      <w:r>
        <w:rPr>
          <w:rFonts w:ascii="Arial" w:cs="Arial" w:eastAsia="Arial" w:hAnsi="Arial"/>
          <w:b/>
          <w:bCs/>
          <w:color w:val="1F3A5F"/>
          <w:sz w:val="26"/>
          <w:szCs w:val="26"/>
        </w:rPr>
        <w:t xml:space="preserve">Layer 3 — Password Authentication</w:t>
      </w:r>
    </w:p>
    <w:p>
      <w:pPr>
        <w:spacing w:after="120" w:before="0"/>
      </w:pPr>
      <w:r>
        <w:rPr>
          <w:sz w:val="22"/>
          <w:szCs w:val="22"/>
        </w:rPr>
        <w:t xml:space="preserve">Only someone with your email address and your password can log in. The system limits how many password attempts can be made — an attacker cannot try millions of passwords to guess yours.</w:t>
      </w:r>
    </w:p>
    <w:p>
      <w:pPr>
        <w:spacing w:after="120" w:before="0"/>
      </w:pPr>
      <w:r>
        <w:rPr>
          <w:sz w:val="22"/>
          <w:szCs w:val="22"/>
        </w:rPr>
        <w:t xml:space="preserve">Additional optional protection available:</w:t>
      </w:r>
    </w:p>
    <w:p>
      <w:pPr>
        <w:pStyle w:val="ListParagraph"/>
        <w:numPr>
          <w:ilvl w:val="0"/>
          <w:numId w:val="2"/>
        </w:numPr>
        <w:spacing w:after="80"/>
      </w:pPr>
      <w:r>
        <w:rPr>
          <w:b/>
          <w:bCs/>
          <w:sz w:val="22"/>
          <w:szCs w:val="22"/>
        </w:rPr>
        <w:t xml:space="preserve">Two-factor authentication (2FA): </w:t>
      </w:r>
      <w:r>
        <w:rPr>
          <w:sz w:val="22"/>
          <w:szCs w:val="22"/>
        </w:rPr>
        <w:t xml:space="preserve">A 6-digit code from an app on your phone (Google Authenticator or similar).</w:t>
      </w:r>
    </w:p>
    <w:p>
      <w:pPr>
        <w:pStyle w:val="ListParagraph"/>
        <w:numPr>
          <w:ilvl w:val="0"/>
          <w:numId w:val="2"/>
        </w:numPr>
        <w:spacing w:after="80"/>
      </w:pPr>
      <w:r>
        <w:rPr>
          <w:b/>
          <w:bCs/>
          <w:sz w:val="22"/>
          <w:szCs w:val="22"/>
        </w:rPr>
        <w:t xml:space="preserve">Passkeys: </w:t>
      </w:r>
      <w:r>
        <w:rPr>
          <w:sz w:val="22"/>
          <w:szCs w:val="22"/>
        </w:rPr>
        <w:t xml:space="preserve">Fingerprint or face recognition on your phone or laptop as the login method.</w:t>
      </w:r>
    </w:p>
    <w:p>
      <w:pPr>
        <w:spacing w:after="120" w:before="0"/>
      </w:pPr>
      <w:r>
        <w:rPr>
          <w:i/>
          <w:iCs/>
          <w:sz w:val="22"/>
          <w:szCs w:val="22"/>
        </w:rPr>
        <w:t xml:space="preserve">This matches the level of protection used by banks for online banking.</w:t>
      </w:r>
    </w:p>
    <w:p>
      <w:pPr>
        <w:pStyle w:val="Heading2"/>
        <w:spacing w:after="140" w:before="280"/>
      </w:pPr>
      <w:r>
        <w:rPr>
          <w:rFonts w:ascii="Arial" w:cs="Arial" w:eastAsia="Arial" w:hAnsi="Arial"/>
          <w:b/>
          <w:bCs/>
          <w:color w:val="1F3A5F"/>
          <w:sz w:val="26"/>
          <w:szCs w:val="26"/>
        </w:rPr>
        <w:t xml:space="preserve">Layer 4 — Row-Level Security (RLS)</w:t>
      </w:r>
    </w:p>
    <w:p>
      <w:pPr>
        <w:spacing w:after="120" w:before="0"/>
      </w:pPr>
      <w:r>
        <w:rPr>
          <w:b/>
          <w:bCs/>
          <w:sz w:val="22"/>
          <w:szCs w:val="22"/>
        </w:rPr>
        <w:t xml:space="preserve">This is the most important layer and the one most cloud systems do not implement correctly.</w:t>
      </w:r>
    </w:p>
    <w:p>
      <w:pPr>
        <w:spacing w:after="120" w:before="0"/>
      </w:pPr>
      <w:r>
        <w:rPr>
          <w:sz w:val="22"/>
          <w:szCs w:val="22"/>
        </w:rPr>
        <w:t xml:space="preserve">Row-Level Security means: even if in the future two lawyers share the same GadiW system, one lawyer physically cannot see the other lawyer's documents. The database itself refuses to return files belonging to another user — not the app, the database engine. The app cannot override this rule by mistake.</w:t>
      </w:r>
    </w:p>
    <w:p>
      <w:pPr>
        <w:spacing w:after="120" w:before="0"/>
      </w:pPr>
      <w:r>
        <w:rPr>
          <w:b/>
          <w:bCs/>
          <w:sz w:val="22"/>
          <w:szCs w:val="22"/>
        </w:rPr>
        <w:t xml:space="preserve">This was already tested and verified on 23 April 2026:</w:t>
      </w:r>
    </w:p>
    <w:p>
      <w:pPr>
        <w:spacing w:after="120" w:before="0"/>
      </w:pPr>
      <w:r>
        <w:rPr>
          <w:sz w:val="22"/>
          <w:szCs w:val="22"/>
        </w:rPr>
        <w:t xml:space="preserve">A second test user account was created. When that second user attempted to query the documents table, the database returned zero results — confirming that the Row-Level Security is active and working as designed. Only Gadi sees Gadi's files.</w:t>
      </w:r>
    </w:p>
    <w:p>
      <w:pPr>
        <w:pStyle w:val="Heading2"/>
        <w:spacing w:after="140" w:before="280"/>
      </w:pPr>
      <w:r>
        <w:rPr>
          <w:rFonts w:ascii="Arial" w:cs="Arial" w:eastAsia="Arial" w:hAnsi="Arial"/>
          <w:b/>
          <w:bCs/>
          <w:color w:val="1F3A5F"/>
          <w:sz w:val="26"/>
          <w:szCs w:val="26"/>
        </w:rPr>
        <w:t xml:space="preserve">Layer 5 — Private Storage Bucket</w:t>
      </w:r>
    </w:p>
    <w:p>
      <w:pPr>
        <w:spacing w:after="120" w:before="0"/>
      </w:pPr>
      <w:r>
        <w:rPr>
          <w:sz w:val="22"/>
          <w:szCs w:val="22"/>
        </w:rPr>
        <w:t xml:space="preserve">The file storage area (named 'gadi-documents') is marked private at the infrastructure level. No file ever has a public URL. Every time you want to view or download a document, the system generates a temporary signed link that:</w:t>
      </w:r>
    </w:p>
    <w:p>
      <w:pPr>
        <w:pStyle w:val="ListParagraph"/>
        <w:numPr>
          <w:ilvl w:val="0"/>
          <w:numId w:val="2"/>
        </w:numPr>
        <w:spacing w:after="80"/>
      </w:pPr>
      <w:r>
        <w:rPr>
          <w:sz w:val="22"/>
          <w:szCs w:val="22"/>
        </w:rPr>
        <w:t xml:space="preserve">Expires automatically after one hour.</w:t>
      </w:r>
    </w:p>
    <w:p>
      <w:pPr>
        <w:pStyle w:val="ListParagraph"/>
        <w:numPr>
          <w:ilvl w:val="0"/>
          <w:numId w:val="2"/>
        </w:numPr>
        <w:spacing w:after="80"/>
      </w:pPr>
      <w:r>
        <w:rPr>
          <w:sz w:val="22"/>
          <w:szCs w:val="22"/>
        </w:rPr>
        <w:t xml:space="preserve">Cannot be found by Google or any search engine.</w:t>
      </w:r>
    </w:p>
    <w:p>
      <w:pPr>
        <w:pStyle w:val="ListParagraph"/>
        <w:numPr>
          <w:ilvl w:val="0"/>
          <w:numId w:val="2"/>
        </w:numPr>
        <w:spacing w:after="80"/>
      </w:pPr>
      <w:r>
        <w:rPr>
          <w:sz w:val="22"/>
          <w:szCs w:val="22"/>
        </w:rPr>
        <w:t xml:space="preserve">Is tied to your authenticated session.</w:t>
      </w:r>
    </w:p>
    <w:p>
      <w:pPr>
        <w:spacing w:after="120" w:before="0"/>
      </w:pPr>
      <w:r>
        <w:rPr>
          <w:i/>
          <w:iCs/>
          <w:sz w:val="22"/>
          <w:szCs w:val="22"/>
        </w:rPr>
        <w:t xml:space="preserve">Practical meaning: if you accidentally copy a download link and send it to the wrong person, that link becomes useless within 60 minutes. The file is never exposed permanently.</w:t>
      </w:r>
    </w:p>
    <w:p>
      <w:pPr>
        <w:pStyle w:val="Heading1"/>
        <w:pBdr>
          <w:bottom w:val="single" w:color="1F3A5F" w:sz="12" w:space="4"/>
        </w:pBdr>
        <w:spacing w:after="200" w:before="400"/>
      </w:pPr>
      <w:r>
        <w:rPr>
          <w:rFonts w:ascii="Arial" w:cs="Arial" w:eastAsia="Arial" w:hAnsi="Arial"/>
          <w:b/>
          <w:bCs/>
          <w:color w:val="1F3A5F"/>
          <w:sz w:val="32"/>
          <w:szCs w:val="32"/>
        </w:rPr>
        <w:t xml:space="preserve">4. Compliance and Certifications</w:t>
      </w:r>
    </w:p>
    <w:p>
      <w:pPr>
        <w:spacing w:after="120" w:before="0"/>
      </w:pPr>
      <w:r>
        <w:rPr>
          <w:sz w:val="22"/>
          <w:szCs w:val="22"/>
        </w:rPr>
        <w:t xml:space="preserve">Supabase undergoes annual third-party security audits by independent certified firms. The current certifications include:</w:t>
      </w:r>
    </w:p>
    <w:p>
      <w:pPr>
        <w:spacing w:after="100" w:before="200"/>
      </w:pPr>
      <w:r>
        <w:rPr>
          <w:b/>
          <w:bCs/>
          <w:color w:val="1F3A5F"/>
          <w:sz w:val="24"/>
          <w:szCs w:val="24"/>
        </w:rPr>
        <w:t xml:space="preserve">SOC 2 Type 2 (Annual Audit)</w:t>
      </w:r>
    </w:p>
    <w:p>
      <w:pPr>
        <w:spacing w:after="120" w:before="0"/>
      </w:pPr>
      <w:r>
        <w:rPr>
          <w:sz w:val="22"/>
          <w:szCs w:val="22"/>
        </w:rPr>
        <w:t xml:space="preserve">This is the gold standard security audit required by large enterprise customers, banks, and government clients. It verifies security, availability, processing integrity, confidentiality, and privacy controls over an ongoing period — not a single point in time.</w:t>
      </w:r>
    </w:p>
    <w:p>
      <w:pPr>
        <w:spacing w:after="100" w:before="200"/>
      </w:pPr>
      <w:r>
        <w:rPr>
          <w:b/>
          <w:bCs/>
          <w:color w:val="1F3A5F"/>
          <w:sz w:val="24"/>
          <w:szCs w:val="24"/>
        </w:rPr>
        <w:t xml:space="preserve">HIPAA Compliant</w:t>
      </w:r>
    </w:p>
    <w:p>
      <w:pPr>
        <w:spacing w:after="120" w:before="0"/>
      </w:pPr>
      <w:r>
        <w:rPr>
          <w:sz w:val="22"/>
          <w:szCs w:val="22"/>
        </w:rPr>
        <w:t xml:space="preserve">Meets the US medical industry's strict patient privacy standards. While legal work is not HIPAA-regulated, the fact that Supabase meets this bar shows the security controls are at medical-grade level.</w:t>
      </w:r>
    </w:p>
    <w:p>
      <w:pPr>
        <w:spacing w:after="100" w:before="200"/>
      </w:pPr>
      <w:r>
        <w:rPr>
          <w:b/>
          <w:bCs/>
          <w:color w:val="1F3A5F"/>
          <w:sz w:val="24"/>
          <w:szCs w:val="24"/>
        </w:rPr>
        <w:t xml:space="preserve">GDPR Compliant (EU Region)</w:t>
      </w:r>
    </w:p>
    <w:p>
      <w:pPr>
        <w:spacing w:after="120" w:before="0"/>
      </w:pPr>
      <w:r>
        <w:rPr>
          <w:sz w:val="22"/>
          <w:szCs w:val="22"/>
        </w:rPr>
        <w:t xml:space="preserve">Because your data is hosted in Ireland, it falls under the EU's General Data Protection Regulation — the strictest privacy law globally. This includes your clients' rights to data access, deletion, and breach notification.</w:t>
      </w:r>
    </w:p>
    <w:p>
      <w:pPr>
        <w:pStyle w:val="Heading1"/>
        <w:pBdr>
          <w:bottom w:val="single" w:color="1F3A5F" w:sz="12" w:space="4"/>
        </w:pBdr>
        <w:spacing w:after="200" w:before="400"/>
      </w:pPr>
      <w:r>
        <w:rPr>
          <w:rFonts w:ascii="Arial" w:cs="Arial" w:eastAsia="Arial" w:hAnsi="Arial"/>
          <w:b/>
          <w:bCs/>
          <w:color w:val="1F3A5F"/>
          <w:sz w:val="32"/>
          <w:szCs w:val="32"/>
        </w:rPr>
        <w:t xml:space="preserve">5. Backups and Recovery</w:t>
      </w:r>
    </w:p>
    <w:p>
      <w:pPr>
        <w:spacing w:after="120" w:before="0"/>
      </w:pPr>
      <w:r>
        <w:rPr>
          <w:sz w:val="22"/>
          <w:szCs w:val="22"/>
        </w:rPr>
        <w:t xml:space="preserve">All customer databases on Supabase are backed up every day automatically. Paid projects include Point-in-Time Recovery — which means the database can be restored to any specific moment in the past, not just to yesterday's backup.</w:t>
      </w:r>
    </w:p>
    <w:p>
      <w:pPr>
        <w:spacing w:after="120" w:before="0"/>
      </w:pPr>
      <w:r>
        <w:rPr>
          <w:b/>
          <w:bCs/>
          <w:sz w:val="22"/>
          <w:szCs w:val="22"/>
        </w:rPr>
        <w:t xml:space="preserve">Practical translation:</w:t>
      </w:r>
    </w:p>
    <w:p>
      <w:pPr>
        <w:pStyle w:val="ListParagraph"/>
        <w:numPr>
          <w:ilvl w:val="0"/>
          <w:numId w:val="2"/>
        </w:numPr>
        <w:spacing w:after="80"/>
      </w:pPr>
      <w:r>
        <w:rPr>
          <w:sz w:val="22"/>
          <w:szCs w:val="22"/>
        </w:rPr>
        <w:t xml:space="preserve">If a file is deleted by accident, it can be recovered.</w:t>
      </w:r>
    </w:p>
    <w:p>
      <w:pPr>
        <w:pStyle w:val="ListParagraph"/>
        <w:numPr>
          <w:ilvl w:val="0"/>
          <w:numId w:val="2"/>
        </w:numPr>
        <w:spacing w:after="80"/>
      </w:pPr>
      <w:r>
        <w:rPr>
          <w:sz w:val="22"/>
          <w:szCs w:val="22"/>
        </w:rPr>
        <w:t xml:space="preserve">If a server fails completely, the system rebuilds from backup automatically.</w:t>
      </w:r>
    </w:p>
    <w:p>
      <w:pPr>
        <w:pStyle w:val="ListParagraph"/>
        <w:numPr>
          <w:ilvl w:val="0"/>
          <w:numId w:val="2"/>
        </w:numPr>
        <w:spacing w:after="80"/>
      </w:pPr>
      <w:r>
        <w:rPr>
          <w:sz w:val="22"/>
          <w:szCs w:val="22"/>
        </w:rPr>
        <w:t xml:space="preserve">If a mistake is made during a software update, the database can be rolled back to minutes before the mistake.</w:t>
      </w:r>
    </w:p>
    <w:p>
      <w:pPr>
        <w:spacing w:after="120" w:before="0"/>
      </w:pPr>
      <w:r>
        <w:rPr>
          <w:i/>
          <w:iCs/>
          <w:sz w:val="22"/>
          <w:szCs w:val="22"/>
        </w:rPr>
        <w:t xml:space="preserve">For your Ironman-level peace of mind: the USB drive has zero backup. The cloud has daily automatic backups plus minute-level recovery.</w:t>
      </w:r>
    </w:p>
    <w:p>
      <w:r>
        <w:br w:type="page"/>
      </w:r>
    </w:p>
    <w:p>
      <w:pPr>
        <w:pStyle w:val="Heading1"/>
        <w:pBdr>
          <w:bottom w:val="single" w:color="1F3A5F" w:sz="12" w:space="4"/>
        </w:pBdr>
        <w:spacing w:after="200" w:before="400"/>
      </w:pPr>
      <w:r>
        <w:rPr>
          <w:rFonts w:ascii="Arial" w:cs="Arial" w:eastAsia="Arial" w:hAnsi="Arial"/>
          <w:b/>
          <w:bCs/>
          <w:color w:val="1F3A5F"/>
          <w:sz w:val="32"/>
          <w:szCs w:val="32"/>
        </w:rPr>
        <w:t xml:space="preserve">6. How This Compares to a USB Drive</w:t>
      </w:r>
    </w:p>
    <w:p>
      <w:pPr>
        <w:spacing w:after="120" w:before="0"/>
      </w:pPr>
      <w:r>
        <w:rPr>
          <w:sz w:val="22"/>
          <w:szCs w:val="22"/>
        </w:rPr>
        <w:t xml:space="preserve">The clearest way to evaluate this system is to compare it to what you use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4"/>
              <w:left w:val="single" w:color="CCCCCC" w:sz="4"/>
              <w:bottom w:val="single" w:color="CCCCCC" w:sz="4"/>
              <w:right w:val="single" w:color="CCCCCC" w:sz="4"/>
            </w:tcBorders>
            <w:shd w:fill="1F3A5F" w:val="clear"/>
            <w:tcMar>
              <w:top w:type="dxa" w:w="120"/>
              <w:left w:type="dxa" w:w="140"/>
              <w:bottom w:type="dxa" w:w="120"/>
              <w:right w:type="dxa" w:w="140"/>
            </w:tcMar>
          </w:tcPr>
          <w:p>
            <w:r>
              <w:rPr>
                <w:b/>
                <w:bCs/>
                <w:color w:val="FFFFFF"/>
                <w:sz w:val="20"/>
                <w:szCs w:val="20"/>
              </w:rPr>
              <w:t xml:space="preserve">Risk Scenario</w:t>
            </w:r>
          </w:p>
        </w:tc>
        <w:tc>
          <w:tcPr>
            <w:tcW w:type="dxa" w:w="3280"/>
            <w:tcBorders>
              <w:top w:val="single" w:color="CCCCCC" w:sz="4"/>
              <w:left w:val="single" w:color="CCCCCC" w:sz="4"/>
              <w:bottom w:val="single" w:color="CCCCCC" w:sz="4"/>
              <w:right w:val="single" w:color="CCCCCC" w:sz="4"/>
            </w:tcBorders>
            <w:shd w:fill="1F3A5F" w:val="clear"/>
            <w:tcMar>
              <w:top w:type="dxa" w:w="120"/>
              <w:left w:type="dxa" w:w="140"/>
              <w:bottom w:type="dxa" w:w="120"/>
              <w:right w:type="dxa" w:w="140"/>
            </w:tcMar>
          </w:tcPr>
          <w:p>
            <w:r>
              <w:rPr>
                <w:b/>
                <w:bCs/>
                <w:color w:val="FFFFFF"/>
                <w:sz w:val="20"/>
                <w:szCs w:val="20"/>
              </w:rPr>
              <w:t xml:space="preserve">USB Drive (current)</w:t>
            </w:r>
          </w:p>
        </w:tc>
        <w:tc>
          <w:tcPr>
            <w:tcW w:type="dxa" w:w="3280"/>
            <w:tcBorders>
              <w:top w:val="single" w:color="CCCCCC" w:sz="4"/>
              <w:left w:val="single" w:color="CCCCCC" w:sz="4"/>
              <w:bottom w:val="single" w:color="CCCCCC" w:sz="4"/>
              <w:right w:val="single" w:color="CCCCCC" w:sz="4"/>
            </w:tcBorders>
            <w:shd w:fill="1F3A5F" w:val="clear"/>
            <w:tcMar>
              <w:top w:type="dxa" w:w="120"/>
              <w:left w:type="dxa" w:w="140"/>
              <w:bottom w:type="dxa" w:w="120"/>
              <w:right w:type="dxa" w:w="140"/>
            </w:tcMar>
          </w:tcPr>
          <w:p>
            <w:r>
              <w:rPr>
                <w:b/>
                <w:bCs/>
                <w:color w:val="FFFFFF"/>
                <w:sz w:val="20"/>
                <w:szCs w:val="20"/>
              </w:rPr>
              <w:t xml:space="preserve">GadiW Cloud (new)</w:t>
            </w:r>
          </w:p>
        </w:tc>
      </w:tr>
      <w:tr>
        <w:tc>
          <w:tcPr>
            <w:tcW w:type="dxa" w:w="28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bCs/>
                <w:sz w:val="20"/>
                <w:szCs w:val="20"/>
              </w:rPr>
              <w:t xml:space="preserve">USB lost or stolen</w:t>
            </w:r>
          </w:p>
        </w:tc>
        <w:tc>
          <w:tcPr>
            <w:tcW w:type="dxa" w:w="3280"/>
            <w:tcBorders>
              <w:top w:val="single" w:color="CCCCCC" w:sz="4"/>
              <w:left w:val="single" w:color="CCCCCC" w:sz="4"/>
              <w:bottom w:val="single" w:color="CCCCCC" w:sz="4"/>
              <w:right w:val="single" w:color="CCCCCC" w:sz="4"/>
            </w:tcBorders>
            <w:shd w:fill="FFE5E5" w:val="clear"/>
            <w:tcMar>
              <w:top w:type="dxa" w:w="120"/>
              <w:left w:type="dxa" w:w="140"/>
              <w:bottom w:type="dxa" w:w="120"/>
              <w:right w:type="dxa" w:w="140"/>
            </w:tcMar>
          </w:tcPr>
          <w:p>
            <w:r>
              <w:rPr>
                <w:sz w:val="20"/>
                <w:szCs w:val="20"/>
              </w:rPr>
              <w:t xml:space="preserve">Files gone forever AND exposed to whoever finds it</w:t>
            </w:r>
          </w:p>
        </w:tc>
        <w:tc>
          <w:tcPr>
            <w:tcW w:type="dxa" w:w="3280"/>
            <w:tcBorders>
              <w:top w:val="single" w:color="CCCCCC" w:sz="4"/>
              <w:left w:val="single" w:color="CCCCCC" w:sz="4"/>
              <w:bottom w:val="single" w:color="CCCCCC" w:sz="4"/>
              <w:right w:val="single" w:color="CCCCCC" w:sz="4"/>
            </w:tcBorders>
            <w:shd w:fill="E8F5E9" w:val="clear"/>
            <w:tcMar>
              <w:top w:type="dxa" w:w="120"/>
              <w:left w:type="dxa" w:w="140"/>
              <w:bottom w:type="dxa" w:w="120"/>
              <w:right w:type="dxa" w:w="140"/>
            </w:tcMar>
          </w:tcPr>
          <w:p>
            <w:r>
              <w:rPr>
                <w:sz w:val="20"/>
                <w:szCs w:val="20"/>
              </w:rPr>
              <w:t xml:space="preserve">Files safe — password required to access</w:t>
            </w:r>
          </w:p>
        </w:tc>
      </w:tr>
      <w:tr>
        <w:tc>
          <w:tcPr>
            <w:tcW w:type="dxa" w:w="28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bCs/>
                <w:sz w:val="20"/>
                <w:szCs w:val="20"/>
              </w:rPr>
              <w:t xml:space="preserve">Hard drive fails</w:t>
            </w:r>
          </w:p>
        </w:tc>
        <w:tc>
          <w:tcPr>
            <w:tcW w:type="dxa" w:w="3280"/>
            <w:tcBorders>
              <w:top w:val="single" w:color="CCCCCC" w:sz="4"/>
              <w:left w:val="single" w:color="CCCCCC" w:sz="4"/>
              <w:bottom w:val="single" w:color="CCCCCC" w:sz="4"/>
              <w:right w:val="single" w:color="CCCCCC" w:sz="4"/>
            </w:tcBorders>
            <w:shd w:fill="FFE5E5" w:val="clear"/>
            <w:tcMar>
              <w:top w:type="dxa" w:w="120"/>
              <w:left w:type="dxa" w:w="140"/>
              <w:bottom w:type="dxa" w:w="120"/>
              <w:right w:type="dxa" w:w="140"/>
            </w:tcMar>
          </w:tcPr>
          <w:p>
            <w:r>
              <w:rPr>
                <w:sz w:val="20"/>
                <w:szCs w:val="20"/>
              </w:rPr>
              <w:t xml:space="preserve">Files gone forever</w:t>
            </w:r>
          </w:p>
        </w:tc>
        <w:tc>
          <w:tcPr>
            <w:tcW w:type="dxa" w:w="3280"/>
            <w:tcBorders>
              <w:top w:val="single" w:color="CCCCCC" w:sz="4"/>
              <w:left w:val="single" w:color="CCCCCC" w:sz="4"/>
              <w:bottom w:val="single" w:color="CCCCCC" w:sz="4"/>
              <w:right w:val="single" w:color="CCCCCC" w:sz="4"/>
            </w:tcBorders>
            <w:shd w:fill="E8F5E9" w:val="clear"/>
            <w:tcMar>
              <w:top w:type="dxa" w:w="120"/>
              <w:left w:type="dxa" w:w="140"/>
              <w:bottom w:type="dxa" w:w="120"/>
              <w:right w:type="dxa" w:w="140"/>
            </w:tcMar>
          </w:tcPr>
          <w:p>
            <w:r>
              <w:rPr>
                <w:sz w:val="20"/>
                <w:szCs w:val="20"/>
              </w:rPr>
              <w:t xml:space="preserve">Automatic daily backups, point-in-time recovery</w:t>
            </w:r>
          </w:p>
        </w:tc>
      </w:tr>
      <w:tr>
        <w:tc>
          <w:tcPr>
            <w:tcW w:type="dxa" w:w="28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bCs/>
                <w:sz w:val="20"/>
                <w:szCs w:val="20"/>
              </w:rPr>
              <w:t xml:space="preserve">Ransomware on your computer</w:t>
            </w:r>
          </w:p>
        </w:tc>
        <w:tc>
          <w:tcPr>
            <w:tcW w:type="dxa" w:w="3280"/>
            <w:tcBorders>
              <w:top w:val="single" w:color="CCCCCC" w:sz="4"/>
              <w:left w:val="single" w:color="CCCCCC" w:sz="4"/>
              <w:bottom w:val="single" w:color="CCCCCC" w:sz="4"/>
              <w:right w:val="single" w:color="CCCCCC" w:sz="4"/>
            </w:tcBorders>
            <w:shd w:fill="FFE5E5" w:val="clear"/>
            <w:tcMar>
              <w:top w:type="dxa" w:w="120"/>
              <w:left w:type="dxa" w:w="140"/>
              <w:bottom w:type="dxa" w:w="120"/>
              <w:right w:type="dxa" w:w="140"/>
            </w:tcMar>
          </w:tcPr>
          <w:p>
            <w:r>
              <w:rPr>
                <w:sz w:val="20"/>
                <w:szCs w:val="20"/>
              </w:rPr>
              <w:t xml:space="preserve">USB files may be encrypted by the virus</w:t>
            </w:r>
          </w:p>
        </w:tc>
        <w:tc>
          <w:tcPr>
            <w:tcW w:type="dxa" w:w="3280"/>
            <w:tcBorders>
              <w:top w:val="single" w:color="CCCCCC" w:sz="4"/>
              <w:left w:val="single" w:color="CCCCCC" w:sz="4"/>
              <w:bottom w:val="single" w:color="CCCCCC" w:sz="4"/>
              <w:right w:val="single" w:color="CCCCCC" w:sz="4"/>
            </w:tcBorders>
            <w:shd w:fill="E8F5E9" w:val="clear"/>
            <w:tcMar>
              <w:top w:type="dxa" w:w="120"/>
              <w:left w:type="dxa" w:w="140"/>
              <w:bottom w:type="dxa" w:w="120"/>
              <w:right w:type="dxa" w:w="140"/>
            </w:tcMar>
          </w:tcPr>
          <w:p>
            <w:r>
              <w:rPr>
                <w:sz w:val="20"/>
                <w:szCs w:val="20"/>
              </w:rPr>
              <w:t xml:space="preserve">Cloud files untouched, isolated from local infection</w:t>
            </w:r>
          </w:p>
        </w:tc>
      </w:tr>
      <w:tr>
        <w:tc>
          <w:tcPr>
            <w:tcW w:type="dxa" w:w="28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bCs/>
                <w:sz w:val="20"/>
                <w:szCs w:val="20"/>
              </w:rPr>
              <w:t xml:space="preserve">Office fire, flood, or theft</w:t>
            </w:r>
          </w:p>
        </w:tc>
        <w:tc>
          <w:tcPr>
            <w:tcW w:type="dxa" w:w="3280"/>
            <w:tcBorders>
              <w:top w:val="single" w:color="CCCCCC" w:sz="4"/>
              <w:left w:val="single" w:color="CCCCCC" w:sz="4"/>
              <w:bottom w:val="single" w:color="CCCCCC" w:sz="4"/>
              <w:right w:val="single" w:color="CCCCCC" w:sz="4"/>
            </w:tcBorders>
            <w:shd w:fill="FFE5E5" w:val="clear"/>
            <w:tcMar>
              <w:top w:type="dxa" w:w="120"/>
              <w:left w:type="dxa" w:w="140"/>
              <w:bottom w:type="dxa" w:w="120"/>
              <w:right w:type="dxa" w:w="140"/>
            </w:tcMar>
          </w:tcPr>
          <w:p>
            <w:r>
              <w:rPr>
                <w:sz w:val="20"/>
                <w:szCs w:val="20"/>
              </w:rPr>
              <w:t xml:space="preserve">Files gone forever</w:t>
            </w:r>
          </w:p>
        </w:tc>
        <w:tc>
          <w:tcPr>
            <w:tcW w:type="dxa" w:w="3280"/>
            <w:tcBorders>
              <w:top w:val="single" w:color="CCCCCC" w:sz="4"/>
              <w:left w:val="single" w:color="CCCCCC" w:sz="4"/>
              <w:bottom w:val="single" w:color="CCCCCC" w:sz="4"/>
              <w:right w:val="single" w:color="CCCCCC" w:sz="4"/>
            </w:tcBorders>
            <w:shd w:fill="E8F5E9" w:val="clear"/>
            <w:tcMar>
              <w:top w:type="dxa" w:w="120"/>
              <w:left w:type="dxa" w:w="140"/>
              <w:bottom w:type="dxa" w:w="120"/>
              <w:right w:type="dxa" w:w="140"/>
            </w:tcMar>
          </w:tcPr>
          <w:p>
            <w:r>
              <w:rPr>
                <w:sz w:val="20"/>
                <w:szCs w:val="20"/>
              </w:rPr>
              <w:t xml:space="preserve">Cloud unaffected, accessible from any device</w:t>
            </w:r>
          </w:p>
        </w:tc>
      </w:tr>
      <w:tr>
        <w:tc>
          <w:tcPr>
            <w:tcW w:type="dxa" w:w="28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bCs/>
                <w:sz w:val="20"/>
                <w:szCs w:val="20"/>
              </w:rPr>
              <w:t xml:space="preserve">Working from court or home</w:t>
            </w:r>
          </w:p>
        </w:tc>
        <w:tc>
          <w:tcPr>
            <w:tcW w:type="dxa" w:w="3280"/>
            <w:tcBorders>
              <w:top w:val="single" w:color="CCCCCC" w:sz="4"/>
              <w:left w:val="single" w:color="CCCCCC" w:sz="4"/>
              <w:bottom w:val="single" w:color="CCCCCC" w:sz="4"/>
              <w:right w:val="single" w:color="CCCCCC" w:sz="4"/>
            </w:tcBorders>
            <w:shd w:fill="FFF3E0" w:val="clear"/>
            <w:tcMar>
              <w:top w:type="dxa" w:w="120"/>
              <w:left w:type="dxa" w:w="140"/>
              <w:bottom w:type="dxa" w:w="120"/>
              <w:right w:type="dxa" w:w="140"/>
            </w:tcMar>
          </w:tcPr>
          <w:p>
            <w:r>
              <w:rPr>
                <w:sz w:val="20"/>
                <w:szCs w:val="20"/>
              </w:rPr>
              <w:t xml:space="preserve">Must physically carry USB every time</w:t>
            </w:r>
          </w:p>
        </w:tc>
        <w:tc>
          <w:tcPr>
            <w:tcW w:type="dxa" w:w="3280"/>
            <w:tcBorders>
              <w:top w:val="single" w:color="CCCCCC" w:sz="4"/>
              <w:left w:val="single" w:color="CCCCCC" w:sz="4"/>
              <w:bottom w:val="single" w:color="CCCCCC" w:sz="4"/>
              <w:right w:val="single" w:color="CCCCCC" w:sz="4"/>
            </w:tcBorders>
            <w:shd w:fill="E8F5E9" w:val="clear"/>
            <w:tcMar>
              <w:top w:type="dxa" w:w="120"/>
              <w:left w:type="dxa" w:w="140"/>
              <w:bottom w:type="dxa" w:w="120"/>
              <w:right w:type="dxa" w:w="140"/>
            </w:tcMar>
          </w:tcPr>
          <w:p>
            <w:r>
              <w:rPr>
                <w:sz w:val="20"/>
                <w:szCs w:val="20"/>
              </w:rPr>
              <w:t xml:space="preserve">Access from phone, laptop, any device</w:t>
            </w:r>
          </w:p>
        </w:tc>
      </w:tr>
      <w:tr>
        <w:tc>
          <w:tcPr>
            <w:tcW w:type="dxa" w:w="28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bCs/>
                <w:sz w:val="20"/>
                <w:szCs w:val="20"/>
              </w:rPr>
              <w:t xml:space="preserve">Someone finds USB at a café</w:t>
            </w:r>
          </w:p>
        </w:tc>
        <w:tc>
          <w:tcPr>
            <w:tcW w:type="dxa" w:w="3280"/>
            <w:tcBorders>
              <w:top w:val="single" w:color="CCCCCC" w:sz="4"/>
              <w:left w:val="single" w:color="CCCCCC" w:sz="4"/>
              <w:bottom w:val="single" w:color="CCCCCC" w:sz="4"/>
              <w:right w:val="single" w:color="CCCCCC" w:sz="4"/>
            </w:tcBorders>
            <w:shd w:fill="FFE5E5" w:val="clear"/>
            <w:tcMar>
              <w:top w:type="dxa" w:w="120"/>
              <w:left w:type="dxa" w:w="140"/>
              <w:bottom w:type="dxa" w:w="120"/>
              <w:right w:type="dxa" w:w="140"/>
            </w:tcMar>
          </w:tcPr>
          <w:p>
            <w:r>
              <w:rPr>
                <w:sz w:val="20"/>
                <w:szCs w:val="20"/>
              </w:rPr>
              <w:t xml:space="preserve">Can read every client document</w:t>
            </w:r>
          </w:p>
        </w:tc>
        <w:tc>
          <w:tcPr>
            <w:tcW w:type="dxa" w:w="3280"/>
            <w:tcBorders>
              <w:top w:val="single" w:color="CCCCCC" w:sz="4"/>
              <w:left w:val="single" w:color="CCCCCC" w:sz="4"/>
              <w:bottom w:val="single" w:color="CCCCCC" w:sz="4"/>
              <w:right w:val="single" w:color="CCCCCC" w:sz="4"/>
            </w:tcBorders>
            <w:shd w:fill="E8F5E9" w:val="clear"/>
            <w:tcMar>
              <w:top w:type="dxa" w:w="120"/>
              <w:left w:type="dxa" w:w="140"/>
              <w:bottom w:type="dxa" w:w="120"/>
              <w:right w:type="dxa" w:w="140"/>
            </w:tcMar>
          </w:tcPr>
          <w:p>
            <w:r>
              <w:rPr>
                <w:sz w:val="20"/>
                <w:szCs w:val="20"/>
              </w:rPr>
              <w:t xml:space="preserve">Login + password required — files remain sealed</w:t>
            </w:r>
          </w:p>
        </w:tc>
      </w:tr>
      <w:tr>
        <w:tc>
          <w:tcPr>
            <w:tcW w:type="dxa" w:w="28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bCs/>
                <w:sz w:val="20"/>
                <w:szCs w:val="20"/>
              </w:rPr>
              <w:t xml:space="preserve">Sharing document with a client</w:t>
            </w:r>
          </w:p>
        </w:tc>
        <w:tc>
          <w:tcPr>
            <w:tcW w:type="dxa" w:w="3280"/>
            <w:tcBorders>
              <w:top w:val="single" w:color="CCCCCC" w:sz="4"/>
              <w:left w:val="single" w:color="CCCCCC" w:sz="4"/>
              <w:bottom w:val="single" w:color="CCCCCC" w:sz="4"/>
              <w:right w:val="single" w:color="CCCCCC" w:sz="4"/>
            </w:tcBorders>
            <w:shd w:fill="FFF3E0" w:val="clear"/>
            <w:tcMar>
              <w:top w:type="dxa" w:w="120"/>
              <w:left w:type="dxa" w:w="140"/>
              <w:bottom w:type="dxa" w:w="120"/>
              <w:right w:type="dxa" w:w="140"/>
            </w:tcMar>
          </w:tcPr>
          <w:p>
            <w:r>
              <w:rPr>
                <w:sz w:val="20"/>
                <w:szCs w:val="20"/>
              </w:rPr>
              <w:t xml:space="preserve">Physical handover or email attachment (risky)</w:t>
            </w:r>
          </w:p>
        </w:tc>
        <w:tc>
          <w:tcPr>
            <w:tcW w:type="dxa" w:w="3280"/>
            <w:tcBorders>
              <w:top w:val="single" w:color="CCCCCC" w:sz="4"/>
              <w:left w:val="single" w:color="CCCCCC" w:sz="4"/>
              <w:bottom w:val="single" w:color="CCCCCC" w:sz="4"/>
              <w:right w:val="single" w:color="CCCCCC" w:sz="4"/>
            </w:tcBorders>
            <w:shd w:fill="E8F5E9" w:val="clear"/>
            <w:tcMar>
              <w:top w:type="dxa" w:w="120"/>
              <w:left w:type="dxa" w:w="140"/>
              <w:bottom w:type="dxa" w:w="120"/>
              <w:right w:type="dxa" w:w="140"/>
            </w:tcMar>
          </w:tcPr>
          <w:p>
            <w:r>
              <w:rPr>
                <w:sz w:val="20"/>
                <w:szCs w:val="20"/>
              </w:rPr>
              <w:t xml:space="preserve">Controlled signed link, auto-expires in 1 hour</w:t>
            </w:r>
          </w:p>
        </w:tc>
      </w:tr>
      <w:tr>
        <w:tc>
          <w:tcPr>
            <w:tcW w:type="dxa" w:w="28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bCs/>
                <w:sz w:val="20"/>
                <w:szCs w:val="20"/>
              </w:rPr>
              <w:t xml:space="preserve">Audit trail (who accessed what)</w:t>
            </w:r>
          </w:p>
        </w:tc>
        <w:tc>
          <w:tcPr>
            <w:tcW w:type="dxa" w:w="3280"/>
            <w:tcBorders>
              <w:top w:val="single" w:color="CCCCCC" w:sz="4"/>
              <w:left w:val="single" w:color="CCCCCC" w:sz="4"/>
              <w:bottom w:val="single" w:color="CCCCCC" w:sz="4"/>
              <w:right w:val="single" w:color="CCCCCC" w:sz="4"/>
            </w:tcBorders>
            <w:shd w:fill="FFE5E5" w:val="clear"/>
            <w:tcMar>
              <w:top w:type="dxa" w:w="120"/>
              <w:left w:type="dxa" w:w="140"/>
              <w:bottom w:type="dxa" w:w="120"/>
              <w:right w:type="dxa" w:w="140"/>
            </w:tcMar>
          </w:tcPr>
          <w:p>
            <w:r>
              <w:rPr>
                <w:sz w:val="20"/>
                <w:szCs w:val="20"/>
              </w:rPr>
              <w:t xml:space="preserve">None</w:t>
            </w:r>
          </w:p>
        </w:tc>
        <w:tc>
          <w:tcPr>
            <w:tcW w:type="dxa" w:w="3280"/>
            <w:tcBorders>
              <w:top w:val="single" w:color="CCCCCC" w:sz="4"/>
              <w:left w:val="single" w:color="CCCCCC" w:sz="4"/>
              <w:bottom w:val="single" w:color="CCCCCC" w:sz="4"/>
              <w:right w:val="single" w:color="CCCCCC" w:sz="4"/>
            </w:tcBorders>
            <w:shd w:fill="E8F5E9" w:val="clear"/>
            <w:tcMar>
              <w:top w:type="dxa" w:w="120"/>
              <w:left w:type="dxa" w:w="140"/>
              <w:bottom w:type="dxa" w:w="120"/>
              <w:right w:type="dxa" w:w="140"/>
            </w:tcMar>
          </w:tcPr>
          <w:p>
            <w:r>
              <w:rPr>
                <w:sz w:val="20"/>
                <w:szCs w:val="20"/>
              </w:rPr>
              <w:t xml:space="preserve">Full server logs of every access attempt</w:t>
            </w:r>
          </w:p>
        </w:tc>
      </w:tr>
    </w:tbl>
    <w:p>
      <w:pPr>
        <w:pStyle w:val="Heading1"/>
        <w:pBdr>
          <w:bottom w:val="single" w:color="1F3A5F" w:sz="12" w:space="4"/>
        </w:pBdr>
        <w:spacing w:after="200" w:before="400"/>
      </w:pPr>
      <w:r>
        <w:rPr>
          <w:rFonts w:ascii="Arial" w:cs="Arial" w:eastAsia="Arial" w:hAnsi="Arial"/>
          <w:b/>
          <w:bCs/>
          <w:color w:val="1F3A5F"/>
          <w:sz w:val="32"/>
          <w:szCs w:val="32"/>
        </w:rPr>
        <w:t xml:space="preserve">7. What You (Gadi) Are Responsible For</w:t>
      </w:r>
    </w:p>
    <w:p>
      <w:pPr>
        <w:spacing w:after="120" w:before="0"/>
      </w:pPr>
      <w:r>
        <w:rPr>
          <w:sz w:val="22"/>
          <w:szCs w:val="22"/>
        </w:rPr>
        <w:t xml:space="preserve">Cloud security is a shared responsibility. Supabase and the GadiW application provide strong protections, but some elements depend on your daily habits. These are the five things that remain your responsibility:</w:t>
      </w:r>
    </w:p>
    <w:p>
      <w:pPr>
        <w:pStyle w:val="ListParagraph"/>
        <w:numPr>
          <w:ilvl w:val="0"/>
          <w:numId w:val="3"/>
        </w:numPr>
        <w:spacing w:after="100"/>
      </w:pPr>
      <w:r>
        <w:rPr>
          <w:b/>
          <w:bCs/>
          <w:sz w:val="22"/>
          <w:szCs w:val="22"/>
        </w:rPr>
        <w:t xml:space="preserve">Strong, unique password. </w:t>
      </w:r>
      <w:r>
        <w:rPr>
          <w:sz w:val="22"/>
          <w:szCs w:val="22"/>
        </w:rPr>
        <w:t xml:space="preserve">Use a long password that is not reused on any other website. Avshi will help you generate one and save it securely.</w:t>
      </w:r>
    </w:p>
    <w:p>
      <w:pPr>
        <w:pStyle w:val="ListParagraph"/>
        <w:numPr>
          <w:ilvl w:val="0"/>
          <w:numId w:val="3"/>
        </w:numPr>
        <w:spacing w:after="100"/>
      </w:pPr>
      <w:r>
        <w:rPr>
          <w:b/>
          <w:bCs/>
          <w:sz w:val="22"/>
          <w:szCs w:val="22"/>
        </w:rPr>
        <w:t xml:space="preserve">Enable two-factor authentication (2FA). </w:t>
      </w:r>
      <w:r>
        <w:rPr>
          <w:sz w:val="22"/>
          <w:szCs w:val="22"/>
        </w:rPr>
        <w:t xml:space="preserve">Once setup is complete, every login will require both your password and a 6-digit code from your phone. This is the single biggest protection against a stolen password.</w:t>
      </w:r>
    </w:p>
    <w:p>
      <w:pPr>
        <w:pStyle w:val="ListParagraph"/>
        <w:numPr>
          <w:ilvl w:val="0"/>
          <w:numId w:val="3"/>
        </w:numPr>
        <w:spacing w:after="100"/>
      </w:pPr>
      <w:r>
        <w:rPr>
          <w:b/>
          <w:bCs/>
          <w:sz w:val="22"/>
          <w:szCs w:val="22"/>
        </w:rPr>
        <w:t xml:space="preserve">Keep credentials private. </w:t>
      </w:r>
      <w:r>
        <w:rPr>
          <w:sz w:val="22"/>
          <w:szCs w:val="22"/>
        </w:rPr>
        <w:t xml:space="preserve">Do not share your login credentials — not with your wife, not with a clerk, not with a colleague. If others need access in the future, each person gets their own login (Phase 2 feature).</w:t>
      </w:r>
    </w:p>
    <w:p>
      <w:pPr>
        <w:pStyle w:val="ListParagraph"/>
        <w:numPr>
          <w:ilvl w:val="0"/>
          <w:numId w:val="3"/>
        </w:numPr>
        <w:spacing w:after="100"/>
      </w:pPr>
      <w:r>
        <w:rPr>
          <w:b/>
          <w:bCs/>
          <w:sz w:val="22"/>
          <w:szCs w:val="22"/>
        </w:rPr>
        <w:t xml:space="preserve">Lock your devices. </w:t>
      </w:r>
      <w:r>
        <w:rPr>
          <w:sz w:val="22"/>
          <w:szCs w:val="22"/>
        </w:rPr>
        <w:t xml:space="preserve">The GadiW app respects your device's security. If your unlocked phone is left on a café table, your documents are accessible to whoever picks it up. Use a PIN or biometric lock on every device you use.</w:t>
      </w:r>
    </w:p>
    <w:p>
      <w:pPr>
        <w:pStyle w:val="ListParagraph"/>
        <w:numPr>
          <w:ilvl w:val="0"/>
          <w:numId w:val="3"/>
        </w:numPr>
        <w:spacing w:after="100"/>
      </w:pPr>
      <w:r>
        <w:rPr>
          <w:b/>
          <w:bCs/>
          <w:sz w:val="22"/>
          <w:szCs w:val="22"/>
        </w:rPr>
        <w:t xml:space="preserve">Log out on shared devices. </w:t>
      </w:r>
      <w:r>
        <w:rPr>
          <w:sz w:val="22"/>
          <w:szCs w:val="22"/>
        </w:rPr>
        <w:t xml:space="preserve">If you ever log in from a computer that is not yours (a client's office, a public library), always log out when finished.</w:t>
      </w:r>
    </w:p>
    <w:p>
      <w:pPr>
        <w:pStyle w:val="Heading1"/>
        <w:pBdr>
          <w:bottom w:val="single" w:color="1F3A5F" w:sz="12" w:space="4"/>
        </w:pBdr>
        <w:spacing w:after="200" w:before="400"/>
      </w:pPr>
      <w:r>
        <w:rPr>
          <w:rFonts w:ascii="Arial" w:cs="Arial" w:eastAsia="Arial" w:hAnsi="Arial"/>
          <w:b/>
          <w:bCs/>
          <w:color w:val="1F3A5F"/>
          <w:sz w:val="32"/>
          <w:szCs w:val="32"/>
        </w:rPr>
        <w:t xml:space="preserve">8. The Honest Bottom Line</w:t>
      </w:r>
    </w:p>
    <w:p>
      <w:pPr>
        <w:spacing w:after="120" w:before="200"/>
      </w:pPr>
      <w:r>
        <w:rPr>
          <w:b/>
          <w:bCs/>
          <w:sz w:val="24"/>
          <w:szCs w:val="24"/>
        </w:rPr>
        <w:t xml:space="preserve">Is this system 100% hack-proof?</w:t>
      </w:r>
    </w:p>
    <w:p>
      <w:pPr>
        <w:spacing w:after="120" w:before="0"/>
      </w:pPr>
      <w:r>
        <w:rPr>
          <w:sz w:val="22"/>
          <w:szCs w:val="22"/>
        </w:rPr>
        <w:t xml:space="preserve">No system anywhere in the world is 100% hack-proof. Anyone who tells you otherwise is not being honest with you.</w:t>
      </w:r>
    </w:p>
    <w:p>
      <w:pPr>
        <w:spacing w:after="120" w:before="200"/>
      </w:pPr>
      <w:r>
        <w:rPr>
          <w:b/>
          <w:bCs/>
          <w:sz w:val="24"/>
          <w:szCs w:val="24"/>
        </w:rPr>
        <w:t xml:space="preserve">Is this system dramatically safer than a USB drive?</w:t>
      </w:r>
    </w:p>
    <w:p>
      <w:pPr>
        <w:spacing w:after="120" w:before="0"/>
      </w:pPr>
      <w:r>
        <w:rPr>
          <w:sz w:val="22"/>
          <w:szCs w:val="22"/>
        </w:rPr>
        <w:t xml:space="preserve">Yes — by every measurable standard. The comparison in Section 6 makes this clear.</w:t>
      </w:r>
    </w:p>
    <w:p>
      <w:pPr>
        <w:spacing w:after="120" w:before="200"/>
      </w:pPr>
      <w:r>
        <w:rPr>
          <w:b/>
          <w:bCs/>
          <w:sz w:val="24"/>
          <w:szCs w:val="24"/>
        </w:rPr>
        <w:t xml:space="preserve">Is this system at the level used by banks and hospitals?</w:t>
      </w:r>
    </w:p>
    <w:p>
      <w:pPr>
        <w:spacing w:after="120" w:before="0"/>
      </w:pPr>
      <w:r>
        <w:rPr>
          <w:sz w:val="22"/>
          <w:szCs w:val="22"/>
        </w:rPr>
        <w:t xml:space="preserve">Yes. Same AWS infrastructure. Same AES-256 encryption. Same SOC 2 certification. Same GDPR protections.</w:t>
      </w:r>
    </w:p>
    <w:p>
      <w:pPr>
        <w:spacing w:after="120" w:before="200"/>
      </w:pPr>
      <w:r>
        <w:rPr>
          <w:b/>
          <w:bCs/>
          <w:sz w:val="24"/>
          <w:szCs w:val="24"/>
        </w:rPr>
        <w:t xml:space="preserve">Can a hacker in Israel or abroad read your client files?</w:t>
      </w:r>
    </w:p>
    <w:p>
      <w:pPr>
        <w:spacing w:after="120" w:before="0"/>
      </w:pPr>
      <w:r>
        <w:rPr>
          <w:sz w:val="22"/>
          <w:szCs w:val="22"/>
        </w:rPr>
        <w:t xml:space="preserve">Not without your password. Even the engineers at Supabase cannot read your files — they are encrypted with keys you control. Even if an attacker somehow reached the raw database, the Row-Level Security would block them from seeing any file not belonging to your specific user.</w:t>
      </w:r>
    </w:p>
    <w:p>
      <w:pPr>
        <w:spacing w:after="120" w:before="0"/>
      </w:pPr>
      <w:r>
        <w:rPr>
          <w:sz w:val="22"/>
          <w:szCs w:val="22"/>
        </w:rPr>
        <w:t xml:space="preserve">The single realistic attack path is: someone obtaining both your password AND your 2FA code. This requires either you telling them, or them having physical access to your unlocked phone — risks that exist for your USB drive today in more severe forms.</w:t>
      </w:r>
    </w:p>
    <w:p>
      <w:pPr>
        <w:pStyle w:val="Heading1"/>
        <w:pBdr>
          <w:bottom w:val="single" w:color="1F3A5F" w:sz="12" w:space="4"/>
        </w:pBdr>
        <w:spacing w:after="200" w:before="400"/>
      </w:pPr>
      <w:r>
        <w:rPr>
          <w:rFonts w:ascii="Arial" w:cs="Arial" w:eastAsia="Arial" w:hAnsi="Arial"/>
          <w:b/>
          <w:bCs/>
          <w:color w:val="1F3A5F"/>
          <w:sz w:val="32"/>
          <w:szCs w:val="32"/>
        </w:rPr>
        <w:t xml:space="preserve">9. If Something Goes Wrong</w:t>
      </w:r>
    </w:p>
    <w:p>
      <w:pPr>
        <w:spacing w:after="120" w:before="0"/>
      </w:pPr>
      <w:r>
        <w:rPr>
          <w:sz w:val="22"/>
          <w:szCs w:val="22"/>
        </w:rPr>
        <w:t xml:space="preserve">If at any time you suspect a security problem — a strange login notification, a lost device, a leaked password — contact Avshi immediately. The following emergency actions are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800"/>
        <w:gridCol w:w="2360"/>
      </w:tblGrid>
      <w:tr>
        <w:tc>
          <w:tcPr>
            <w:tcW w:type="dxa" w:w="5200"/>
            <w:tcBorders>
              <w:top w:val="single" w:color="CCCCCC" w:sz="4"/>
              <w:left w:val="single" w:color="CCCCCC" w:sz="4"/>
              <w:bottom w:val="single" w:color="CCCCCC" w:sz="4"/>
              <w:right w:val="single" w:color="CCCCCC" w:sz="4"/>
            </w:tcBorders>
            <w:shd w:fill="1F3A5F" w:val="clear"/>
            <w:tcMar>
              <w:top w:type="dxa" w:w="120"/>
              <w:left w:type="dxa" w:w="140"/>
              <w:bottom w:type="dxa" w:w="120"/>
              <w:right w:type="dxa" w:w="140"/>
            </w:tcMar>
          </w:tcPr>
          <w:p>
            <w:r>
              <w:rPr>
                <w:b/>
                <w:bCs/>
                <w:color w:val="FFFFFF"/>
                <w:sz w:val="20"/>
                <w:szCs w:val="20"/>
              </w:rPr>
              <w:t xml:space="preserve">Action</w:t>
            </w:r>
          </w:p>
        </w:tc>
        <w:tc>
          <w:tcPr>
            <w:tcW w:type="dxa" w:w="1800"/>
            <w:tcBorders>
              <w:top w:val="single" w:color="CCCCCC" w:sz="4"/>
              <w:left w:val="single" w:color="CCCCCC" w:sz="4"/>
              <w:bottom w:val="single" w:color="CCCCCC" w:sz="4"/>
              <w:right w:val="single" w:color="CCCCCC" w:sz="4"/>
            </w:tcBorders>
            <w:shd w:fill="1F3A5F" w:val="clear"/>
            <w:tcMar>
              <w:top w:type="dxa" w:w="120"/>
              <w:left w:type="dxa" w:w="140"/>
              <w:bottom w:type="dxa" w:w="120"/>
              <w:right w:type="dxa" w:w="140"/>
            </w:tcMar>
          </w:tcPr>
          <w:p>
            <w:pPr>
              <w:jc w:val="center"/>
            </w:pPr>
            <w:r>
              <w:rPr>
                <w:b/>
                <w:bCs/>
                <w:color w:val="FFFFFF"/>
                <w:sz w:val="20"/>
                <w:szCs w:val="20"/>
              </w:rPr>
              <w:t xml:space="preserve">Time</w:t>
            </w:r>
          </w:p>
        </w:tc>
        <w:tc>
          <w:tcPr>
            <w:tcW w:type="dxa" w:w="2360"/>
            <w:tcBorders>
              <w:top w:val="single" w:color="CCCCCC" w:sz="4"/>
              <w:left w:val="single" w:color="CCCCCC" w:sz="4"/>
              <w:bottom w:val="single" w:color="CCCCCC" w:sz="4"/>
              <w:right w:val="single" w:color="CCCCCC" w:sz="4"/>
            </w:tcBorders>
            <w:shd w:fill="1F3A5F" w:val="clear"/>
            <w:tcMar>
              <w:top w:type="dxa" w:w="120"/>
              <w:left w:type="dxa" w:w="140"/>
              <w:bottom w:type="dxa" w:w="120"/>
              <w:right w:type="dxa" w:w="140"/>
            </w:tcMar>
          </w:tcPr>
          <w:p>
            <w:r>
              <w:rPr>
                <w:b/>
                <w:bCs/>
                <w:color w:val="FFFFFF"/>
                <w:sz w:val="20"/>
                <w:szCs w:val="20"/>
              </w:rPr>
              <w:t xml:space="preserve">What it does</w:t>
            </w:r>
          </w:p>
        </w:tc>
      </w:tr>
      <w:tr>
        <w:tc>
          <w:tcPr>
            <w:tcW w:type="dxa" w:w="52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sz w:val="20"/>
                <w:szCs w:val="20"/>
              </w:rPr>
              <w:t xml:space="preserve">Force logout of all your active sessions</w:t>
            </w:r>
          </w:p>
        </w:tc>
        <w:tc>
          <w:tcPr>
            <w:tcW w:type="dxa" w:w="18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pPr>
              <w:jc w:val="center"/>
            </w:pPr>
            <w:r>
              <w:rPr>
                <w:b/>
                <w:bCs/>
                <w:sz w:val="20"/>
                <w:szCs w:val="20"/>
              </w:rPr>
              <w:t xml:space="preserve">2 minutes</w:t>
            </w:r>
          </w:p>
        </w:tc>
        <w:tc>
          <w:tcPr>
            <w:tcW w:type="dxa" w:w="236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sz w:val="20"/>
                <w:szCs w:val="20"/>
              </w:rPr>
              <w:t xml:space="preserve">Kicks out any device currently logged in</w:t>
            </w:r>
          </w:p>
        </w:tc>
      </w:tr>
      <w:tr>
        <w:tc>
          <w:tcPr>
            <w:tcW w:type="dxa" w:w="52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sz w:val="20"/>
                <w:szCs w:val="20"/>
              </w:rPr>
              <w:t xml:space="preserve">Reset your password</w:t>
            </w:r>
          </w:p>
        </w:tc>
        <w:tc>
          <w:tcPr>
            <w:tcW w:type="dxa" w:w="18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pPr>
              <w:jc w:val="center"/>
            </w:pPr>
            <w:r>
              <w:rPr>
                <w:b/>
                <w:bCs/>
                <w:sz w:val="20"/>
                <w:szCs w:val="20"/>
              </w:rPr>
              <w:t xml:space="preserve">2 minutes</w:t>
            </w:r>
          </w:p>
        </w:tc>
        <w:tc>
          <w:tcPr>
            <w:tcW w:type="dxa" w:w="236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sz w:val="20"/>
                <w:szCs w:val="20"/>
              </w:rPr>
              <w:t xml:space="preserve">Old password stops working immediately</w:t>
            </w:r>
          </w:p>
        </w:tc>
      </w:tr>
      <w:tr>
        <w:tc>
          <w:tcPr>
            <w:tcW w:type="dxa" w:w="52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sz w:val="20"/>
                <w:szCs w:val="20"/>
              </w:rPr>
              <w:t xml:space="preserve">Review audit logs of recent access</w:t>
            </w:r>
          </w:p>
        </w:tc>
        <w:tc>
          <w:tcPr>
            <w:tcW w:type="dxa" w:w="18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pPr>
              <w:jc w:val="center"/>
            </w:pPr>
            <w:r>
              <w:rPr>
                <w:b/>
                <w:bCs/>
                <w:sz w:val="20"/>
                <w:szCs w:val="20"/>
              </w:rPr>
              <w:t xml:space="preserve">15 minutes</w:t>
            </w:r>
          </w:p>
        </w:tc>
        <w:tc>
          <w:tcPr>
            <w:tcW w:type="dxa" w:w="236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sz w:val="20"/>
                <w:szCs w:val="20"/>
              </w:rPr>
              <w:t xml:space="preserve">Shows what was viewed, when, and from where</w:t>
            </w:r>
          </w:p>
        </w:tc>
      </w:tr>
      <w:tr>
        <w:tc>
          <w:tcPr>
            <w:tcW w:type="dxa" w:w="52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sz w:val="20"/>
                <w:szCs w:val="20"/>
              </w:rPr>
              <w:t xml:space="preserve">Restore an accidentally deleted file</w:t>
            </w:r>
          </w:p>
        </w:tc>
        <w:tc>
          <w:tcPr>
            <w:tcW w:type="dxa" w:w="18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pPr>
              <w:jc w:val="center"/>
            </w:pPr>
            <w:r>
              <w:rPr>
                <w:b/>
                <w:bCs/>
                <w:sz w:val="20"/>
                <w:szCs w:val="20"/>
              </w:rPr>
              <w:t xml:space="preserve">&lt; 1 day</w:t>
            </w:r>
          </w:p>
        </w:tc>
        <w:tc>
          <w:tcPr>
            <w:tcW w:type="dxa" w:w="236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sz w:val="20"/>
                <w:szCs w:val="20"/>
              </w:rPr>
              <w:t xml:space="preserve">Recovers from automatic backup</w:t>
            </w:r>
          </w:p>
        </w:tc>
      </w:tr>
      <w:tr>
        <w:tc>
          <w:tcPr>
            <w:tcW w:type="dxa" w:w="52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sz w:val="20"/>
                <w:szCs w:val="20"/>
              </w:rPr>
              <w:t xml:space="preserve">Restore the entire database to an earlier point in time</w:t>
            </w:r>
          </w:p>
        </w:tc>
        <w:tc>
          <w:tcPr>
            <w:tcW w:type="dxa" w:w="18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pPr>
              <w:jc w:val="center"/>
            </w:pPr>
            <w:r>
              <w:rPr>
                <w:b/>
                <w:bCs/>
                <w:sz w:val="20"/>
                <w:szCs w:val="20"/>
              </w:rPr>
              <w:t xml:space="preserve">&lt; 1 day</w:t>
            </w:r>
          </w:p>
        </w:tc>
        <w:tc>
          <w:tcPr>
            <w:tcW w:type="dxa" w:w="236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sz w:val="20"/>
                <w:szCs w:val="20"/>
              </w:rPr>
              <w:t xml:space="preserve">Rolls back after major mistake or attack</w:t>
            </w:r>
          </w:p>
        </w:tc>
      </w:tr>
    </w:tbl>
    <w:p>
      <w:pPr>
        <w:pStyle w:val="Heading1"/>
        <w:pBdr>
          <w:bottom w:val="single" w:color="1F3A5F" w:sz="12" w:space="4"/>
        </w:pBdr>
        <w:spacing w:after="200" w:before="400"/>
      </w:pPr>
      <w:r>
        <w:rPr>
          <w:rFonts w:ascii="Arial" w:cs="Arial" w:eastAsia="Arial" w:hAnsi="Arial"/>
          <w:b/>
          <w:bCs/>
          <w:color w:val="1F3A5F"/>
          <w:sz w:val="32"/>
          <w:szCs w:val="32"/>
        </w:rPr>
        <w:t xml:space="preserve">10. Recommendation</w:t>
      </w:r>
    </w:p>
    <w:p>
      <w:pPr>
        <w:pBdr>
          <w:left w:val="single" w:color="2E7D32" w:sz="24" w:space="12"/>
        </w:pBdr>
        <w:shd w:fill="E8F5E9" w:val="clear"/>
        <w:spacing w:after="200" w:before="200"/>
        <w:ind w:left="300" w:right="200"/>
      </w:pPr>
      <w:r>
        <w:rPr>
          <w:b/>
          <w:bCs/>
          <w:color w:val="1B5E20"/>
          <w:sz w:val="24"/>
          <w:szCs w:val="24"/>
        </w:rPr>
        <w:t xml:space="preserve">The GadiW Cloud Archive is significantly safer than a USB drive for storing client documents. It is built on the same security foundation used by financial institutions and healthcare providers in the European Union. The remaining risk — your personal password discipline — is manageable with standard good habits (strong password plus two-factor authentication). You can trust this system with your client files.</w:t>
      </w:r>
    </w:p>
    <w:p>
      <w:pPr>
        <w:pBdr>
          <w:top w:val="single" w:color="CCCCCC" w:sz="4" w:space="8"/>
        </w:pBdr>
        <w:spacing w:before="600"/>
        <w:jc w:val="center"/>
      </w:pPr>
      <w:r>
        <w:rPr>
          <w:i/>
          <w:iCs/>
          <w:color w:val="888888"/>
          <w:sz w:val="18"/>
          <w:szCs w:val="18"/>
        </w:rPr>
        <w:t xml:space="preserve">Prepared by Avshi Sapir  •  GadiW Project  •  24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GadiW Security Report</dc:title>
  <dc:creator>Avshi Sapir</dc:creator>
  <dc:description>Security assessment for Adv. Gadi — GadiW Cloud Document Archive</dc:description>
  <cp:lastModifiedBy>Un-named</cp:lastModifiedBy>
  <cp:revision>1</cp:revision>
  <dcterms:created xsi:type="dcterms:W3CDTF">2026-04-24T07:31:01.455Z</dcterms:created>
  <dcterms:modified xsi:type="dcterms:W3CDTF">2026-04-24T07:31:01.456Z</dcterms:modified>
</cp:coreProperties>
</file>

<file path=docProps/custom.xml><?xml version="1.0" encoding="utf-8"?>
<Properties xmlns="http://schemas.openxmlformats.org/officeDocument/2006/custom-properties" xmlns:vt="http://schemas.openxmlformats.org/officeDocument/2006/docPropsVTypes"/>
</file>