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005F"/>
          <w:sz w:val="36"/>
        </w:rPr>
        <w:t>Technical, Regulatory &amp; Market Dossier — Silitex in Israel</w:t>
      </w:r>
    </w:p>
    <w:p>
      <w:r>
        <w:rPr>
          <w:i w:val="0"/>
          <w:color w:val="555555"/>
        </w:rPr>
        <w:t>D4 / D5 / D6 regulatory status · Silitex product map against incumbent grades · R&amp;D qualification route · supply model</w:t>
      </w:r>
    </w:p>
    <w:p>
      <w:r>
        <w:rPr>
          <w:i w:val="0"/>
        </w:rPr>
        <w:t>Prepared for: Dr. Federica Biti, Silitex S.r.l. (Cologna Veneta, Italy)</w:t>
        <w:br/>
        <w:t>Prepared by: Avshi Sapir, Sapirim (Israel)</w:t>
        <w:br/>
        <w:t>Date: 18/10/2026 · Status: discussion draft — product statements to be confirmed by Silitex before use with customers</w:t>
      </w:r>
    </w:p>
    <w:p>
      <w:pPr>
        <w:spacing w:before="200"/>
      </w:pPr>
      <w:r>
        <w:rPr>
          <w:b/>
          <w:color w:val="B0005F"/>
          <w:sz w:val="26"/>
        </w:rPr>
        <w:t>1. Summary</w:t>
      </w:r>
    </w:p>
    <w:p>
      <w:r>
        <w:rPr>
          <w:i w:val="0"/>
        </w:rPr>
        <w:t>This note answers the open question from our call on 16/10/2026 ("Does Israel still allow D5 in cosmetics?") and maps where the Silitex range fits the Israeli market. Short answer: the binding EU deadline is 06/06/2027 for leave-on cosmetics. Every Israeli manufacturer that sells to the EU must meet it, so D4/D5/D6-free formulations are a real, dated reason for R&amp;D teams to test alternatives now. The domestic Israeli position is still to be confirmed (see 2.2).</w:t>
      </w:r>
    </w:p>
    <w:p>
      <w:pPr>
        <w:spacing w:before="200"/>
      </w:pPr>
      <w:r>
        <w:rPr>
          <w:b/>
          <w:color w:val="B0005F"/>
          <w:sz w:val="26"/>
        </w:rPr>
        <w:t>2. Regulatory status of cyclic siloxanes</w:t>
      </w:r>
    </w:p>
    <w:p>
      <w:r>
        <w:rPr>
          <w:b/>
          <w:i w:val="0"/>
        </w:rPr>
        <w:t>2.1 European Union (verified)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3855"/>
        <w:gridCol w:w="2608"/>
        <w:gridCol w:w="1928"/>
      </w:tblGrid>
      <w:tr>
        <w:trPr>
          <w:tblHeader w:val="true"/>
        </w:trPr>
        <w:tc>
          <w:tcPr>
            <w:tcW w:type="dxa" w:w="1247"/>
            <w:shd w:val="clear" w:color="auto" w:fill="B0005F"/>
          </w:tcPr>
          <w:p>
            <w:r/>
            <w:r>
              <w:rPr>
                <w:b/>
                <w:color w:val="FFFFFF"/>
                <w:sz w:val="19"/>
              </w:rPr>
              <w:t>Substance</w:t>
            </w:r>
          </w:p>
        </w:tc>
        <w:tc>
          <w:tcPr>
            <w:tcW w:type="dxa" w:w="3855"/>
            <w:shd w:val="clear" w:color="auto" w:fill="B0005F"/>
          </w:tcPr>
          <w:p>
            <w:r/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type="dxa" w:w="2608"/>
            <w:shd w:val="clear" w:color="auto" w:fill="B0005F"/>
          </w:tcPr>
          <w:p>
            <w:r/>
            <w:r>
              <w:rPr>
                <w:b/>
                <w:color w:val="FFFFFF"/>
                <w:sz w:val="19"/>
              </w:rPr>
              <w:t>Limit</w:t>
            </w:r>
          </w:p>
        </w:tc>
        <w:tc>
          <w:tcPr>
            <w:tcW w:type="dxa" w:w="1928"/>
            <w:shd w:val="clear" w:color="auto" w:fill="B0005F"/>
          </w:tcPr>
          <w:p>
            <w:r/>
            <w:r>
              <w:rPr>
                <w:b/>
                <w:color w:val="FFFFFF"/>
                <w:sz w:val="19"/>
              </w:rPr>
              <w:t>Applies from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D4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EU Cosmetics Regulation (EC) 1223/2009, Annex II (prohibited substances)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Prohibited in cosmetics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Already in force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D5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REACH Annex XVII, as amended by Reg. (EU) 2024/1328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≤ 0.1 % w/w in rinse-off cosmetics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31/01/2020 (in force)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D5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REACH Annex XVII, Reg. (EU) 2024/1328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≤ 0.1 % w/w in leave-on cosmetics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06/06/2027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D6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REACH Annex XVII, Reg. (EU) 2024/1328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≤ 0.1 % w/w in rinse-off and leave-on cosmetics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06/06/2027</w:t>
            </w:r>
          </w:p>
        </w:tc>
      </w:tr>
    </w:tbl>
    <w:p/>
    <w:p>
      <w:r>
        <w:rPr>
          <w:i w:val="0"/>
          <w:color w:val="555555"/>
        </w:rPr>
        <w:t>Regulation (EU) 2024/1328 was published in the EU Official Journal on 17/05/2024. It also restricts D4/D5/D6 in other consumer and professional products, with separate dates per product type.</w:t>
      </w:r>
    </w:p>
    <w:p>
      <w:r>
        <w:rPr>
          <w:b/>
          <w:i w:val="0"/>
        </w:rPr>
        <w:t>2.2 Israel (to be confirmed)</w:t>
      </w:r>
    </w:p>
    <w:p>
      <w:pPr>
        <w:pStyle w:val="ListBullet"/>
      </w:pPr>
      <w:r>
        <w:rPr>
          <w:b/>
        </w:rPr>
        <w:t>Cosmetics framework:</w:t>
      </w:r>
      <w:r>
        <w:t xml:space="preserve"> Israel's Ministry of Health cosmetics reform is modelled on EU Regulation (EC) 1223/2009 (responsible person, safety assessment, product information file, GMP, electronic notification).</w:t>
      </w:r>
    </w:p>
    <w:p>
      <w:pPr>
        <w:pStyle w:val="ListBullet"/>
      </w:pPr>
      <w:r>
        <w:rPr>
          <w:b/>
        </w:rPr>
        <w:t>Open point:</w:t>
      </w:r>
      <w:r>
        <w:t xml:space="preserve"> The D5/D6 limits above sit in REACH, not in the Cosmetics Regulation. I have not yet found an official Israeli text that applies the REACH Annex XVII cyclosiloxane limits to products sold only in Israel. I am confirming this with the Ministry of Health cosmetics unit and will send you the reference.</w:t>
      </w:r>
    </w:p>
    <w:p>
      <w:pPr>
        <w:pStyle w:val="ListBullet"/>
      </w:pPr>
      <w:r>
        <w:rPr>
          <w:b/>
        </w:rPr>
        <w:t>Practical effect:</w:t>
      </w:r>
      <w:r>
        <w:t xml:space="preserve"> Israeli exporters to the EU (cosmetics, personal care, and textile/home-care products sold in Europe) must comply with the EU dates regardless of the local position. This is the commercial driver.</w:t>
      </w:r>
    </w:p>
    <w:p>
      <w:pPr>
        <w:spacing w:before="200"/>
      </w:pPr>
      <w:r>
        <w:rPr>
          <w:b/>
          <w:color w:val="B0005F"/>
          <w:sz w:val="26"/>
        </w:rPr>
        <w:t>3. Silitex grades mapped to incumbent products</w:t>
      </w:r>
    </w:p>
    <w:p>
      <w:r>
        <w:rPr>
          <w:i w:val="0"/>
          <w:color w:val="555555"/>
        </w:rPr>
        <w:t>Matches are taken from the Silitex 2026 catalogues and our cross-reference table. Exact equivalence must be confirmed on TDS and by lab test before any customer claim.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2948"/>
        <w:gridCol w:w="2835"/>
      </w:tblGrid>
      <w:tr>
        <w:trPr>
          <w:tblHeader w:val="true"/>
        </w:trPr>
        <w:tc>
          <w:tcPr>
            <w:tcW w:type="dxa" w:w="1928"/>
            <w:shd w:val="clear" w:color="auto" w:fill="B0005F"/>
          </w:tcPr>
          <w:p>
            <w:r/>
            <w:r>
              <w:rPr>
                <w:b/>
                <w:color w:val="FFFFFF"/>
                <w:sz w:val="19"/>
              </w:rPr>
              <w:t>Application</w:t>
            </w:r>
          </w:p>
        </w:tc>
        <w:tc>
          <w:tcPr>
            <w:tcW w:type="dxa" w:w="1928"/>
            <w:shd w:val="clear" w:color="auto" w:fill="B0005F"/>
          </w:tcPr>
          <w:p>
            <w:r/>
            <w:r>
              <w:rPr>
                <w:b/>
                <w:color w:val="FFFFFF"/>
                <w:sz w:val="19"/>
              </w:rPr>
              <w:t>Incumbent type</w:t>
            </w:r>
          </w:p>
        </w:tc>
        <w:tc>
          <w:tcPr>
            <w:tcW w:type="dxa" w:w="2948"/>
            <w:shd w:val="clear" w:color="auto" w:fill="B0005F"/>
          </w:tcPr>
          <w:p>
            <w:r/>
            <w:r>
              <w:rPr>
                <w:b/>
                <w:color w:val="FFFFFF"/>
                <w:sz w:val="19"/>
              </w:rPr>
              <w:t>Silitex grade (code)</w:t>
            </w:r>
          </w:p>
        </w:tc>
        <w:tc>
          <w:tcPr>
            <w:tcW w:type="dxa" w:w="2835"/>
            <w:shd w:val="clear" w:color="auto" w:fill="B0005F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Elastomer gel (skin feel, primers)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Dow 9040 / 9041 type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SILIBLEND CROSS D (PO597) · DIVICROSS (PO680)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Gel in dimethicone — D5-free route vs D5-based 9040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Dimethicone / dimethiconol gum blend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NuSil CareSil CSF-3504, Dow gum blends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DIMETIBLEND (H2057) · ALKABLEND 6800 (H2256)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Silitex: 50 % dimethiconol feasible (16/10 call)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Dimethicone emulsion (body care)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Dow emulsions, 60 % type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BODYSIL 60 (E2404)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INCI: Dimethicone, Laureth-4, Laureth-23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Water-soluble silicone (PEG-12 dimethicone)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XIAMETER OFX-0193 / DOWSIL 193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PEG-12 DIMETHICONE (PO667) · PEG-10 DIMETHICONE (PO708)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Not a trisiloxane super-spreader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Amino softeners, textile (cyclic-free)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Amino microemulsions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MICROAMISIL (E1352) · MACROAMISIL (E1386) · IDROAMISIL 250 (E1453)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Textile/home care. Cyclic-free statement to be confirmed in writing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PDMS emulsions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XIAMETER MEM-0036 / DC 36 type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EVERSIL 35 / 60 / 350 / 3500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35–60 % active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Plant-origin, silicone-free additives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Eco-label detergents, green paints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FISIOREX 1000 · EVEROIL 35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Eco-label / biodegradability data to be supplied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Antifoams, detergents and process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Dow Antifoam A / 1520 type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BERETEX 350–1600 · DYNAPAN range · ANTISCHIUMA 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Silicone antifoam emulsions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Paper and pulp defoaming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Antifoam A FDA / AFE-1520 type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CPL 2907 (PO497, FDA)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Also CPL 2700 / 2730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Wax emulsions (paper, leather, polishes)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PE / microcrystalline wax emulsions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CARNAUBEX 442 / 300 / C · WASPER D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Not positioned for cosmetics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Water repellents (construction)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Silane / siloxane repellents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SILWALL PR · SILWALL PRF SUPER · IDROREX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Range being improved (16/10 call)</w:t>
            </w:r>
          </w:p>
        </w:tc>
      </w:tr>
    </w:tbl>
    <w:p/>
    <w:p>
      <w:r>
        <w:rPr>
          <w:i w:val="0"/>
          <w:color w:val="555555"/>
        </w:rPr>
        <w:t>Not included until Silitex confirms a grade: high-temperature refinery defoamers and agro super-spreaders (organo-modified trisiloxane type). Food sector: on hold as agreed on 16/10/2026.</w:t>
      </w:r>
    </w:p>
    <w:p>
      <w:pPr>
        <w:spacing w:before="200"/>
      </w:pPr>
      <w:r>
        <w:rPr>
          <w:b/>
          <w:color w:val="B0005F"/>
          <w:sz w:val="26"/>
        </w:rPr>
        <w:t>4. Where the demand is (by sector — account names after the agreement)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3742"/>
        <w:gridCol w:w="3288"/>
      </w:tblGrid>
      <w:tr>
        <w:trPr>
          <w:tblHeader w:val="true"/>
        </w:trPr>
        <w:tc>
          <w:tcPr>
            <w:tcW w:type="dxa" w:w="2608"/>
            <w:shd w:val="clear" w:color="auto" w:fill="B0005F"/>
          </w:tcPr>
          <w:p>
            <w:r/>
            <w:r>
              <w:rPr>
                <w:b/>
                <w:color w:val="FFFFFF"/>
                <w:sz w:val="19"/>
              </w:rPr>
              <w:t>Sector</w:t>
            </w:r>
          </w:p>
        </w:tc>
        <w:tc>
          <w:tcPr>
            <w:tcW w:type="dxa" w:w="3742"/>
            <w:shd w:val="clear" w:color="auto" w:fill="B0005F"/>
          </w:tcPr>
          <w:p>
            <w:r/>
            <w:r>
              <w:rPr>
                <w:b/>
                <w:color w:val="FFFFFF"/>
                <w:sz w:val="19"/>
              </w:rPr>
              <w:t>Need</w:t>
            </w:r>
          </w:p>
        </w:tc>
        <w:tc>
          <w:tcPr>
            <w:tcW w:type="dxa" w:w="3288"/>
            <w:shd w:val="clear" w:color="auto" w:fill="B0005F"/>
          </w:tcPr>
          <w:p>
            <w:r/>
            <w:r>
              <w:rPr>
                <w:b/>
                <w:color w:val="FFFFFF"/>
                <w:sz w:val="19"/>
              </w:rPr>
              <w:t>Lead Silitex grades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Cosmetics &amp; personal care (EU exporters)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D5/D6-free leave-on before 06/06/2027; second source for NuSil gels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SILIBLEND CROSS D, DIVICROSS, DIMETIBLEND, BODYSIL 60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Detergents &amp; household care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Foam control on filling lines; eco-label claims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BERETEX, DYNAPAN, FISIOREX 1000, EVEROIL 35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Textile finishing (EU exporters)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Cyclic-free softeners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MICROAMISIL, MACROAMISIL, IDROAMISIL 250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Paints &amp; coatings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Defoaming, silicone-free eco claims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FISIOREX 1000, wax emulsions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Paper &amp; packaging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Pulp and process defoaming (FDA)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CPL 2907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Construction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Water repellents for mortars and facades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SILWALL, IDROREX</w:t>
            </w:r>
          </w:p>
        </w:tc>
      </w:tr>
    </w:tbl>
    <w:p/>
    <w:p>
      <w:r>
        <w:rPr>
          <w:i w:val="0"/>
          <w:color w:val="555555"/>
        </w:rPr>
        <w:t>Customer names are shared under the signed agreement with its non-circumvention clause, as discussed.</w:t>
      </w:r>
    </w:p>
    <w:p>
      <w:pPr>
        <w:spacing w:before="200"/>
      </w:pPr>
      <w:r>
        <w:rPr>
          <w:b/>
          <w:color w:val="B0005F"/>
          <w:sz w:val="26"/>
        </w:rPr>
        <w:t>5. R&amp;D qualification route</w:t>
      </w:r>
    </w:p>
    <w:p>
      <w:pPr>
        <w:pStyle w:val="ListBullet"/>
      </w:pPr>
      <w:r>
        <w:rPr>
          <w:b/>
        </w:rPr>
        <w:t>Step 1 — Paper screening:</w:t>
      </w:r>
      <w:r>
        <w:t xml:space="preserve"> TDS, SDS and compliance statements to the customer's R&amp;D; Silitex application questionnaire completed before any sample.</w:t>
      </w:r>
    </w:p>
    <w:p>
      <w:pPr>
        <w:pStyle w:val="ListBullet"/>
      </w:pPr>
      <w:r>
        <w:rPr>
          <w:b/>
        </w:rPr>
        <w:t>Step 2 — Lab benchmark:</w:t>
      </w:r>
      <w:r>
        <w:t xml:space="preserve"> 1–2 kg samples, side-by-side bench tests including accelerated stability (temperature and time agreed per application).</w:t>
      </w:r>
    </w:p>
    <w:p>
      <w:pPr>
        <w:pStyle w:val="ListBullet"/>
      </w:pPr>
      <w:r>
        <w:rPr>
          <w:b/>
        </w:rPr>
        <w:t>Step 3 — Pilot:</w:t>
      </w:r>
      <w:r>
        <w:t xml:space="preserve"> plant trial on the customer's line under a trial order.</w:t>
      </w:r>
    </w:p>
    <w:p>
      <w:pPr>
        <w:pStyle w:val="ListBullet"/>
      </w:pPr>
      <w:r>
        <w:rPr>
          <w:b/>
        </w:rPr>
        <w:t>Step 4 — R&amp;D approval → purchasing:</w:t>
      </w:r>
      <w:r>
        <w:t xml:space="preserve"> technical sign-off, then commercial terms and recurring orders.</w:t>
      </w:r>
    </w:p>
    <w:p>
      <w:r>
        <w:rPr>
          <w:i w:val="0"/>
          <w:color w:val="555555"/>
        </w:rPr>
        <w:t>Typical time from sample to first order: industrial 3–9 months, cosmetics 12–24 months. We report progress monthly by stage.</w:t>
      </w:r>
    </w:p>
    <w:p>
      <w:pPr>
        <w:spacing w:before="200"/>
      </w:pPr>
      <w:r>
        <w:rPr>
          <w:b/>
          <w:color w:val="B0005F"/>
          <w:sz w:val="26"/>
        </w:rPr>
        <w:t>6. Supply model</w:t>
      </w:r>
    </w:p>
    <w:p>
      <w:pPr>
        <w:pStyle w:val="ListBullet"/>
      </w:pPr>
      <w:r>
        <w:rPr>
          <w:b/>
        </w:rPr>
        <w:t>Direct per PO:</w:t>
      </w:r>
      <w:r>
        <w:t xml:space="preserve"> every order shipped direct from Cologna Veneta to the customer's plant against a firm PO, fresh batch, at least 80 % shelf life on delivery. No speculative local stock.</w:t>
      </w:r>
    </w:p>
    <w:p>
      <w:pPr>
        <w:pStyle w:val="ListBullet"/>
      </w:pPr>
      <w:r>
        <w:rPr>
          <w:b/>
        </w:rPr>
        <w:t>Origin:</w:t>
      </w:r>
      <w:r>
        <w:t xml:space="preserve"> EUR.1 movement certificate → 0 % import duty under the EU–Israel agreement.</w:t>
      </w:r>
    </w:p>
    <w:p>
      <w:pPr>
        <w:pStyle w:val="ListBullet"/>
      </w:pPr>
      <w:r>
        <w:rPr>
          <w:b/>
        </w:rPr>
        <w:t>Payment security:</w:t>
      </w:r>
      <w:r>
        <w:t xml:space="preserve"> LC or CAD for new accounts; open terms for proven accounts, as agreed with Silitex.</w:t>
      </w:r>
    </w:p>
    <w:p>
      <w:pPr>
        <w:spacing w:before="200"/>
      </w:pPr>
      <w:r>
        <w:rPr>
          <w:b/>
          <w:color w:val="B0005F"/>
          <w:sz w:val="26"/>
        </w:rPr>
        <w:t>7. Sources</w:t>
      </w:r>
    </w:p>
    <w:p>
      <w:pPr>
        <w:pStyle w:val="ListBullet"/>
      </w:pPr>
      <w:r>
        <w:t>Regulation (EU) 2024/1328 (OJ 17/05/2024) — summary: coslaw.eu, 'REACH update: the EU further restricts the use of silicones D5 and D6 in cosmetic products'</w:t>
      </w:r>
    </w:p>
    <w:p>
      <w:pPr>
        <w:pStyle w:val="ListBullet"/>
      </w:pPr>
      <w:r>
        <w:t>EU Cosmetics Regulation (EC) 1223/2009, Annex II (D4)</w:t>
      </w:r>
    </w:p>
    <w:p>
      <w:pPr>
        <w:pStyle w:val="ListBullet"/>
      </w:pPr>
      <w:r>
        <w:t>Israel MoH draft Pharmacists' Regulations (Cosmetics) aligned with the EU Regulation — summary: obelis.net, 'Israel aligns with European cosmetics law'</w:t>
      </w:r>
    </w:p>
    <w:p>
      <w:pPr>
        <w:pStyle w:val="ListBullet"/>
      </w:pPr>
      <w:r>
        <w:t>Silitex 2026 catalogues (Cosmetics, Detergency, Paint &amp; Coating, Food &amp; Agri, Water) and Sapirim cross-reference table</w:t>
      </w:r>
    </w:p>
    <w:p>
      <w:pPr>
        <w:pStyle w:val="ListBullet"/>
      </w:pPr>
      <w:r>
        <w:t>Silitex × Sapirim Teams meeting, 16/10/2026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