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Arial" w:hAnsi="Arial"/>
          <w:b/>
          <w:color w:val="003366"/>
          <w:sz w:val="44"/>
        </w:rPr>
        <w:t>TECHNICAL BRIEFING &amp; REGULATORY COMPLIANCE DOSSIER</w:t>
      </w:r>
    </w:p>
    <w:p>
      <w:pPr>
        <w:spacing w:after="320"/>
        <w:jc w:val="left"/>
      </w:pPr>
      <w:r>
        <w:rPr>
          <w:rFonts w:ascii="Arial" w:hAnsi="Arial"/>
          <w:i/>
          <w:color w:val="4682B4"/>
          <w:sz w:val="24"/>
        </w:rPr>
        <w:t>Israel Ministry of Health Cosmetic Reform, EU REACH D4/D5 Restrictions, Silitex Technical Offsets, and Market Integration Strategy</w:t>
      </w:r>
    </w:p>
    <w:p>
      <w:pPr>
        <w:spacing w:after="240"/>
      </w:pPr>
      <w:r>
        <w:rPr>
          <w:b/>
        </w:rPr>
        <w:t xml:space="preserve">PREPARED FOR: </w:t>
      </w:r>
      <w:r>
        <w:t>Dr. Federica Biti &amp; Executive Management, Silitex S.r.l. (Cologna Veneta, Italy)</w:t>
        <w:br/>
      </w:r>
      <w:r>
        <w:rPr>
          <w:b/>
        </w:rPr>
        <w:t xml:space="preserve">PREPARED BY: </w:t>
      </w:r>
      <w:r>
        <w:t>Avshi Sapir, Sapirim Specialty Chemicals (Tel Aviv, Israel)</w:t>
        <w:br/>
      </w:r>
      <w:r>
        <w:rPr>
          <w:b/>
        </w:rPr>
        <w:t xml:space="preserve">SUBJECT: </w:t>
      </w:r>
      <w:r>
        <w:t>Israeli Regulatory Outlook, Silitex D4/D5-Free Alternatives, and 12-Month Sales Action Plan</w:t>
        <w:br/>
      </w:r>
      <w:r>
        <w:rPr>
          <w:b/>
        </w:rPr>
        <w:t xml:space="preserve">DATE: </w:t>
      </w:r>
      <w:r>
        <w:t>October 2026</w:t>
      </w:r>
    </w:p>
    <w:p>
      <w:pPr>
        <w:keepNext/>
        <w:spacing w:before="320" w:after="120"/>
      </w:pPr>
      <w:r>
        <w:rPr>
          <w:rFonts w:ascii="Arial" w:hAnsi="Arial"/>
          <w:b/>
          <w:color w:val="003366"/>
          <w:sz w:val="28"/>
        </w:rPr>
        <w:t>Executive Summary</w:t>
      </w:r>
    </w:p>
    <w:p>
      <w:r>
        <w:t>This briefing dossier has been compiled by Sapirim Specialty Chemicals for the executive team at Silitex S.r.l. It provides a comprehensive assessment of the regulatory landscape in Israel following the Ministry of Health (MoH) reform, which directly harmonizes Israeli domestic cosmetic standards with European Union REACH Annex XVII restrictions on cyclic siloxanes (D4, D5, and D6). As Israeli manufacturers face strict compliance deadlines for both local sales and European export markets, Silitex is uniquely positioned to capture significant market share with its certified D4/D5-free microemulsions, 100% plant-based bio-defoamers, and high-performance process emulsions.</w:t>
      </w:r>
    </w:p>
    <w:tbl>
      <w:tblPr>
        <w:tblW w:type="auto" w:w="0"/>
        <w:jc w:val="center"/>
        <w:tblLook w:firstColumn="1" w:firstRow="1" w:lastColumn="0" w:lastRow="0" w:noHBand="0" w:noVBand="1" w:val="04A0"/>
      </w:tblPr>
      <w:tblGrid>
        <w:gridCol w:w="9360"/>
      </w:tblGrid>
      <w:tr>
        <w:tc>
          <w:tcPr>
            <w:tcW w:type="dxa" w:w="9360"/>
            <w:shd w:fill="F4F6F9"/>
            <w:tcBorders>
              <w:top w:val="none"/>
              <w:left w:val="single" w:sz="24" w:space="0" w:color="003366"/>
              <w:bottom w:val="none"/>
              <w:right w:val="none"/>
            </w:tcBorders>
          </w:tcPr>
          <w:p>
            <w:pPr>
              <w:spacing w:before="120" w:after="120"/>
              <w:ind w:left="144" w:right="144"/>
            </w:pPr>
            <w:r>
              <w:rPr>
                <w:b/>
                <w:color w:val="003366"/>
              </w:rPr>
              <w:t xml:space="preserve">Strategic Opportunity: </w:t>
            </w:r>
            <w:r>
              <w:rPr>
                <w:sz w:val="20"/>
              </w:rPr>
              <w:t>Israeli cosmetic regulatory reform binds local MoH approval directly to EU Regulation (EC) No 1223/2009 and REACH Annex XVII. D4 is completely prohibited, while D5/D6 are capped at 0.1% across all leave-on products by June 2027. Silitex's certified D4/D5-free microemulsions (MICROAMISIL series) and plant-based bio-defoamers (FISIOREX 1000) provide an immediate regulatory lifeline for premier Israeli exporters like AHAVA, Careline, Delta Galil, and Tefron.</w:t>
            </w:r>
          </w:p>
        </w:tc>
      </w:tr>
    </w:tbl>
    <w:p/>
    <w:p>
      <w:pPr>
        <w:keepNext/>
        <w:spacing w:before="320" w:after="120"/>
      </w:pPr>
      <w:r>
        <w:rPr>
          <w:rFonts w:ascii="Arial" w:hAnsi="Arial"/>
          <w:b/>
          <w:color w:val="003366"/>
          <w:sz w:val="28"/>
        </w:rPr>
        <w:t>1. Israel Ministry of Health &amp; EU REACH Regulatory Harmonization</w:t>
      </w:r>
    </w:p>
    <w:p>
      <w:r>
        <w:t>The Israeli Ministry of Health has finalized a major regulatory reform that transitions domestic cosmetic oversight from an individual product licensing system to a European-style notification system aligned with EU Regulation (EC) No 1223/2009. Under this framework, any substance restricted or prohibited under EU REACH Annex XVII is automatically enforced by the Israeli MoH.</w:t>
      </w:r>
    </w:p>
    <w:p>
      <w:r>
        <w:rPr>
          <w:b/>
        </w:rPr>
        <w:t xml:space="preserve">• D4 (Cyclotetrasiloxane): </w:t>
      </w:r>
      <w:r>
        <w:t>Completely prohibited as an intentional ingredient in cosmetic formulations due to its classification as persistent, bioaccumulative, and toxic (PBT).</w:t>
      </w:r>
    </w:p>
    <w:p>
      <w:r>
        <w:rPr>
          <w:b/>
        </w:rPr>
        <w:t xml:space="preserve">• D5 (Cyclopentasiloxane) &amp; D6 (Cyclohexasiloxane): </w:t>
      </w:r>
      <w:r>
        <w:t>Restricted to &lt;0.1% by weight in rinse-off cosmetic products. Under European Commission Regulation (EU) 2024/1328 (published May 2024), this 0.1% restriction expands to all leave-on cosmetic products (serums, creams, body lotions, hair leave-ins), with full enforcement taking effect in June 2027.</w:t>
      </w:r>
    </w:p>
    <w:p>
      <w:r>
        <w:t>Commercial Impact on Israeli Industry: Major Israeli cosmetic and personal care brand owners (e.g., AHAVA Dead Sea Laboratories, Careline, Hlavin, Sano) as well as technical textile finishing leaders (Delta Galil, Tefron) must eliminate cyclic siloxane fluids from their formulations before 2027 to protect their European export access and maintain domestic compliance.</w:t>
      </w:r>
    </w:p>
    <w:p>
      <w:pPr>
        <w:keepNext/>
        <w:spacing w:before="320" w:after="120"/>
      </w:pPr>
      <w:r>
        <w:rPr>
          <w:rFonts w:ascii="Arial" w:hAnsi="Arial"/>
          <w:b/>
          <w:color w:val="003366"/>
          <w:sz w:val="28"/>
        </w:rPr>
        <w:t>2. Silitex Specialty Product Portfolio &amp; Incumbent Offsets</w:t>
      </w:r>
    </w:p>
    <w:p>
      <w:r>
        <w:t>Silitex S.r.l. manufactures a complete range of certified D4/D5-free silicone emulsions, elastomer gels, and 100% plant-based bio-additives that serve as direct drop-in technical replacements for legacy products from global giants (Dow Corning/Xiameter, Wacker, Evonik, Momentive).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003366"/>
          </w:tcPr>
          <w:p>
            <w:pPr>
              <w:spacing w:before="80" w:after="80"/>
              <w:jc w:val="left"/>
            </w:pPr>
            <w:r>
              <w:rPr>
                <w:b/>
                <w:color w:val="FFFFFF"/>
                <w:sz w:val="19"/>
              </w:rPr>
              <w:t>Silitex Product / SKU</w:t>
            </w:r>
          </w:p>
        </w:tc>
        <w:tc>
          <w:tcPr>
            <w:tcW w:type="dxa" w:w="2592"/>
            <w:shd w:fill="003366"/>
          </w:tcPr>
          <w:p>
            <w:pPr>
              <w:spacing w:before="80" w:after="80"/>
              <w:jc w:val="left"/>
            </w:pPr>
            <w:r>
              <w:rPr>
                <w:b/>
                <w:color w:val="FFFFFF"/>
                <w:sz w:val="19"/>
              </w:rPr>
              <w:t>INCI / Chemical Family</w:t>
            </w:r>
          </w:p>
        </w:tc>
        <w:tc>
          <w:tcPr>
            <w:tcW w:type="dxa" w:w="2448"/>
            <w:shd w:fill="003366"/>
          </w:tcPr>
          <w:p>
            <w:pPr>
              <w:spacing w:before="80" w:after="80"/>
              <w:jc w:val="left"/>
            </w:pPr>
            <w:r>
              <w:rPr>
                <w:b/>
                <w:color w:val="FFFFFF"/>
                <w:sz w:val="19"/>
              </w:rPr>
              <w:t>Incumbent Offset</w:t>
            </w:r>
          </w:p>
        </w:tc>
        <w:tc>
          <w:tcPr>
            <w:tcW w:type="dxa" w:w="2160"/>
            <w:shd w:fill="003366"/>
          </w:tcPr>
          <w:p>
            <w:pPr>
              <w:spacing w:before="80" w:after="80"/>
              <w:jc w:val="left"/>
            </w:pPr>
            <w:r>
              <w:rPr>
                <w:b/>
                <w:color w:val="FFFFFF"/>
                <w:sz w:val="19"/>
              </w:rPr>
              <w:t>Target Application</w:t>
            </w:r>
          </w:p>
        </w:tc>
      </w:tr>
      <w:tr>
        <w:tc>
          <w:tcPr>
            <w:tcW w:type="dxa" w:w="2160"/>
          </w:tcPr>
          <w:p>
            <w:pPr>
              <w:spacing w:before="60" w:after="60"/>
              <w:jc w:val="left"/>
            </w:pPr>
            <w:r>
              <w:rPr>
                <w:sz w:val="18"/>
              </w:rPr>
              <w:t>MICROAMISIL (E1352)</w:t>
            </w:r>
          </w:p>
        </w:tc>
        <w:tc>
          <w:tcPr>
            <w:tcW w:type="dxa" w:w="2592"/>
          </w:tcPr>
          <w:p>
            <w:pPr>
              <w:spacing w:before="60" w:after="60"/>
              <w:jc w:val="left"/>
            </w:pPr>
            <w:r>
              <w:rPr>
                <w:sz w:val="18"/>
              </w:rPr>
              <w:t>Amodimethicone Microemulsion (Certified D4/D5-Free)</w:t>
            </w:r>
          </w:p>
        </w:tc>
        <w:tc>
          <w:tcPr>
            <w:tcW w:type="dxa" w:w="2448"/>
          </w:tcPr>
          <w:p>
            <w:pPr>
              <w:spacing w:before="60" w:after="60"/>
              <w:jc w:val="left"/>
            </w:pPr>
            <w:r>
              <w:rPr>
                <w:sz w:val="18"/>
              </w:rPr>
              <w:t>Dow Corning CE-8401 / XIAMETER MEM-0036</w:t>
            </w:r>
          </w:p>
        </w:tc>
        <w:tc>
          <w:tcPr>
            <w:tcW w:type="dxa" w:w="2160"/>
          </w:tcPr>
          <w:p>
            <w:pPr>
              <w:spacing w:before="60" w:after="60"/>
              <w:jc w:val="left"/>
            </w:pPr>
            <w:r>
              <w:rPr>
                <w:sz w:val="18"/>
              </w:rPr>
              <w:t>Hair conditioning treatments, hair masks, split-end repair</w:t>
            </w:r>
          </w:p>
        </w:tc>
      </w:tr>
      <w:tr>
        <w:tc>
          <w:tcPr>
            <w:tcW w:type="dxa" w:w="2160"/>
            <w:shd w:fill="F4F6F9"/>
          </w:tcPr>
          <w:p>
            <w:pPr>
              <w:spacing w:before="60" w:after="60"/>
              <w:jc w:val="left"/>
            </w:pPr>
            <w:r>
              <w:rPr>
                <w:sz w:val="18"/>
              </w:rPr>
              <w:t>Silitex Velvet Gel SG 9040</w:t>
            </w:r>
          </w:p>
        </w:tc>
        <w:tc>
          <w:tcPr>
            <w:tcW w:type="dxa" w:w="2592"/>
            <w:shd w:fill="F4F6F9"/>
          </w:tcPr>
          <w:p>
            <w:pPr>
              <w:spacing w:before="60" w:after="60"/>
              <w:jc w:val="left"/>
            </w:pPr>
            <w:r>
              <w:rPr>
                <w:sz w:val="18"/>
              </w:rPr>
              <w:t>Cyclopentasiloxane / Dimethicone Crosspolymer</w:t>
            </w:r>
          </w:p>
        </w:tc>
        <w:tc>
          <w:tcPr>
            <w:tcW w:type="dxa" w:w="2448"/>
            <w:shd w:fill="F4F6F9"/>
          </w:tcPr>
          <w:p>
            <w:pPr>
              <w:spacing w:before="60" w:after="60"/>
              <w:jc w:val="left"/>
            </w:pPr>
            <w:r>
              <w:rPr>
                <w:sz w:val="18"/>
              </w:rPr>
              <w:t>Dow Corning 9040 / XIAMETER 9040</w:t>
            </w:r>
          </w:p>
        </w:tc>
        <w:tc>
          <w:tcPr>
            <w:tcW w:type="dxa" w:w="2160"/>
            <w:shd w:fill="F4F6F9"/>
          </w:tcPr>
          <w:p>
            <w:pPr>
              <w:spacing w:before="60" w:after="60"/>
              <w:jc w:val="left"/>
            </w:pPr>
            <w:r>
              <w:rPr>
                <w:sz w:val="18"/>
              </w:rPr>
              <w:t>Dead Sea mineral serums, primers, facial creams</w:t>
            </w:r>
          </w:p>
        </w:tc>
      </w:tr>
      <w:tr>
        <w:tc>
          <w:tcPr>
            <w:tcW w:type="dxa" w:w="2160"/>
          </w:tcPr>
          <w:p>
            <w:pPr>
              <w:spacing w:before="60" w:after="60"/>
              <w:jc w:val="left"/>
            </w:pPr>
            <w:r>
              <w:rPr>
                <w:sz w:val="18"/>
              </w:rPr>
              <w:t>BODYSIL / EVERSIL 35</w:t>
            </w:r>
          </w:p>
        </w:tc>
        <w:tc>
          <w:tcPr>
            <w:tcW w:type="dxa" w:w="2592"/>
          </w:tcPr>
          <w:p>
            <w:pPr>
              <w:spacing w:before="60" w:after="60"/>
              <w:jc w:val="left"/>
            </w:pPr>
            <w:r>
              <w:rPr>
                <w:sz w:val="18"/>
              </w:rPr>
              <w:t>Polydimethylsiloxane (Dimethicone) Emulsion 35%</w:t>
            </w:r>
          </w:p>
        </w:tc>
        <w:tc>
          <w:tcPr>
            <w:tcW w:type="dxa" w:w="2448"/>
          </w:tcPr>
          <w:p>
            <w:pPr>
              <w:spacing w:before="60" w:after="60"/>
              <w:jc w:val="left"/>
            </w:pPr>
            <w:r>
              <w:rPr>
                <w:sz w:val="18"/>
              </w:rPr>
              <w:t>Dow Corning 365 / Wacker SILRES</w:t>
            </w:r>
          </w:p>
        </w:tc>
        <w:tc>
          <w:tcPr>
            <w:tcW w:type="dxa" w:w="2160"/>
          </w:tcPr>
          <w:p>
            <w:pPr>
              <w:spacing w:before="60" w:after="60"/>
              <w:jc w:val="left"/>
            </w:pPr>
            <w:r>
              <w:rPr>
                <w:sz w:val="18"/>
              </w:rPr>
              <w:t>Body lotions, hand creams, skin barrier protection</w:t>
            </w:r>
          </w:p>
        </w:tc>
      </w:tr>
      <w:tr>
        <w:tc>
          <w:tcPr>
            <w:tcW w:type="dxa" w:w="2160"/>
            <w:shd w:fill="F4F6F9"/>
          </w:tcPr>
          <w:p>
            <w:pPr>
              <w:spacing w:before="60" w:after="60"/>
              <w:jc w:val="left"/>
            </w:pPr>
            <w:r>
              <w:rPr>
                <w:sz w:val="18"/>
              </w:rPr>
              <w:t>FISIOREX 1000</w:t>
            </w:r>
          </w:p>
        </w:tc>
        <w:tc>
          <w:tcPr>
            <w:tcW w:type="dxa" w:w="2592"/>
            <w:shd w:fill="F4F6F9"/>
          </w:tcPr>
          <w:p>
            <w:pPr>
              <w:spacing w:before="60" w:after="60"/>
              <w:jc w:val="left"/>
            </w:pPr>
            <w:r>
              <w:rPr>
                <w:sz w:val="18"/>
              </w:rPr>
              <w:t>100% Plant-Based Fatty Acid Esters (Zero Silicone)</w:t>
            </w:r>
          </w:p>
        </w:tc>
        <w:tc>
          <w:tcPr>
            <w:tcW w:type="dxa" w:w="2448"/>
            <w:shd w:fill="F4F6F9"/>
          </w:tcPr>
          <w:p>
            <w:pPr>
              <w:spacing w:before="60" w:after="60"/>
              <w:jc w:val="left"/>
            </w:pPr>
            <w:r>
              <w:rPr>
                <w:sz w:val="18"/>
              </w:rPr>
              <w:t>Synthetic Silicone Antifoams / Evonik TEGO</w:t>
            </w:r>
          </w:p>
        </w:tc>
        <w:tc>
          <w:tcPr>
            <w:tcW w:type="dxa" w:w="2160"/>
            <w:shd w:fill="F4F6F9"/>
          </w:tcPr>
          <w:p>
            <w:pPr>
              <w:spacing w:before="60" w:after="60"/>
              <w:jc w:val="left"/>
            </w:pPr>
            <w:r>
              <w:rPr>
                <w:sz w:val="18"/>
              </w:rPr>
              <w:t>Eco-coatings, clean-beauty, water-based paints, agtech</w:t>
            </w:r>
          </w:p>
        </w:tc>
      </w:tr>
      <w:tr>
        <w:tc>
          <w:tcPr>
            <w:tcW w:type="dxa" w:w="2160"/>
          </w:tcPr>
          <w:p>
            <w:pPr>
              <w:spacing w:before="60" w:after="60"/>
              <w:jc w:val="left"/>
            </w:pPr>
            <w:r>
              <w:rPr>
                <w:sz w:val="18"/>
              </w:rPr>
              <w:t>CARNAUBEX / WASPER D</w:t>
            </w:r>
          </w:p>
        </w:tc>
        <w:tc>
          <w:tcPr>
            <w:tcW w:type="dxa" w:w="2592"/>
          </w:tcPr>
          <w:p>
            <w:pPr>
              <w:spacing w:before="60" w:after="60"/>
              <w:jc w:val="left"/>
            </w:pPr>
            <w:r>
              <w:rPr>
                <w:sz w:val="18"/>
              </w:rPr>
              <w:t>Natural Carnauba / Beeswax Water Emulsion</w:t>
            </w:r>
          </w:p>
        </w:tc>
        <w:tc>
          <w:tcPr>
            <w:tcW w:type="dxa" w:w="2448"/>
          </w:tcPr>
          <w:p>
            <w:pPr>
              <w:spacing w:before="60" w:after="60"/>
              <w:jc w:val="left"/>
            </w:pPr>
            <w:r>
              <w:rPr>
                <w:sz w:val="18"/>
              </w:rPr>
              <w:t>Synthetic Polyethylene Waxes / Microcrystalline</w:t>
            </w:r>
          </w:p>
        </w:tc>
        <w:tc>
          <w:tcPr>
            <w:tcW w:type="dxa" w:w="2160"/>
          </w:tcPr>
          <w:p>
            <w:pPr>
              <w:spacing w:before="60" w:after="60"/>
              <w:jc w:val="left"/>
            </w:pPr>
            <w:r>
              <w:rPr>
                <w:sz w:val="18"/>
              </w:rPr>
              <w:t>Dead Sea mud masks, exfoliators, crack prevention</w:t>
            </w:r>
          </w:p>
        </w:tc>
      </w:tr>
      <w:tr>
        <w:tc>
          <w:tcPr>
            <w:tcW w:type="dxa" w:w="2160"/>
            <w:shd w:fill="F4F6F9"/>
          </w:tcPr>
          <w:p>
            <w:pPr>
              <w:spacing w:before="60" w:after="60"/>
              <w:jc w:val="left"/>
            </w:pPr>
            <w:r>
              <w:rPr>
                <w:sz w:val="18"/>
              </w:rPr>
              <w:t>BERETEX 750</w:t>
            </w:r>
          </w:p>
        </w:tc>
        <w:tc>
          <w:tcPr>
            <w:tcW w:type="dxa" w:w="2592"/>
            <w:shd w:fill="F4F6F9"/>
          </w:tcPr>
          <w:p>
            <w:pPr>
              <w:spacing w:before="60" w:after="60"/>
              <w:jc w:val="left"/>
            </w:pPr>
            <w:r>
              <w:rPr>
                <w:sz w:val="18"/>
              </w:rPr>
              <w:t>High-Active Simethicone Emulsion (High Shear)</w:t>
            </w:r>
          </w:p>
        </w:tc>
        <w:tc>
          <w:tcPr>
            <w:tcW w:type="dxa" w:w="2448"/>
            <w:shd w:fill="F4F6F9"/>
          </w:tcPr>
          <w:p>
            <w:pPr>
              <w:spacing w:before="60" w:after="60"/>
              <w:jc w:val="left"/>
            </w:pPr>
            <w:r>
              <w:rPr>
                <w:sz w:val="18"/>
              </w:rPr>
              <w:t>Dow Corning Antifoam A / Momentive SAG 10</w:t>
            </w:r>
          </w:p>
        </w:tc>
        <w:tc>
          <w:tcPr>
            <w:tcW w:type="dxa" w:w="2160"/>
            <w:shd w:fill="F4F6F9"/>
          </w:tcPr>
          <w:p>
            <w:pPr>
              <w:spacing w:before="60" w:after="60"/>
              <w:jc w:val="left"/>
            </w:pPr>
            <w:r>
              <w:rPr>
                <w:sz w:val="18"/>
              </w:rPr>
              <w:t>High-speed detergent bottling lines, liquid soap filling</w:t>
            </w:r>
          </w:p>
        </w:tc>
      </w:tr>
      <w:tr>
        <w:tc>
          <w:tcPr>
            <w:tcW w:type="dxa" w:w="2160"/>
          </w:tcPr>
          <w:p>
            <w:pPr>
              <w:spacing w:before="60" w:after="60"/>
              <w:jc w:val="left"/>
            </w:pPr>
            <w:r>
              <w:rPr>
                <w:sz w:val="18"/>
              </w:rPr>
              <w:t>Silitex Surfactant PE 193</w:t>
            </w:r>
          </w:p>
        </w:tc>
        <w:tc>
          <w:tcPr>
            <w:tcW w:type="dxa" w:w="2592"/>
          </w:tcPr>
          <w:p>
            <w:pPr>
              <w:spacing w:before="60" w:after="60"/>
              <w:jc w:val="left"/>
            </w:pPr>
            <w:r>
              <w:rPr>
                <w:sz w:val="18"/>
              </w:rPr>
              <w:t>PEG-12 Dimethicone (Organosilicone)</w:t>
            </w:r>
          </w:p>
        </w:tc>
        <w:tc>
          <w:tcPr>
            <w:tcW w:type="dxa" w:w="2448"/>
          </w:tcPr>
          <w:p>
            <w:pPr>
              <w:spacing w:before="60" w:after="60"/>
              <w:jc w:val="left"/>
            </w:pPr>
            <w:r>
              <w:rPr>
                <w:sz w:val="18"/>
              </w:rPr>
              <w:t>XIAMETER OFX-0193 / Silwet L-77</w:t>
            </w:r>
          </w:p>
        </w:tc>
        <w:tc>
          <w:tcPr>
            <w:tcW w:type="dxa" w:w="2160"/>
          </w:tcPr>
          <w:p>
            <w:pPr>
              <w:spacing w:before="60" w:after="60"/>
              <w:jc w:val="left"/>
            </w:pPr>
            <w:r>
              <w:rPr>
                <w:sz w:val="18"/>
              </w:rPr>
              <w:t>Agrochemical super-spreaders, tank-mix wetting agents</w:t>
            </w:r>
          </w:p>
        </w:tc>
      </w:tr>
    </w:tbl>
    <w:p/>
    <w:p>
      <w:pPr>
        <w:keepNext/>
        <w:spacing w:before="320" w:after="120"/>
      </w:pPr>
      <w:r>
        <w:rPr>
          <w:rFonts w:ascii="Arial" w:hAnsi="Arial"/>
          <w:b/>
          <w:color w:val="003366"/>
          <w:sz w:val="28"/>
        </w:rPr>
        <w:t>3. The R&amp;D-First Conversion Strategy &amp; Integration Roadmap</w:t>
      </w:r>
    </w:p>
    <w:p>
      <w:r>
        <w:t>In specialty chemical distribution, replacing an incumbent supplier is a risk-sensitive process. R&amp;D directors and plant chemists prioritize technical stability and batch consistency over raw price per kilogram. Commercial negotiations with Purchasing departments begin strictly after R&amp;D issues formal technical validation.</w:t>
      </w:r>
    </w:p>
    <w:p>
      <w:pPr>
        <w:keepNext/>
        <w:spacing w:before="240" w:after="80"/>
      </w:pPr>
      <w:r>
        <w:rPr>
          <w:rFonts w:ascii="Arial" w:hAnsi="Arial"/>
          <w:b/>
          <w:color w:val="4682B4"/>
          <w:sz w:val="24"/>
        </w:rPr>
        <w:t>The 4-Phase R&amp;D Qualification Workflow</w:t>
      </w:r>
    </w:p>
    <w:p>
      <w:r>
        <w:rPr>
          <w:b/>
        </w:rPr>
        <w:t xml:space="preserve">• Phase 1: Technical Outreach &amp; Paper Screening (Months 1–2): </w:t>
      </w:r>
      <w:r>
        <w:t>Deliver technical data sheets (TDS), safety data sheets (SDS §3), and EU REACH D4/D5 compliance dossiers to client R&amp;D teams.</w:t>
      </w:r>
    </w:p>
    <w:p>
      <w:r>
        <w:rPr>
          <w:b/>
        </w:rPr>
        <w:t xml:space="preserve">• Phase 2: Laboratory Benchmarking &amp; 54°C Stability Testing (Months 2–4): </w:t>
      </w:r>
      <w:r>
        <w:t>Dispatch 2kg sample kits for side-by-side bench trials. Formulations undergo a 14-day 54°C oven heat-stress test (simulating 2 years of warehouse shelf-life stability without separation).</w:t>
      </w:r>
    </w:p>
    <w:p>
      <w:r>
        <w:rPr>
          <w:b/>
        </w:rPr>
        <w:t xml:space="preserve">• Phase 3: Industrial Pilot Line Trial (Months 3–12): </w:t>
      </w:r>
      <w:r>
        <w:t>Conduct factory-scale trial runs using 1-to-5-ton pilot batches under firm Purchase Orders to verify shear stability and filling line performance.</w:t>
      </w:r>
    </w:p>
    <w:p>
      <w:r>
        <w:rPr>
          <w:b/>
        </w:rPr>
        <w:t xml:space="preserve">• Phase 4: Purchasing Contract &amp; Recurring Orders (Months 6–24): </w:t>
      </w:r>
      <w:r>
        <w:t>Finalize commercial agreements, credit terms, and recurring direct drop-shipment schedules.</w:t>
      </w:r>
    </w:p>
    <w:p>
      <w:pPr>
        <w:keepNext/>
        <w:spacing w:before="320" w:after="120"/>
      </w:pPr>
      <w:r>
        <w:rPr>
          <w:rFonts w:ascii="Arial" w:hAnsi="Arial"/>
          <w:b/>
          <w:color w:val="003366"/>
          <w:sz w:val="28"/>
        </w:rPr>
        <w:t>4. Priority Israeli Target Accounts &amp; Action Plan</w:t>
      </w:r>
    </w:p>
    <w:p>
      <w:r>
        <w:t>Sapirim has mapped out 10 priority anchor accounts across Israel's major industrial sectors, linking specific customer technical requirements with recommended Silitex SKUs: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003366"/>
          </w:tcPr>
          <w:p>
            <w:pPr>
              <w:spacing w:before="80" w:after="80"/>
              <w:jc w:val="left"/>
            </w:pPr>
            <w:r>
              <w:rPr>
                <w:b/>
                <w:color w:val="FFFFFF"/>
                <w:sz w:val="19"/>
              </w:rPr>
              <w:t>Account Name</w:t>
            </w:r>
          </w:p>
        </w:tc>
        <w:tc>
          <w:tcPr>
            <w:tcW w:type="dxa" w:w="2160"/>
            <w:shd w:fill="003366"/>
          </w:tcPr>
          <w:p>
            <w:pPr>
              <w:spacing w:before="80" w:after="80"/>
              <w:jc w:val="left"/>
            </w:pPr>
            <w:r>
              <w:rPr>
                <w:b/>
                <w:color w:val="FFFFFF"/>
                <w:sz w:val="19"/>
              </w:rPr>
              <w:t>Industry Sector</w:t>
            </w:r>
          </w:p>
        </w:tc>
        <w:tc>
          <w:tcPr>
            <w:tcW w:type="dxa" w:w="2592"/>
            <w:shd w:fill="003366"/>
          </w:tcPr>
          <w:p>
            <w:pPr>
              <w:spacing w:before="80" w:after="80"/>
              <w:jc w:val="left"/>
            </w:pPr>
            <w:r>
              <w:rPr>
                <w:b/>
                <w:color w:val="FFFFFF"/>
                <w:sz w:val="19"/>
              </w:rPr>
              <w:t>Recommended Silitex SKU</w:t>
            </w:r>
          </w:p>
        </w:tc>
        <w:tc>
          <w:tcPr>
            <w:tcW w:type="dxa" w:w="2448"/>
            <w:shd w:fill="003366"/>
          </w:tcPr>
          <w:p>
            <w:pPr>
              <w:spacing w:before="80" w:after="80"/>
              <w:jc w:val="left"/>
            </w:pPr>
            <w:r>
              <w:rPr>
                <w:b/>
                <w:color w:val="FFFFFF"/>
                <w:sz w:val="19"/>
              </w:rPr>
              <w:t>R&amp;D Qualification Focus</w:t>
            </w:r>
          </w:p>
        </w:tc>
      </w:tr>
      <w:tr>
        <w:tc>
          <w:tcPr>
            <w:tcW w:type="dxa" w:w="2160"/>
          </w:tcPr>
          <w:p>
            <w:pPr>
              <w:spacing w:before="60" w:after="60"/>
              <w:jc w:val="left"/>
            </w:pPr>
            <w:r>
              <w:rPr>
                <w:sz w:val="18"/>
              </w:rPr>
              <w:t>AHAVA Dead Sea Labs</w:t>
            </w:r>
          </w:p>
        </w:tc>
        <w:tc>
          <w:tcPr>
            <w:tcW w:type="dxa" w:w="2160"/>
          </w:tcPr>
          <w:p>
            <w:pPr>
              <w:spacing w:before="60" w:after="60"/>
              <w:jc w:val="left"/>
            </w:pPr>
            <w:r>
              <w:rPr>
                <w:sz w:val="18"/>
              </w:rPr>
              <w:t>Personal Care &amp; Cosmetics</w:t>
            </w:r>
          </w:p>
        </w:tc>
        <w:tc>
          <w:tcPr>
            <w:tcW w:type="dxa" w:w="2592"/>
          </w:tcPr>
          <w:p>
            <w:pPr>
              <w:spacing w:before="60" w:after="60"/>
              <w:jc w:val="left"/>
            </w:pPr>
            <w:r>
              <w:rPr>
                <w:sz w:val="18"/>
              </w:rPr>
              <w:t>MICROAMISIL (E1352), Silitex Velvet Gel SG 9040, BODYSIL</w:t>
            </w:r>
          </w:p>
        </w:tc>
        <w:tc>
          <w:tcPr>
            <w:tcW w:type="dxa" w:w="2448"/>
          </w:tcPr>
          <w:p>
            <w:pPr>
              <w:spacing w:before="60" w:after="60"/>
              <w:jc w:val="left"/>
            </w:pPr>
            <w:r>
              <w:rPr>
                <w:sz w:val="18"/>
              </w:rPr>
              <w:t>EU REACH D4/D5-free compliance for Dead Sea mineral skincare exports</w:t>
            </w:r>
          </w:p>
        </w:tc>
      </w:tr>
      <w:tr>
        <w:tc>
          <w:tcPr>
            <w:tcW w:type="dxa" w:w="2160"/>
            <w:shd w:fill="F4F6F9"/>
          </w:tcPr>
          <w:p>
            <w:pPr>
              <w:spacing w:before="60" w:after="60"/>
              <w:jc w:val="left"/>
            </w:pPr>
            <w:r>
              <w:rPr>
                <w:sz w:val="18"/>
              </w:rPr>
              <w:t>Sano Bruno's Enterprises</w:t>
            </w:r>
          </w:p>
        </w:tc>
        <w:tc>
          <w:tcPr>
            <w:tcW w:type="dxa" w:w="2160"/>
            <w:shd w:fill="F4F6F9"/>
          </w:tcPr>
          <w:p>
            <w:pPr>
              <w:spacing w:before="60" w:after="60"/>
              <w:jc w:val="left"/>
            </w:pPr>
            <w:r>
              <w:rPr>
                <w:sz w:val="18"/>
              </w:rPr>
              <w:t>Detergents &amp; Household Care</w:t>
            </w:r>
          </w:p>
        </w:tc>
        <w:tc>
          <w:tcPr>
            <w:tcW w:type="dxa" w:w="2592"/>
            <w:shd w:fill="F4F6F9"/>
          </w:tcPr>
          <w:p>
            <w:pPr>
              <w:spacing w:before="60" w:after="60"/>
              <w:jc w:val="left"/>
            </w:pPr>
            <w:r>
              <w:rPr>
                <w:sz w:val="18"/>
              </w:rPr>
              <w:t>BERETEX 750, FISIOREX 1000</w:t>
            </w:r>
          </w:p>
        </w:tc>
        <w:tc>
          <w:tcPr>
            <w:tcW w:type="dxa" w:w="2448"/>
            <w:shd w:fill="F4F6F9"/>
          </w:tcPr>
          <w:p>
            <w:pPr>
              <w:spacing w:before="60" w:after="60"/>
              <w:jc w:val="left"/>
            </w:pPr>
            <w:r>
              <w:rPr>
                <w:sz w:val="18"/>
              </w:rPr>
              <w:t>Total Cost-in-Use reduction and bottle overflow prevention on high-speed filling lines</w:t>
            </w:r>
          </w:p>
        </w:tc>
      </w:tr>
      <w:tr>
        <w:tc>
          <w:tcPr>
            <w:tcW w:type="dxa" w:w="2160"/>
          </w:tcPr>
          <w:p>
            <w:pPr>
              <w:spacing w:before="60" w:after="60"/>
              <w:jc w:val="left"/>
            </w:pPr>
            <w:r>
              <w:rPr>
                <w:sz w:val="18"/>
              </w:rPr>
              <w:t>Termokir / Inrom Group</w:t>
            </w:r>
          </w:p>
        </w:tc>
        <w:tc>
          <w:tcPr>
            <w:tcW w:type="dxa" w:w="2160"/>
          </w:tcPr>
          <w:p>
            <w:pPr>
              <w:spacing w:before="60" w:after="60"/>
              <w:jc w:val="left"/>
            </w:pPr>
            <w:r>
              <w:rPr>
                <w:sz w:val="18"/>
              </w:rPr>
              <w:t>Construction &amp; Water Repellents</w:t>
            </w:r>
          </w:p>
        </w:tc>
        <w:tc>
          <w:tcPr>
            <w:tcW w:type="dxa" w:w="2592"/>
          </w:tcPr>
          <w:p>
            <w:pPr>
              <w:spacing w:before="60" w:after="60"/>
              <w:jc w:val="left"/>
            </w:pPr>
            <w:r>
              <w:rPr>
                <w:sz w:val="18"/>
              </w:rPr>
              <w:t>Silitex Idrorepellenti SH 1300, SH 1000</w:t>
            </w:r>
          </w:p>
        </w:tc>
        <w:tc>
          <w:tcPr>
            <w:tcW w:type="dxa" w:w="2448"/>
          </w:tcPr>
          <w:p>
            <w:pPr>
              <w:spacing w:before="60" w:after="60"/>
              <w:jc w:val="left"/>
            </w:pPr>
            <w:r>
              <w:rPr>
                <w:sz w:val="18"/>
              </w:rPr>
              <w:t>Waterproofing dry mortars and facade protection under harsh climate conditions</w:t>
            </w:r>
          </w:p>
        </w:tc>
      </w:tr>
      <w:tr>
        <w:tc>
          <w:tcPr>
            <w:tcW w:type="dxa" w:w="2160"/>
            <w:shd w:fill="F4F6F9"/>
          </w:tcPr>
          <w:p>
            <w:pPr>
              <w:spacing w:before="60" w:after="60"/>
              <w:jc w:val="left"/>
            </w:pPr>
            <w:r>
              <w:rPr>
                <w:sz w:val="18"/>
              </w:rPr>
              <w:t>Tambour Ltd. / Nirlat Ltd.</w:t>
            </w:r>
          </w:p>
        </w:tc>
        <w:tc>
          <w:tcPr>
            <w:tcW w:type="dxa" w:w="2160"/>
            <w:shd w:fill="F4F6F9"/>
          </w:tcPr>
          <w:p>
            <w:pPr>
              <w:spacing w:before="60" w:after="60"/>
              <w:jc w:val="left"/>
            </w:pPr>
            <w:r>
              <w:rPr>
                <w:sz w:val="18"/>
              </w:rPr>
              <w:t>Paints, Coatings &amp; Varnishes</w:t>
            </w:r>
          </w:p>
        </w:tc>
        <w:tc>
          <w:tcPr>
            <w:tcW w:type="dxa" w:w="2592"/>
            <w:shd w:fill="F4F6F9"/>
          </w:tcPr>
          <w:p>
            <w:pPr>
              <w:spacing w:before="60" w:after="60"/>
              <w:jc w:val="left"/>
            </w:pPr>
            <w:r>
              <w:rPr>
                <w:sz w:val="18"/>
              </w:rPr>
              <w:t>FISIOREX 1000, Silitex Additives</w:t>
            </w:r>
          </w:p>
        </w:tc>
        <w:tc>
          <w:tcPr>
            <w:tcW w:type="dxa" w:w="2448"/>
            <w:shd w:fill="F4F6F9"/>
          </w:tcPr>
          <w:p>
            <w:pPr>
              <w:spacing w:before="60" w:after="60"/>
              <w:jc w:val="left"/>
            </w:pPr>
            <w:r>
              <w:rPr>
                <w:sz w:val="18"/>
              </w:rPr>
              <w:t>Anti-cratering, scrub resistance, and zero-silicone eco-paint claims</w:t>
            </w:r>
          </w:p>
        </w:tc>
      </w:tr>
      <w:tr>
        <w:tc>
          <w:tcPr>
            <w:tcW w:type="dxa" w:w="2160"/>
          </w:tcPr>
          <w:p>
            <w:pPr>
              <w:spacing w:before="60" w:after="60"/>
              <w:jc w:val="left"/>
            </w:pPr>
            <w:r>
              <w:rPr>
                <w:sz w:val="18"/>
              </w:rPr>
              <w:t>Adama Agricultural / ICL</w:t>
            </w:r>
          </w:p>
        </w:tc>
        <w:tc>
          <w:tcPr>
            <w:tcW w:type="dxa" w:w="2160"/>
          </w:tcPr>
          <w:p>
            <w:pPr>
              <w:spacing w:before="60" w:after="60"/>
              <w:jc w:val="left"/>
            </w:pPr>
            <w:r>
              <w:rPr>
                <w:sz w:val="18"/>
              </w:rPr>
              <w:t>Agrochemicals &amp; Crop Protection</w:t>
            </w:r>
          </w:p>
        </w:tc>
        <w:tc>
          <w:tcPr>
            <w:tcW w:type="dxa" w:w="2592"/>
          </w:tcPr>
          <w:p>
            <w:pPr>
              <w:spacing w:before="60" w:after="60"/>
              <w:jc w:val="left"/>
            </w:pPr>
            <w:r>
              <w:rPr>
                <w:sz w:val="18"/>
              </w:rPr>
              <w:t>Silitex Surfactant PE 193, BERETEX 500</w:t>
            </w:r>
          </w:p>
        </w:tc>
        <w:tc>
          <w:tcPr>
            <w:tcW w:type="dxa" w:w="2448"/>
          </w:tcPr>
          <w:p>
            <w:pPr>
              <w:spacing w:before="60" w:after="60"/>
              <w:jc w:val="left"/>
            </w:pPr>
            <w:r>
              <w:rPr>
                <w:sz w:val="18"/>
              </w:rPr>
              <w:t>Organosilicone super-spreading and tank-mix defoaming in liquid fertilizers</w:t>
            </w:r>
          </w:p>
        </w:tc>
      </w:tr>
      <w:tr>
        <w:tc>
          <w:tcPr>
            <w:tcW w:type="dxa" w:w="2160"/>
            <w:shd w:fill="F4F6F9"/>
          </w:tcPr>
          <w:p>
            <w:pPr>
              <w:spacing w:before="60" w:after="60"/>
              <w:jc w:val="left"/>
            </w:pPr>
            <w:r>
              <w:rPr>
                <w:sz w:val="18"/>
              </w:rPr>
              <w:t>Infinya (Hadera Paper)</w:t>
            </w:r>
          </w:p>
        </w:tc>
        <w:tc>
          <w:tcPr>
            <w:tcW w:type="dxa" w:w="2160"/>
            <w:shd w:fill="F4F6F9"/>
          </w:tcPr>
          <w:p>
            <w:pPr>
              <w:spacing w:before="60" w:after="60"/>
              <w:jc w:val="left"/>
            </w:pPr>
            <w:r>
              <w:rPr>
                <w:sz w:val="18"/>
              </w:rPr>
              <w:t>Paper, Pulp &amp; Packaging</w:t>
            </w:r>
          </w:p>
        </w:tc>
        <w:tc>
          <w:tcPr>
            <w:tcW w:type="dxa" w:w="2592"/>
            <w:shd w:fill="F4F6F9"/>
          </w:tcPr>
          <w:p>
            <w:pPr>
              <w:spacing w:before="60" w:after="60"/>
              <w:jc w:val="left"/>
            </w:pPr>
            <w:r>
              <w:rPr>
                <w:sz w:val="18"/>
              </w:rPr>
              <w:t>Silitex CPL 2907, Process Antifoams</w:t>
            </w:r>
          </w:p>
        </w:tc>
        <w:tc>
          <w:tcPr>
            <w:tcW w:type="dxa" w:w="2448"/>
            <w:shd w:fill="F4F6F9"/>
          </w:tcPr>
          <w:p>
            <w:pPr>
              <w:spacing w:before="60" w:after="60"/>
              <w:jc w:val="left"/>
            </w:pPr>
            <w:r>
              <w:rPr>
                <w:sz w:val="18"/>
              </w:rPr>
              <w:t>Paper pulp slurry defoaming without impacting paper sheet tensile strength</w:t>
            </w:r>
          </w:p>
        </w:tc>
      </w:tr>
      <w:tr>
        <w:tc>
          <w:tcPr>
            <w:tcW w:type="dxa" w:w="2160"/>
          </w:tcPr>
          <w:p>
            <w:pPr>
              <w:spacing w:before="60" w:after="60"/>
              <w:jc w:val="left"/>
            </w:pPr>
            <w:r>
              <w:rPr>
                <w:sz w:val="18"/>
              </w:rPr>
              <w:t>Bazan Group (Refineries)</w:t>
            </w:r>
          </w:p>
        </w:tc>
        <w:tc>
          <w:tcPr>
            <w:tcW w:type="dxa" w:w="2160"/>
          </w:tcPr>
          <w:p>
            <w:pPr>
              <w:spacing w:before="60" w:after="60"/>
              <w:jc w:val="left"/>
            </w:pPr>
            <w:r>
              <w:rPr>
                <w:sz w:val="18"/>
              </w:rPr>
              <w:t>Petrochemicals &amp; Oil Refining</w:t>
            </w:r>
          </w:p>
        </w:tc>
        <w:tc>
          <w:tcPr>
            <w:tcW w:type="dxa" w:w="2592"/>
          </w:tcPr>
          <w:p>
            <w:pPr>
              <w:spacing w:before="60" w:after="60"/>
              <w:jc w:val="left"/>
            </w:pPr>
            <w:r>
              <w:rPr>
                <w:sz w:val="18"/>
              </w:rPr>
              <w:t>Silitex High-Temp Refinery Defoamer</w:t>
            </w:r>
          </w:p>
        </w:tc>
        <w:tc>
          <w:tcPr>
            <w:tcW w:type="dxa" w:w="2448"/>
          </w:tcPr>
          <w:p>
            <w:pPr>
              <w:spacing w:before="60" w:after="60"/>
              <w:jc w:val="left"/>
            </w:pPr>
            <w:r>
              <w:rPr>
                <w:sz w:val="18"/>
              </w:rPr>
              <w:t>Foam control in delayed coking drums at temperatures exceeding 200°C</w:t>
            </w:r>
          </w:p>
        </w:tc>
      </w:tr>
    </w:tbl>
    <w:p/>
    <w:p>
      <w:pPr>
        <w:keepNext/>
        <w:spacing w:before="320" w:after="120"/>
      </w:pPr>
      <w:r>
        <w:rPr>
          <w:rFonts w:ascii="Arial" w:hAnsi="Arial"/>
          <w:b/>
          <w:color w:val="003366"/>
          <w:sz w:val="28"/>
        </w:rPr>
        <w:t>5. Direct Drop-Shipment Logistics &amp; Financial Model</w:t>
      </w:r>
    </w:p>
    <w:p>
      <w:r>
        <w:t>To maximize price competitiveness and eliminate local warehouse overhead, Sapirim operates a Direct Drop-Shipment model:</w:t>
        <w:br/>
        <w:br/>
      </w:r>
      <w:r>
        <w:rPr>
          <w:b/>
        </w:rPr>
        <w:t xml:space="preserve">1. Order Execution: </w:t>
      </w:r>
      <w:r>
        <w:t>Orders are dispatched directly from Silitex's manufacturing facility in Cologna Veneta, Italy, to the client's plant in Israel in Full Container Loads (FCL) or 1000L IBC Totes based on firm Purchase Orders.</w:t>
        <w:br/>
      </w:r>
      <w:r>
        <w:rPr>
          <w:b/>
        </w:rPr>
        <w:t xml:space="preserve">2. Customs &amp; Duty Exemption: </w:t>
      </w:r>
      <w:r>
        <w:t>All shipments include EUR.1 Certificates of Origin, granting Israeli importers 0% customs duty under the EU-Israel Free Trade Agreement.</w:t>
        <w:br/>
      </w:r>
      <w:r>
        <w:rPr>
          <w:b/>
        </w:rPr>
        <w:t xml:space="preserve">3. Financial Security: </w:t>
      </w:r>
      <w:r>
        <w:t>Silitex's financial security is backed by Irrevocable Letters of Credit (LC) or Cash Against Documents (CAD) terms, while Sapirim manages local technical support and client relationship management.</w:t>
      </w:r>
    </w:p>
    <w:p>
      <w:pPr>
        <w:keepNext/>
        <w:spacing w:before="320" w:after="120"/>
      </w:pPr>
      <w:r>
        <w:rPr>
          <w:rFonts w:ascii="Arial" w:hAnsi="Arial"/>
          <w:b/>
          <w:color w:val="003366"/>
          <w:sz w:val="28"/>
        </w:rPr>
        <w:t>6. Document Control &amp; Reference Sources</w:t>
      </w:r>
    </w:p>
    <w:p>
      <w:r>
        <w:t>This document is grounded in and cross-referenced with the following core research reports and technical datasets:</w:t>
        <w:br/>
      </w:r>
      <w:r>
        <w:rPr>
          <w:b/>
        </w:rPr>
        <w:t xml:space="preserve">• Reference Report: </w:t>
      </w:r>
      <w:r>
        <w:t>Research Report on Israel Ministry of Health &amp; EU D4/D5 Cosmetic Restrictions (2024–2027 Regulatory Outlook).</w:t>
        <w:br/>
      </w:r>
      <w:r>
        <w:rPr>
          <w:b/>
        </w:rPr>
        <w:t xml:space="preserve">• Master Catalog: </w:t>
      </w:r>
      <w:r>
        <w:t>Silitex Official A-Z Product Catalog &amp; Global Competitor Offsets (Dow Corning, Wacker, Evonik, Momentive).</w:t>
        <w:br/>
      </w:r>
      <w:r>
        <w:rPr>
          <w:b/>
        </w:rPr>
        <w:t xml:space="preserve">• Action Plan: </w:t>
      </w:r>
      <w:r>
        <w:t>Silitex Israel CRM Sales Action Plan &amp; Target Company Technical Audit (Sapirim 2026).</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i/>
        <w:color w:val="777777"/>
        <w:sz w:val="16"/>
      </w:rPr>
      <w:t>Reference Report: Research Report on Israel Ministry of Health &amp; EU D4/D5 Cosmetic Restrictions</w:t>
    </w:r>
  </w:p>
  <w:p>
    <w:pPr>
      <w:jc w:val="right"/>
    </w:pPr>
    <w:r>
      <w:rPr>
        <w:color w:val="777777"/>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77777"/>
        <w:sz w:val="17"/>
      </w:rPr>
      <w:t>Sapirim &amp; Silitex S.r.l. — Technical &amp; Regulatory Dossier | Israel Market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Arial" w:hAnsi="Arial"/>
      <w:color w:val="3333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