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Настройка</w:t>
      </w:r>
      <w:r>
        <w:t xml:space="preserve"> </w:t>
      </w:r>
      <w:r>
        <w:t xml:space="preserve">NAT.</w:t>
      </w:r>
      <w:r>
        <w:t xml:space="preserve"> </w:t>
      </w:r>
      <w:r>
        <w:t xml:space="preserve">Планирование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подключению локальной сети организации к Интернету.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схему подсоединения локальной сети к Интернету.</w:t>
      </w:r>
    </w:p>
    <w:p>
      <w:pPr>
        <w:numPr>
          <w:ilvl w:val="0"/>
          <w:numId w:val="1001"/>
        </w:numPr>
        <w:pStyle w:val="Compact"/>
      </w:pPr>
      <w:r>
        <w:t xml:space="preserve">Построить модельные сети провайдера и сети Интернет</w:t>
      </w:r>
    </w:p>
    <w:p>
      <w:pPr>
        <w:numPr>
          <w:ilvl w:val="0"/>
          <w:numId w:val="1001"/>
        </w:numPr>
        <w:pStyle w:val="Compact"/>
      </w:pPr>
      <w:r>
        <w:t xml:space="preserve">Построить схемы сетей L1, L2, L3.</w:t>
      </w:r>
    </w:p>
    <w:p>
      <w:pPr>
        <w:numPr>
          <w:ilvl w:val="0"/>
          <w:numId w:val="1001"/>
        </w:numPr>
        <w:pStyle w:val="Compact"/>
      </w:pPr>
      <w:r>
        <w:t xml:space="preserve">При выполнении работы необходимо учитывать соглашение об именовании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 схеме предыдущего вашего проекта разместите согласно рис. 11.2 необходимое оборудование для сети провайдера и сети модельного Интернета: 4 медиаконвертера (Repeater-PT), 2 коммутатора типа Cisco 2960-24TT, маршрутизатор типа Cisco 2811, 4 сервера. Присвоим названия размещённым в сети провайдера и в сети модельного Интернета объектам согласно модельным предположениям и схеме L1 (рис. 1)</w:t>
      </w:r>
    </w:p>
    <w:p>
      <w:pPr>
        <w:pStyle w:val="CaptionedFigure"/>
      </w:pPr>
      <w:r>
        <w:drawing>
          <wp:inline>
            <wp:extent cx="3733800" cy="3959504"/>
            <wp:effectExtent b="0" l="0" r="0" t="0"/>
            <wp:docPr descr="логическая область проект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9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область проекта</w:t>
      </w:r>
    </w:p>
    <w:p>
      <w:pPr>
        <w:pStyle w:val="BodyText"/>
      </w:pPr>
      <w:r>
        <w:t xml:space="preserve">В физической рабочей области добавьте здание провайдера и здание, имитирующее расположение серверов модельного Интернета. Присвоим им соответствующие названия: Provider and Internet (рис. 2)</w:t>
      </w:r>
    </w:p>
    <w:p>
      <w:pPr>
        <w:pStyle w:val="CaptionedFigure"/>
      </w:pPr>
      <w:r>
        <w:drawing>
          <wp:inline>
            <wp:extent cx="3733800" cy="2508453"/>
            <wp:effectExtent b="0" l="0" r="0" t="0"/>
            <wp:docPr descr="добавление здания для провайдера и интерне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8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здания для провайдера и интернета</w:t>
      </w:r>
    </w:p>
    <w:p>
      <w:pPr>
        <w:pStyle w:val="BodyText"/>
      </w:pPr>
      <w:r>
        <w:t xml:space="preserve">На медиаконвертерах замените имеющиеся модули на PT-REPEATER-NM-1FFE и PT-REPEATER-NM-1CFE для подключения витой пары по технологии Fast Ethernet и оптоволокна соответственно (рис. 3)</w:t>
      </w:r>
    </w:p>
    <w:p>
      <w:pPr>
        <w:pStyle w:val="CaptionedFigure"/>
      </w:pPr>
      <w:r>
        <w:drawing>
          <wp:inline>
            <wp:extent cx="3733800" cy="1614616"/>
            <wp:effectExtent b="0" l="0" r="0" t="0"/>
            <wp:docPr descr="изменение модуле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4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модулей</w:t>
      </w:r>
    </w:p>
    <w:p>
      <w:pPr>
        <w:pStyle w:val="BodyText"/>
      </w:pPr>
      <w:r>
        <w:t xml:space="preserve">Проведем соединение объектов согласно скорректированной схеме L1. (рис. 4)</w:t>
      </w:r>
    </w:p>
    <w:p>
      <w:pPr>
        <w:pStyle w:val="CaptionedFigure"/>
      </w:pPr>
      <w:r>
        <w:drawing>
          <wp:inline>
            <wp:extent cx="3733800" cy="3704855"/>
            <wp:effectExtent b="0" l="0" r="0" t="0"/>
            <wp:docPr descr="соединение объектов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4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соединение объектов</w:t>
      </w:r>
    </w:p>
    <w:p>
      <w:pPr>
        <w:pStyle w:val="BodyText"/>
      </w:pPr>
      <w:r>
        <w:t xml:space="preserve">Пропишем IP-адреса серверам (рис. 5)</w:t>
      </w:r>
    </w:p>
    <w:p>
      <w:pPr>
        <w:pStyle w:val="CaptionedFigure"/>
      </w:pPr>
      <w:r>
        <w:drawing>
          <wp:inline>
            <wp:extent cx="3733800" cy="2062849"/>
            <wp:effectExtent b="0" l="0" r="0" t="0"/>
            <wp:docPr descr="присвоение IP-адресаци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присвоение IP-адресации</w:t>
      </w:r>
    </w:p>
    <w:p>
      <w:pPr>
        <w:pStyle w:val="BodyText"/>
      </w:pPr>
      <w:r>
        <w:t xml:space="preserve">Пропишем сведения о серверах на DNS-сервере сети «Донская (рис. 6)</w:t>
      </w:r>
    </w:p>
    <w:p>
      <w:pPr>
        <w:pStyle w:val="CaptionedFigure"/>
      </w:pPr>
      <w:r>
        <w:drawing>
          <wp:inline>
            <wp:extent cx="3733800" cy="2756855"/>
            <wp:effectExtent b="0" l="0" r="0" t="0"/>
            <wp:docPr descr="сведения о серверах на dns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сведения о серверах на dns</w:t>
      </w:r>
    </w:p>
    <w:p>
      <w:pPr>
        <w:pStyle w:val="BodyText"/>
      </w:pPr>
      <w:r>
        <w:t xml:space="preserve">Перенесем из сети «Донская» оборудование провайдера и модельной сети Интернета в соответствующие здания (рис. 7) (рис. 8)</w:t>
      </w:r>
    </w:p>
    <w:p>
      <w:pPr>
        <w:pStyle w:val="CaptionedFigure"/>
      </w:pPr>
      <w:r>
        <w:drawing>
          <wp:inline>
            <wp:extent cx="3733800" cy="1533614"/>
            <wp:effectExtent b="0" l="0" r="0" t="0"/>
            <wp:docPr descr="перенос оборудования провайдер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3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перенос оборудования провайдера</w:t>
      </w:r>
    </w:p>
    <w:p>
      <w:pPr>
        <w:pStyle w:val="CaptionedFigure"/>
      </w:pPr>
      <w:r>
        <w:drawing>
          <wp:inline>
            <wp:extent cx="3733800" cy="1519168"/>
            <wp:effectExtent b="0" l="0" r="0" t="0"/>
            <wp:docPr descr="перенос оборудования интернет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перенос оборудования интернета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было проведены подготовительные мероприятия по подключению локальной сети организации к Интернету.</w:t>
      </w:r>
    </w:p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Network Address Translation (NAT) — это метод преобразования IP-адресов в сетях, который позволяет множеству устройств в локальной сети (LAN) использовать один общий внешний IP-адрес для выхода в интернет. NAT изменяет заголовки пакетов, заменяя исходные адреса на внешний адрес маршрутизатора и наоборот, когда данные возвращаются в локальную сеть. Это помогает скрыть внутреннюю структуру сети и позволяет выполнять адресную экономию.</w:t>
      </w:r>
    </w:p>
    <w:p>
      <w:pPr>
        <w:numPr>
          <w:ilvl w:val="0"/>
          <w:numId w:val="1002"/>
        </w:numPr>
      </w:pPr>
      <w:r>
        <w:t xml:space="preserve">Как определить, находится ли узел сети за NAT:</w:t>
      </w:r>
    </w:p>
    <w:p>
      <w:pPr>
        <w:numPr>
          <w:ilvl w:val="1"/>
          <w:numId w:val="1003"/>
        </w:numPr>
        <w:pStyle w:val="Compact"/>
      </w:pPr>
      <w:r>
        <w:t xml:space="preserve">Попробуйте использовать внешние сервисы для определения IP-адреса, такие как</w:t>
      </w:r>
      <w:r>
        <w:t xml:space="preserve"> </w:t>
      </w:r>
      <w:r>
        <w:t xml:space="preserve">“</w:t>
      </w:r>
      <w:r>
        <w:t xml:space="preserve">whatismyip.com</w:t>
      </w:r>
      <w:r>
        <w:t xml:space="preserve">”</w:t>
      </w:r>
      <w:r>
        <w:t xml:space="preserve">. Если адрес, полученный от такого сервиса, отличается от адреса, который вы использовали для доступа в интернет, значит, устройство находится за NAT.</w:t>
      </w:r>
    </w:p>
    <w:p>
      <w:pPr>
        <w:numPr>
          <w:ilvl w:val="1"/>
          <w:numId w:val="1003"/>
        </w:numPr>
        <w:pStyle w:val="Compact"/>
      </w:pPr>
      <w:r>
        <w:t xml:space="preserve">Можно также провести тестирование, например, с помощью утилит, которые пытаются получить информацию о сетевом соединении. Любой адрес, который не соответствует определённому диапазону внутренних адресов (например, 192.168.x.x, 10.x.x.x или 172.16.x.x - 172.31.x.x), может указывать на NAT.</w:t>
      </w:r>
    </w:p>
    <w:p>
      <w:pPr>
        <w:numPr>
          <w:ilvl w:val="0"/>
          <w:numId w:val="1002"/>
        </w:numPr>
      </w:pPr>
      <w:r>
        <w:t xml:space="preserve">Оборудование, отвечающее за преобразование адреса методом NAT: В основном это маршрутизаторы и брандмауэры. Они могут выполнять NAT для всех подключенных пользователей в локальной сети. Маршрутизаторы, как правило, имеют встроенные механизмы NAT, позволяющие автоматически обрабатывать преобразование IP-адресов при передаче данных.</w:t>
      </w:r>
    </w:p>
    <w:p>
      <w:pPr>
        <w:numPr>
          <w:ilvl w:val="0"/>
          <w:numId w:val="1002"/>
        </w:numPr>
      </w:pPr>
      <w:r>
        <w:t xml:space="preserve">Отличие статического, динамического и перегруженного NAT:</w:t>
      </w:r>
    </w:p>
    <w:p>
      <w:pPr>
        <w:numPr>
          <w:ilvl w:val="1"/>
          <w:numId w:val="1004"/>
        </w:numPr>
        <w:pStyle w:val="Compact"/>
      </w:pPr>
      <w:r>
        <w:t xml:space="preserve">Статический NAT: Каждому внутреннему IP-адресу соответствует один определенный внешний IP-адрес. Используется для постоянного связывания, когда необходимо, чтобы внешний ресурс всегда мог находить устройство по одному и тому же адресу.</w:t>
      </w:r>
    </w:p>
    <w:p>
      <w:pPr>
        <w:numPr>
          <w:ilvl w:val="1"/>
          <w:numId w:val="1004"/>
        </w:numPr>
        <w:pStyle w:val="Compact"/>
      </w:pPr>
      <w:r>
        <w:t xml:space="preserve">Динамический NAT: Внутренние IP-адреса переводятся в пул внешних IP-адресов. Когда устройство обращается к интернету, ему назначается временный внешний IP-адрес из заранее определенного пула, который может меняться при каждом новом соединении.</w:t>
      </w:r>
    </w:p>
    <w:p>
      <w:pPr>
        <w:numPr>
          <w:ilvl w:val="1"/>
          <w:numId w:val="1004"/>
        </w:numPr>
        <w:pStyle w:val="Compact"/>
      </w:pPr>
      <w:r>
        <w:t xml:space="preserve">Перегруженный NAT (или PAT, Port Address Translation): Несколько внутренних IP-адресов могут использовать один и тот же внешний IP-адрес, различаясь между собой по номерам портов. Этот метод помогает сократить количество необходимых внешних IP-адресов.</w:t>
      </w:r>
    </w:p>
    <w:p>
      <w:pPr>
        <w:numPr>
          <w:ilvl w:val="0"/>
          <w:numId w:val="1002"/>
        </w:numPr>
      </w:pPr>
      <w:r>
        <w:t xml:space="preserve">Типы NAT:</w:t>
      </w:r>
    </w:p>
    <w:p>
      <w:pPr>
        <w:numPr>
          <w:ilvl w:val="1"/>
          <w:numId w:val="1005"/>
        </w:numPr>
        <w:pStyle w:val="Compact"/>
      </w:pPr>
      <w:r>
        <w:t xml:space="preserve">Статический NAT: Первичный тип NAT, при котором один внутренний адрес всегда отображается на один внешний.</w:t>
      </w:r>
    </w:p>
    <w:p>
      <w:pPr>
        <w:numPr>
          <w:ilvl w:val="1"/>
          <w:numId w:val="1005"/>
        </w:numPr>
        <w:pStyle w:val="Compact"/>
      </w:pPr>
      <w:r>
        <w:t xml:space="preserve">Динамический NAT: Как упоминалось ранее, внутренние адреса преобразуются в пул внешних адресов.</w:t>
      </w:r>
    </w:p>
    <w:p>
      <w:pPr>
        <w:numPr>
          <w:ilvl w:val="1"/>
          <w:numId w:val="1005"/>
        </w:numPr>
        <w:pStyle w:val="Compact"/>
      </w:pPr>
      <w:r>
        <w:t xml:space="preserve">Перегруженный NAT (PAT): Несколько внутренних устройств используют один внешний адрес, различаясь по портам.</w:t>
      </w:r>
    </w:p>
    <w:p>
      <w:pPr>
        <w:numPr>
          <w:ilvl w:val="1"/>
          <w:numId w:val="1005"/>
        </w:numPr>
        <w:pStyle w:val="Compact"/>
      </w:pPr>
      <w:r>
        <w:t xml:space="preserve">NAT с маршрутизацией: В этом случае NAT применяется к маршрутизируемым адресам, что позволяет поддерживать связь между сетью и интернетом более эффективно.</w:t>
      </w:r>
    </w:p>
    <w:p>
      <w:pPr>
        <w:numPr>
          <w:ilvl w:val="1"/>
          <w:numId w:val="1005"/>
        </w:numPr>
        <w:pStyle w:val="Compact"/>
      </w:pPr>
      <w:r>
        <w:t xml:space="preserve">NAT на уровне приложения: Используется в некоторых приложениях, например, в VoIP, где NAT обрабатывает tрафик с учетом специфики приложения, чтобы обеспечить совместимость.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NAT. Планирование</dc:title>
  <dc:creator>Шулуужук Айраана НПИбд-02-22</dc:creator>
  <dc:language>ru-RU</dc:language>
  <cp:keywords/>
  <dcterms:created xsi:type="dcterms:W3CDTF">2025-04-26T09:25:30Z</dcterms:created>
  <dcterms:modified xsi:type="dcterms:W3CDTF">2025-04-26T09:25:30Z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11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