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Статическая</w:t>
      </w:r>
      <w:r>
        <w:t xml:space="preserve"> </w:t>
      </w:r>
      <w:r>
        <w:t xml:space="preserve">маршрутизация</w:t>
      </w:r>
      <w:r>
        <w:t xml:space="preserve"> </w:t>
      </w:r>
      <w:r>
        <w:t xml:space="preserve">в</w:t>
      </w:r>
      <w:r>
        <w:t xml:space="preserve"> </w:t>
      </w:r>
      <w:r>
        <w:t xml:space="preserve">Интернете.</w:t>
      </w:r>
      <w:r>
        <w:t xml:space="preserve"> </w:t>
      </w:r>
      <w:r>
        <w:t xml:space="preserve">Настройка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14</w:t>
      </w: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Сочи.</w:t>
      </w:r>
    </w:p>
    <w:bookmarkEnd w:id="20"/>
    <w:bookmarkStart w:id="7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Настроим связь между территориями (рис. 1) (рис. 2) (рис. 3) (рис. 4) (рис. 5)</w:t>
      </w:r>
    </w:p>
    <w:p>
      <w:pPr>
        <w:pStyle w:val="CaptionedFigure"/>
      </w:pPr>
      <w:r>
        <w:drawing>
          <wp:inline>
            <wp:extent cx="3733800" cy="3612323"/>
            <wp:effectExtent b="0" l="0" r="0" t="0"/>
            <wp:docPr descr="Настройка интерфейсов коммутатора provider-sw-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2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интерфейсов коммутатора provider-sw-1</w:t>
      </w:r>
    </w:p>
    <w:p>
      <w:pPr>
        <w:pStyle w:val="CaptionedFigure"/>
      </w:pPr>
      <w:r>
        <w:drawing>
          <wp:inline>
            <wp:extent cx="3733800" cy="2722562"/>
            <wp:effectExtent b="0" l="0" r="0" t="0"/>
            <wp:docPr descr="Настройка интерфейсов маршрутизатора msk-donskaya-gw-1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2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интерфейсов маршрутизатора msk-donskaya-gw-1</w:t>
      </w:r>
    </w:p>
    <w:p>
      <w:pPr>
        <w:pStyle w:val="CaptionedFigure"/>
      </w:pPr>
      <w:r>
        <w:drawing>
          <wp:inline>
            <wp:extent cx="3733800" cy="2329394"/>
            <wp:effectExtent b="0" l="0" r="0" t="0"/>
            <wp:docPr descr="Настройка интерфейсов маршрутизатора msk-q42-gw-1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интерфейсов маршрутизатора msk-q42-gw-1</w:t>
      </w:r>
    </w:p>
    <w:p>
      <w:pPr>
        <w:pStyle w:val="CaptionedFigure"/>
      </w:pPr>
      <w:r>
        <w:drawing>
          <wp:inline>
            <wp:extent cx="3733800" cy="2464182"/>
            <wp:effectExtent b="0" l="0" r="0" t="0"/>
            <wp:docPr descr="Настройка интерфейсов коммутатора sch-sochi-sw-1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4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интерфейсов коммутатора sch-sochi-sw-1</w:t>
      </w:r>
    </w:p>
    <w:p>
      <w:pPr>
        <w:pStyle w:val="CaptionedFigure"/>
      </w:pPr>
      <w:r>
        <w:drawing>
          <wp:inline>
            <wp:extent cx="3733800" cy="2260076"/>
            <wp:effectExtent b="0" l="0" r="0" t="0"/>
            <wp:docPr descr="Настройка интерфейсов маршрутизатора sch-sochi-gw-1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интерфейсов маршрутизатора sch-sochi-gw-1</w:t>
      </w:r>
    </w:p>
    <w:p>
      <w:pPr>
        <w:pStyle w:val="BodyText"/>
      </w:pPr>
      <w:r>
        <w:t xml:space="preserve">Настроим оборудование, расположенное в квартале 42 в Москве (рис. 6) (рис. 7) (рис. 8) (рис. 9)</w:t>
      </w:r>
    </w:p>
    <w:p>
      <w:pPr>
        <w:pStyle w:val="CaptionedFigure"/>
      </w:pPr>
      <w:r>
        <w:drawing>
          <wp:inline>
            <wp:extent cx="3733800" cy="3110604"/>
            <wp:effectExtent b="0" l="0" r="0" t="0"/>
            <wp:docPr descr="Настройка интерфейсов маршрутизатора msk-q42-gw-1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интерфейсов маршрутизатора msk-q42-gw-1</w:t>
      </w:r>
    </w:p>
    <w:p>
      <w:pPr>
        <w:pStyle w:val="CaptionedFigure"/>
      </w:pPr>
      <w:r>
        <w:drawing>
          <wp:inline>
            <wp:extent cx="3733800" cy="2863420"/>
            <wp:effectExtent b="0" l="0" r="0" t="0"/>
            <wp:docPr descr="Настройка интерфейсов коммутатора msk-q42-sw-1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интерфейсов коммутатора msk-q42-sw-1</w:t>
      </w:r>
    </w:p>
    <w:p>
      <w:pPr>
        <w:pStyle w:val="CaptionedFigure"/>
      </w:pPr>
      <w:r>
        <w:drawing>
          <wp:inline>
            <wp:extent cx="3733800" cy="3588689"/>
            <wp:effectExtent b="0" l="0" r="0" t="0"/>
            <wp:docPr descr="Настройка интерфейсов маршрутизирующего коммутатора msk-hostel-gw-1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8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интерфейсов маршрутизирующего коммутатора msk-hostel-gw-1</w:t>
      </w:r>
    </w:p>
    <w:p>
      <w:pPr>
        <w:pStyle w:val="CaptionedFigure"/>
      </w:pPr>
      <w:r>
        <w:drawing>
          <wp:inline>
            <wp:extent cx="3733800" cy="2726168"/>
            <wp:effectExtent b="0" l="0" r="0" t="0"/>
            <wp:docPr descr="Настройка интерфейсов коммутатора msk-hostel-sw-1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интерфейсов коммутатора msk-hostel-sw-1</w:t>
      </w:r>
    </w:p>
    <w:p>
      <w:pPr>
        <w:pStyle w:val="BodyText"/>
      </w:pPr>
      <w:r>
        <w:t xml:space="preserve">Настроим оборудование, расположенное в филиале в г. Сочи (рис. 10) (рис. 11)</w:t>
      </w:r>
    </w:p>
    <w:p>
      <w:pPr>
        <w:pStyle w:val="CaptionedFigure"/>
      </w:pPr>
      <w:r>
        <w:drawing>
          <wp:inline>
            <wp:extent cx="3733800" cy="2258651"/>
            <wp:effectExtent b="0" l="0" r="0" t="0"/>
            <wp:docPr descr="Настройка интерфейсов маршрутизатора sch-sochi-gw-1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8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интерфейсов маршрутизатора sch-sochi-gw-1</w:t>
      </w:r>
    </w:p>
    <w:p>
      <w:pPr>
        <w:pStyle w:val="CaptionedFigure"/>
      </w:pPr>
      <w:r>
        <w:drawing>
          <wp:inline>
            <wp:extent cx="3733800" cy="2421924"/>
            <wp:effectExtent b="0" l="0" r="0" t="0"/>
            <wp:docPr descr="Настройка интерфейсов коммутатора sch-sochi-sw-1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интерфейсов коммутатора sch-sochi-sw-1</w:t>
      </w:r>
    </w:p>
    <w:p>
      <w:pPr>
        <w:pStyle w:val="BodyText"/>
      </w:pPr>
      <w:r>
        <w:t xml:space="preserve">Настроим статическую маршрутизацию между территориями (рис. 12) (рис. 13) (рис. 14)</w:t>
      </w:r>
    </w:p>
    <w:p>
      <w:pPr>
        <w:pStyle w:val="CaptionedFigure"/>
      </w:pPr>
      <w:r>
        <w:drawing>
          <wp:inline>
            <wp:extent cx="3733800" cy="950421"/>
            <wp:effectExtent b="0" l="0" r="0" t="0"/>
            <wp:docPr descr="Настройка маршрутизатора msk-donskaya-gw-1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маршрутизатора msk-donskaya-gw-1</w:t>
      </w:r>
    </w:p>
    <w:p>
      <w:pPr>
        <w:pStyle w:val="CaptionedFigure"/>
      </w:pPr>
      <w:r>
        <w:drawing>
          <wp:inline>
            <wp:extent cx="3733800" cy="1169303"/>
            <wp:effectExtent b="0" l="0" r="0" t="0"/>
            <wp:docPr descr="Настройка маршрутизатора msk-q42-gw-1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9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маршрутизатора msk-q42-gw-1</w:t>
      </w:r>
    </w:p>
    <w:p>
      <w:pPr>
        <w:pStyle w:val="CaptionedFigure"/>
      </w:pPr>
      <w:r>
        <w:drawing>
          <wp:inline>
            <wp:extent cx="3733800" cy="909099"/>
            <wp:effectExtent b="0" l="0" r="0" t="0"/>
            <wp:docPr descr="Настройка маршрутизатора sch-sochi-gw-1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9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маршрутизатора sch-sochi-gw-1</w:t>
      </w:r>
    </w:p>
    <w:p>
      <w:pPr>
        <w:pStyle w:val="BodyText"/>
      </w:pPr>
      <w:r>
        <w:t xml:space="preserve">Настроим статическую маршрутизацию на территории квартала 42 в г. Москве (рис. 15) (рис. 16)</w:t>
      </w:r>
    </w:p>
    <w:p>
      <w:pPr>
        <w:pStyle w:val="CaptionedFigure"/>
      </w:pPr>
      <w:r>
        <w:drawing>
          <wp:inline>
            <wp:extent cx="3733800" cy="931965"/>
            <wp:effectExtent b="0" l="0" r="0" t="0"/>
            <wp:docPr descr="Настройка маршрутизатора msk-q42-gw-1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1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маршрутизатора msk-q42-gw-1</w:t>
      </w:r>
    </w:p>
    <w:p>
      <w:pPr>
        <w:pStyle w:val="CaptionedFigure"/>
      </w:pPr>
      <w:r>
        <w:drawing>
          <wp:inline>
            <wp:extent cx="3733800" cy="1143269"/>
            <wp:effectExtent b="0" l="0" r="0" t="0"/>
            <wp:docPr descr="Настройка интерфейсов маршрутизирующего коммутатора msk-hostel-gw-1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3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Настройка интерфейсов маршрутизирующего коммутатора msk-hostel-gw-1</w:t>
      </w:r>
    </w:p>
    <w:p>
      <w:pPr>
        <w:pStyle w:val="BodyText"/>
      </w:pPr>
      <w:r>
        <w:t xml:space="preserve">Настроим NAT на маршрутизаторе msk-donskaya-gw-1 (рис. 17)</w:t>
      </w:r>
    </w:p>
    <w:p>
      <w:pPr>
        <w:pStyle w:val="CaptionedFigure"/>
      </w:pPr>
      <w:r>
        <w:drawing>
          <wp:inline>
            <wp:extent cx="3733800" cy="3369667"/>
            <wp:effectExtent b="0" l="0" r="0" t="0"/>
            <wp:docPr descr="Настройка NAT на маршрутизаторе msk-donskaya-gw-1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Настройка NAT на маршрутизаторе msk-donskaya-gw-1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было настроено взаимодействие через сеть провайдера посредством статической маршрутизации локальной сети организации с сетью основного здания, расположенного в 42-м квартале в Москве, и сетью филиала, расположенного в г. Сочи.</w:t>
      </w:r>
    </w:p>
    <w:bookmarkEnd w:id="73"/>
    <w:bookmarkStart w:id="74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В каких случаях следует использовать статическую маршрутизацию? При-</w:t>
      </w:r>
      <w:r>
        <w:t xml:space="preserve"> </w:t>
      </w:r>
      <w:r>
        <w:t xml:space="preserve">ведите примеры.</w:t>
      </w:r>
    </w:p>
    <w:p>
      <w:pPr>
        <w:pStyle w:val="FirstParagraph"/>
      </w:pPr>
      <w:r>
        <w:t xml:space="preserve">Статическая маршрутизация - это метод, при котором сетевой администратор вручную настраивает маршруты в таблице маршрутизации устройства (например, маршрутизатора). Это отличается от динамической маршрутизации, где маршрутизаторы обмениваются информацией и автоматически обновляют свои таблицы маршрутизации.</w:t>
      </w:r>
    </w:p>
    <w:p>
      <w:pPr>
        <w:pStyle w:val="BodyText"/>
      </w:pPr>
      <w:r>
        <w:t xml:space="preserve">Статическую маршрутизацию следует использовать в следующих случаях:</w:t>
      </w:r>
    </w:p>
    <w:p>
      <w:pPr>
        <w:pStyle w:val="SourceCode"/>
      </w:pPr>
      <w:r>
        <w:rPr>
          <w:rStyle w:val="VerbatimChar"/>
        </w:rPr>
        <w:t xml:space="preserve">Небольшие, простые сети: В сетях с небольшим количеством маршрутизаторов и предсказуемой топологией статическая маршрутизация может быть проще в настройке и управлении. Нет необходимости в сложных протоколах маршрутизации.</w:t>
      </w:r>
      <w:r>
        <w:br/>
      </w:r>
      <w:r>
        <w:rPr>
          <w:rStyle w:val="VerbatimChar"/>
        </w:rPr>
        <w:t xml:space="preserve">    Пример: Домашняя сеть с одним маршрутизатором, который подключается к интернету. Вы просто указываете маршрут по умолчанию через шлюз провайдера.</w:t>
      </w:r>
    </w:p>
    <w:p>
      <w:pPr>
        <w:numPr>
          <w:ilvl w:val="0"/>
          <w:numId w:val="1002"/>
        </w:numPr>
        <w:pStyle w:val="Compact"/>
      </w:pPr>
      <w:r>
        <w:t xml:space="preserve">Укажите основные принципы статической маршрутизации между VLANs.</w:t>
      </w:r>
    </w:p>
    <w:p>
      <w:pPr>
        <w:pStyle w:val="FirstParagraph"/>
      </w:pPr>
      <w:r>
        <w:t xml:space="preserve">Маршрутизация между VLANs (Virtual Local Area Networks) необходима, потому что VLANs по своей природе разделяют широковещательные домены. Устройства в разных VLANs не могут общаться напрямую на втором уровне модели OSI (канальный уровень). Для связи между VLANs требуется устройство третьего уровня (сетевой уровень), обычно маршрутизатор или коммутатор третьего уровня.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Статическая маршрутизация в Интернете. Настройка</dc:title>
  <dc:creator>Шулуужук Айраана НПИбд-02-22</dc:creator>
  <dc:language>ru-RU</dc:language>
  <cp:keywords/>
  <dcterms:created xsi:type="dcterms:W3CDTF">2025-05-06T12:08:38Z</dcterms:created>
  <dcterms:modified xsi:type="dcterms:W3CDTF">2025-05-06T12:08:38Z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 14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