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Настройка</w:t>
      </w:r>
      <w:r>
        <w:t xml:space="preserve"> </w:t>
      </w:r>
      <w:r>
        <w:t xml:space="preserve">VPN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16</w:t>
      </w:r>
    </w:p>
    <w:p>
      <w:pPr>
        <w:pStyle w:val="Author"/>
      </w:pPr>
      <w:r>
        <w:t xml:space="preserve">Шулуужук</w:t>
      </w:r>
      <w:r>
        <w:t xml:space="preserve"> </w:t>
      </w:r>
      <w:r>
        <w:t xml:space="preserve">Айраана</w:t>
      </w:r>
      <w:r>
        <w:t xml:space="preserve"> </w:t>
      </w:r>
      <w:r>
        <w:t xml:space="preserve">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настройки VPN-туннеля через незащищённое Интернет-соединение.</w:t>
      </w:r>
    </w:p>
    <w:bookmarkEnd w:id="20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Разместить в рабочей области проекта в соответствии с модельными предположениями оборудование для сети Университета г. Пиза (рис. 1) (рис. 2) (рис. 3)</w:t>
      </w:r>
    </w:p>
    <w:p>
      <w:pPr>
        <w:pStyle w:val="CaptionedFigure"/>
      </w:pPr>
      <w:r>
        <w:drawing>
          <wp:inline>
            <wp:extent cx="3733800" cy="1590241"/>
            <wp:effectExtent b="0" l="0" r="0" t="0"/>
            <wp:docPr descr="Раземещение необходимого оборудования в сеть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0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Раземещение необходимого оборудования в сеть</w:t>
      </w:r>
    </w:p>
    <w:p>
      <w:pPr>
        <w:pStyle w:val="CaptionedFigure"/>
      </w:pPr>
      <w:r>
        <w:drawing>
          <wp:inline>
            <wp:extent cx="3733800" cy="1758210"/>
            <wp:effectExtent b="0" l="0" r="0" t="0"/>
            <wp:docPr descr="Настройка портов на медиаконвертерах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8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портов на медиаконвертерах</w:t>
      </w:r>
    </w:p>
    <w:p>
      <w:pPr>
        <w:pStyle w:val="CaptionedFigure"/>
      </w:pPr>
      <w:r>
        <w:drawing>
          <wp:inline>
            <wp:extent cx="3733800" cy="2785328"/>
            <wp:effectExtent b="0" l="0" r="0" t="0"/>
            <wp:docPr descr="Проведение соединеия оборудования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5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Проведение соединеия оборудования</w:t>
      </w:r>
    </w:p>
    <w:p>
      <w:pPr>
        <w:pStyle w:val="BodyText"/>
      </w:pPr>
      <w:r>
        <w:t xml:space="preserve">В физической рабочей области проекта создадим город Пиза, здание Университета г. Пиза. Переместим туда соответствующее оборудование (рис. 4) (рис. 5) (рис. 6)</w:t>
      </w:r>
    </w:p>
    <w:p>
      <w:pPr>
        <w:pStyle w:val="CaptionedFigure"/>
      </w:pPr>
      <w:r>
        <w:drawing>
          <wp:inline>
            <wp:extent cx="3733800" cy="2758994"/>
            <wp:effectExtent b="0" l="0" r="0" t="0"/>
            <wp:docPr descr="Создание города Пиза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8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города Пиза</w:t>
      </w:r>
    </w:p>
    <w:p>
      <w:pPr>
        <w:pStyle w:val="CaptionedFigure"/>
      </w:pPr>
      <w:r>
        <w:drawing>
          <wp:inline>
            <wp:extent cx="3733800" cy="1960353"/>
            <wp:effectExtent b="0" l="0" r="0" t="0"/>
            <wp:docPr descr="Перемещение оборудования на соответствующие территории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0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 оборудования на соответствующие территории</w:t>
      </w:r>
    </w:p>
    <w:p>
      <w:pPr>
        <w:pStyle w:val="CaptionedFigure"/>
      </w:pPr>
      <w:r>
        <w:drawing>
          <wp:inline>
            <wp:extent cx="3733800" cy="2982685"/>
            <wp:effectExtent b="0" l="0" r="0" t="0"/>
            <wp:docPr descr="Оборудование на территории г. Пиза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2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Оборудование на территории г. Пиза</w:t>
      </w:r>
    </w:p>
    <w:p>
      <w:pPr>
        <w:pStyle w:val="BodyText"/>
      </w:pPr>
      <w:r>
        <w:t xml:space="preserve">Сделаем первоначальную настройку и настройку интерфейсов оборудования сети Университета г. Пиза (рис. 7) (рис. 8 (рис. 9) (рис. 10)</w:t>
      </w:r>
    </w:p>
    <w:p>
      <w:pPr>
        <w:pStyle w:val="CaptionedFigure"/>
      </w:pPr>
      <w:r>
        <w:drawing>
          <wp:inline>
            <wp:extent cx="3733800" cy="3175590"/>
            <wp:effectExtent b="0" l="0" r="0" t="0"/>
            <wp:docPr descr="Первоначальная настройка маршрутизатора pisa-unipi-gw-1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5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Первоначальная настройка маршрутизатора pisa-unipi-gw-1</w:t>
      </w:r>
    </w:p>
    <w:p>
      <w:pPr>
        <w:pStyle w:val="CaptionedFigure"/>
      </w:pPr>
      <w:r>
        <w:drawing>
          <wp:inline>
            <wp:extent cx="3733800" cy="3198622"/>
            <wp:effectExtent b="0" l="0" r="0" t="0"/>
            <wp:docPr descr="Первоначальная настройка коммутатора pisa-unipi-sw-1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Первоначальная настройка коммутатора pisa-unipi-sw-1</w:t>
      </w:r>
    </w:p>
    <w:p>
      <w:pPr>
        <w:pStyle w:val="CaptionedFigure"/>
      </w:pPr>
      <w:r>
        <w:drawing>
          <wp:inline>
            <wp:extent cx="3733800" cy="3237005"/>
            <wp:effectExtent b="0" l="0" r="0" t="0"/>
            <wp:docPr descr="Настройка интерфейсов маршрутизатора pisa-unipi-gw-1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7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Настройка интерфейсов маршрутизатора pisa-unipi-gw-1</w:t>
      </w:r>
    </w:p>
    <w:p>
      <w:pPr>
        <w:pStyle w:val="CaptionedFigure"/>
      </w:pPr>
      <w:r>
        <w:drawing>
          <wp:inline>
            <wp:extent cx="3733800" cy="2891682"/>
            <wp:effectExtent b="0" l="0" r="0" t="0"/>
            <wp:docPr descr="Настройка интерфейсов коммутатора pisa-unipi-sw-1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1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Настройка интерфейсов коммутатора pisa-unipi-sw-1</w:t>
      </w:r>
    </w:p>
    <w:p>
      <w:pPr>
        <w:pStyle w:val="BodyText"/>
      </w:pPr>
      <w:r>
        <w:t xml:space="preserve">Пропишем шлюз и ip-адрес на оконечном устройстве территории г. Пиза. После проведем проверку и пропингуем устройства (рис. 11) (рис. 12) (рис. 13)</w:t>
      </w:r>
    </w:p>
    <w:p>
      <w:pPr>
        <w:pStyle w:val="CaptionedFigure"/>
      </w:pPr>
      <w:r>
        <w:drawing>
          <wp:inline>
            <wp:extent cx="3733800" cy="2248406"/>
            <wp:effectExtent b="0" l="0" r="0" t="0"/>
            <wp:docPr descr="Шлюз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8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Шлюз</w:t>
      </w:r>
    </w:p>
    <w:p>
      <w:pPr>
        <w:pStyle w:val="CaptionedFigure"/>
      </w:pPr>
      <w:r>
        <w:drawing>
          <wp:inline>
            <wp:extent cx="3733800" cy="1968484"/>
            <wp:effectExtent b="0" l="0" r="0" t="0"/>
            <wp:docPr descr="IP-адресс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8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IP-адресс</w:t>
      </w:r>
    </w:p>
    <w:p>
      <w:pPr>
        <w:pStyle w:val="CaptionedFigure"/>
      </w:pPr>
      <w:r>
        <w:drawing>
          <wp:inline>
            <wp:extent cx="3733800" cy="2548821"/>
            <wp:effectExtent b="0" l="0" r="0" t="0"/>
            <wp:docPr descr="Пингование устройств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8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Пингование устройств</w:t>
      </w:r>
    </w:p>
    <w:p>
      <w:pPr>
        <w:pStyle w:val="BodyText"/>
      </w:pPr>
      <w:r>
        <w:t xml:space="preserve">Настроем VPN на основе протокола GRE (рис. 14) (рис. 15)</w:t>
      </w:r>
    </w:p>
    <w:p>
      <w:pPr>
        <w:pStyle w:val="CaptionedFigure"/>
      </w:pPr>
      <w:r>
        <w:drawing>
          <wp:inline>
            <wp:extent cx="3733800" cy="2966439"/>
            <wp:effectExtent b="0" l="0" r="0" t="0"/>
            <wp:docPr descr="Настройка маршрутизатора msk-donskaya-gw-1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6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Настройка маршрутизатора msk-donskaya-gw-1</w:t>
      </w:r>
    </w:p>
    <w:p>
      <w:pPr>
        <w:pStyle w:val="CaptionedFigure"/>
      </w:pPr>
      <w:r>
        <w:drawing>
          <wp:inline>
            <wp:extent cx="3733800" cy="2617509"/>
            <wp:effectExtent b="0" l="0" r="0" t="0"/>
            <wp:docPr descr="Настройка маршрутизатора pisa-unipi-gw-1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7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Настройка маршрутизатора pisa-unipi-gw-1</w:t>
      </w:r>
    </w:p>
    <w:p>
      <w:pPr>
        <w:pStyle w:val="BodyText"/>
      </w:pPr>
      <w:r>
        <w:t xml:space="preserve">Проверим доступность узлов сети Университета г. Пиза с ноутбука администратора сети «Донская» (рис. 16).</w:t>
      </w:r>
    </w:p>
    <w:p>
      <w:pPr>
        <w:pStyle w:val="CaptionedFigure"/>
      </w:pPr>
      <w:r>
        <w:drawing>
          <wp:inline>
            <wp:extent cx="3733800" cy="3173266"/>
            <wp:effectExtent b="0" l="0" r="0" t="0"/>
            <wp:docPr descr="Проверка доступности узлов г. Пиза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3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Проверка доступности узлов г. Пиза</w:t>
      </w:r>
    </w:p>
    <w:bookmarkEnd w:id="69"/>
    <w:bookmarkStart w:id="7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были получечены навыки настройки VPN-туннеля через незащищённое Интернет-соединение.</w:t>
      </w:r>
    </w:p>
    <w:bookmarkEnd w:id="70"/>
    <w:bookmarkStart w:id="7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Что такое VPN?</w:t>
      </w:r>
    </w:p>
    <w:p>
      <w:pPr>
        <w:pStyle w:val="FirstParagraph"/>
      </w:pPr>
      <w:r>
        <w:t xml:space="preserve">VPN (Virtual Private Network, виртуальная частная сеть) — это технология, которая создает защищённое и зашифрованное соединение между вашим устройством и удалённым сервером через интернет. Благодаря этому ваше интернет-соединение становится приватным и безопасным, а также позволяют скрыть ваш реальный IP-адрес и географическое положение.</w:t>
      </w:r>
    </w:p>
    <w:p>
      <w:pPr>
        <w:numPr>
          <w:ilvl w:val="0"/>
          <w:numId w:val="1002"/>
        </w:numPr>
      </w:pPr>
      <w:r>
        <w:t xml:space="preserve">В каких случаях следует использовать VPN?</w:t>
      </w:r>
    </w:p>
    <w:p>
      <w:pPr>
        <w:numPr>
          <w:ilvl w:val="0"/>
          <w:numId w:val="1000"/>
        </w:numPr>
      </w:pPr>
      <w:r>
        <w:t xml:space="preserve">Защита личных данных и конфиденциальности при использовании публичных Wi-Fi сетей.</w:t>
      </w:r>
      <w:r>
        <w:t xml:space="preserve"> </w:t>
      </w:r>
      <w:r>
        <w:t xml:space="preserve">Обход цензуры или блокировок сайтов и сервисов, ограниченных по регионам.</w:t>
      </w:r>
      <w:r>
        <w:t xml:space="preserve"> </w:t>
      </w:r>
      <w:r>
        <w:t xml:space="preserve">Скрытие реального IP-адреса для анонимности в интернете.</w:t>
      </w:r>
      <w:r>
        <w:t xml:space="preserve"> </w:t>
      </w:r>
      <w:r>
        <w:t xml:space="preserve">Получение доступа к контенту, доступному только в определённых странах.</w:t>
      </w:r>
      <w:r>
        <w:t xml:space="preserve"> </w:t>
      </w:r>
      <w:r>
        <w:t xml:space="preserve">Обеспечение безопасности при удалённой работе и подключении к корпоративной сети.</w:t>
      </w:r>
      <w:r>
        <w:t xml:space="preserve"> </w:t>
      </w:r>
      <w:r>
        <w:t xml:space="preserve">Защита от слежки со стороны провайдеров и государственных органов.</w:t>
      </w:r>
    </w:p>
    <w:p>
      <w:pPr>
        <w:numPr>
          <w:ilvl w:val="0"/>
          <w:numId w:val="1002"/>
        </w:numPr>
      </w:pPr>
      <w:r>
        <w:t xml:space="preserve">Как с помощью VPN обойти NAT?</w:t>
      </w:r>
    </w:p>
    <w:p>
      <w:pPr>
        <w:pStyle w:val="FirstParagraph"/>
      </w:pPr>
      <w:r>
        <w:t xml:space="preserve">NAT (Network Address Translation) — это технология, которая позволяет нескольким устройствам в локальной сети использовать один публичный IP-адрес для выхода в интернет. В большинстве случаев NAT не мешает использованию VPN, однако иногда могут возникать сложности с пробросом портов или соединениями, требующими входящих подключений.</w:t>
      </w:r>
    </w:p>
    <w:p>
      <w:pPr>
        <w:pStyle w:val="BodyText"/>
      </w:pPr>
      <w:r>
        <w:t xml:space="preserve">Обойти ограничения NAT с помощью VPN можно следующим образом:</w:t>
      </w:r>
    </w:p>
    <w:p>
      <w:pPr>
        <w:pStyle w:val="SourceCode"/>
      </w:pPr>
      <w:r>
        <w:rPr>
          <w:rStyle w:val="VerbatimChar"/>
        </w:rPr>
        <w:t xml:space="preserve">Использовать VPN-сервисы, поддерживающие протоколы, позволяющие проброс портов или работу с режимом "VPN Passthrough".</w:t>
      </w:r>
      <w:r>
        <w:br/>
      </w:r>
      <w:r>
        <w:rPr>
          <w:rStyle w:val="VerbatimChar"/>
        </w:rPr>
        <w:t xml:space="preserve">Настроить VPN на уровне маршрутизатора, чтобы все устройства сети автоматически использовали VPN, обеспечивая более стабильное соединение.</w:t>
      </w:r>
      <w:r>
        <w:br/>
      </w:r>
      <w:r>
        <w:rPr>
          <w:rStyle w:val="VerbatimChar"/>
        </w:rPr>
        <w:t xml:space="preserve">Использовать протоколы VPN, которые хорошо работают с NAT, например, OpenVPN с настройками для обхода NAT или протоколы, использующие UDP-оболочки.</w:t>
      </w:r>
      <w:r>
        <w:br/>
      </w:r>
      <w:r>
        <w:rPr>
          <w:rStyle w:val="VerbatimChar"/>
        </w:rPr>
        <w:t xml:space="preserve">В случае необходимости — настроить порт-форвардинг или использовать VPN-сервисы, предоставляющие статические IP-адреса или специальные функции обхода NAT.</w:t>
      </w:r>
    </w:p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Настройка VPN</dc:title>
  <dc:creator>Шулуужук Айраана НПИбд-02-22</dc:creator>
  <dc:language>ru-RU</dc:language>
  <cp:keywords/>
  <dcterms:created xsi:type="dcterms:W3CDTF">2025-05-27T20:10:08Z</dcterms:created>
  <dcterms:modified xsi:type="dcterms:W3CDTF">2025-05-27T20:10:08Z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Лабораторная работа № 16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