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Предварительная</w:t>
      </w:r>
      <w:r>
        <w:t xml:space="preserve"> </w:t>
      </w:r>
      <w:r>
        <w:t xml:space="preserve">настройка</w:t>
      </w:r>
      <w:r>
        <w:t xml:space="preserve"> </w:t>
      </w:r>
      <w:r>
        <w:t xml:space="preserve">оборудования</w:t>
      </w:r>
      <w:r>
        <w:t xml:space="preserve"> </w:t>
      </w:r>
      <w:r>
        <w:t xml:space="preserve">Cisco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Шулуужук</w:t>
      </w:r>
      <w:r>
        <w:t xml:space="preserve"> </w:t>
      </w:r>
      <w:r>
        <w:t xml:space="preserve">Айраана</w:t>
      </w:r>
      <w:r>
        <w:t xml:space="preserve"> </w:t>
      </w:r>
      <w:r>
        <w:t xml:space="preserve">НПИбд-02-22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основные навыки по начальному конфигурированию оборудования Cisco.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Сделать предварительную настройку маршрутизатора:</w:t>
      </w:r>
      <w:r>
        <w:t xml:space="preserve"> </w:t>
      </w:r>
      <w:r>
        <w:t xml:space="preserve">– задать имя в виде «город-территория-учётная_запись-тип_оборудования-номер»;</w:t>
      </w:r>
      <w:r>
        <w:t xml:space="preserve"> </w:t>
      </w:r>
      <w:r>
        <w:t xml:space="preserve">– задать интерфейсу Fast Ethernet с номером 0 ip-адрес 192.168.1.254 и маску 255.255.255.0, затем поднять интерфейс;</w:t>
      </w:r>
      <w:r>
        <w:t xml:space="preserve"> </w:t>
      </w:r>
      <w:r>
        <w:t xml:space="preserve">– задать пароль для доступа к привилегированному режиму (сначала в открытом виде, затем — в зашифрованном)</w:t>
      </w:r>
      <w:r>
        <w:t xml:space="preserve"> </w:t>
      </w:r>
      <w:r>
        <w:t xml:space="preserve">– настроить доступ к оборудованию сначала через telnet, затем — через ssh (используя в качестве имени домена donskaya.rudn.edu);</w:t>
      </w:r>
      <w:r>
        <w:t xml:space="preserve"> </w:t>
      </w:r>
      <w:r>
        <w:t xml:space="preserve">– сохранить и экспортировать конфигурацию в отдельный файл.</w:t>
      </w:r>
    </w:p>
    <w:p>
      <w:pPr>
        <w:numPr>
          <w:ilvl w:val="0"/>
          <w:numId w:val="1001"/>
        </w:numPr>
        <w:pStyle w:val="Compact"/>
      </w:pPr>
      <w:r>
        <w:t xml:space="preserve">Сделать предварительную настройку коммутатора:</w:t>
      </w:r>
      <w:r>
        <w:t xml:space="preserve"> </w:t>
      </w:r>
      <w:r>
        <w:t xml:space="preserve">– задать имя в виде «город-территория-учётная_запись-тип_оборудования-номер»;</w:t>
      </w:r>
      <w:r>
        <w:t xml:space="preserve"> </w:t>
      </w:r>
      <w:r>
        <w:t xml:space="preserve">– задать интерфейсу vlan 2 ip-адрес 192.168.2.1 и маску 255.255.255.0, затем поднять интерфейс;</w:t>
      </w:r>
      <w:r>
        <w:t xml:space="preserve"> </w:t>
      </w:r>
      <w:r>
        <w:t xml:space="preserve">– привязать интерфейс Fast Ethernet с номером 1 к vlan 2;</w:t>
      </w:r>
      <w:r>
        <w:t xml:space="preserve"> </w:t>
      </w:r>
      <w:r>
        <w:t xml:space="preserve">– задать в качестве адреса шлюза по умолчанию адрес 192.168.2.254;</w:t>
      </w:r>
      <w:r>
        <w:t xml:space="preserve"> </w:t>
      </w:r>
      <w:r>
        <w:t xml:space="preserve">– задать пароль для доступа к привилегированному режиму (сначала в открытом виде, затем — в зашифрованном);</w:t>
      </w:r>
      <w:r>
        <w:t xml:space="preserve"> </w:t>
      </w:r>
      <w:r>
        <w:t xml:space="preserve">– настроить доступ к оборудованию сначала через telnet, затем — через ssh (используя в качестве имени домена donskaya.rudn.edu);</w:t>
      </w:r>
      <w:r>
        <w:t xml:space="preserve"> </w:t>
      </w:r>
      <w:r>
        <w:t xml:space="preserve">– для пользователя admin задать доступ 1-го уровня по паролю;</w:t>
      </w:r>
      <w:r>
        <w:t xml:space="preserve"> </w:t>
      </w:r>
      <w:r>
        <w:t xml:space="preserve">– сохранить и экспортировать конфигурацию в отдельный файл.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логической рабочей области Packet Tracer разместим коммутатор, маршрутизатор и 2 оконечных устройства типа PC, соединим один PC с маршрутизатором, другой PC — с коммутатором (рис. 1).</w:t>
      </w:r>
    </w:p>
    <w:p>
      <w:pPr>
        <w:pStyle w:val="CaptionedFigure"/>
      </w:pPr>
      <w:r>
        <w:drawing>
          <wp:inline>
            <wp:extent cx="3733800" cy="3119925"/>
            <wp:effectExtent b="0" l="0" r="0" t="0"/>
            <wp:docPr descr="схема подключения оборудования для проведения его предварительной настройк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9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схема подключения оборудования для проведения его предварительной настройки</w:t>
      </w:r>
    </w:p>
    <w:p>
      <w:pPr>
        <w:pStyle w:val="BodyText"/>
      </w:pPr>
      <w:r>
        <w:t xml:space="preserve">Щёлкнув последовательно на каждом оконечном устройстве, зададим статические IP-адреса 192.168.1.10, 192.168.2.10 с маской подсети 255.255.255.0 (рис. 2).</w:t>
      </w:r>
    </w:p>
    <w:p>
      <w:pPr>
        <w:pStyle w:val="CaptionedFigure"/>
      </w:pPr>
      <w:r>
        <w:drawing>
          <wp:inline>
            <wp:extent cx="3733800" cy="2132314"/>
            <wp:effectExtent b="0" l="0" r="0" t="0"/>
            <wp:docPr descr="настройка статического IP-адреса на оконечных устройствах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 на оконечных устройствах</w:t>
      </w:r>
    </w:p>
    <w:p>
      <w:pPr>
        <w:pStyle w:val="BodyText"/>
      </w:pPr>
      <w:r>
        <w:t xml:space="preserve">Проведем настройку маршрутизатора в соответствии с заданием (рис. 3).</w:t>
      </w:r>
    </w:p>
    <w:p>
      <w:pPr>
        <w:pStyle w:val="CaptionedFigure"/>
      </w:pPr>
      <w:r>
        <w:drawing>
          <wp:inline>
            <wp:extent cx="3733800" cy="3422268"/>
            <wp:effectExtent b="0" l="0" r="0" t="0"/>
            <wp:docPr descr="настройка маршрутизатор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2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маршрутизатора</w:t>
      </w:r>
    </w:p>
    <w:p>
      <w:pPr>
        <w:pStyle w:val="BodyText"/>
      </w:pPr>
      <w:r>
        <w:t xml:space="preserve">Проведем настройку коммутатора в соответствии с заданием (рис. 4).</w:t>
      </w:r>
    </w:p>
    <w:p>
      <w:pPr>
        <w:pStyle w:val="CaptionedFigure"/>
      </w:pPr>
      <w:r>
        <w:drawing>
          <wp:inline>
            <wp:extent cx="3733800" cy="3488513"/>
            <wp:effectExtent b="0" l="0" r="0" t="0"/>
            <wp:docPr descr="настройка коммутатора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коммутатора</w:t>
      </w:r>
    </w:p>
    <w:p>
      <w:pPr>
        <w:pStyle w:val="BodyText"/>
      </w:pPr>
      <w:r>
        <w:t xml:space="preserve">Проверим работоспособность соединений с помощью команды ping (рис. 5) (рис. 6)</w:t>
      </w:r>
    </w:p>
    <w:p>
      <w:pPr>
        <w:pStyle w:val="CaptionedFigure"/>
      </w:pPr>
      <w:r>
        <w:drawing>
          <wp:inline>
            <wp:extent cx="3733800" cy="2301747"/>
            <wp:effectExtent b="0" l="0" r="0" t="0"/>
            <wp:docPr descr="проверка соединения к маршрутизвтору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1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соединения к маршрутизвтору</w:t>
      </w:r>
    </w:p>
    <w:p>
      <w:pPr>
        <w:pStyle w:val="CaptionedFigure"/>
      </w:pPr>
      <w:r>
        <w:drawing>
          <wp:inline>
            <wp:extent cx="3733800" cy="2616543"/>
            <wp:effectExtent b="0" l="0" r="0" t="0"/>
            <wp:docPr descr="проверка соединения к коммунатору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соединения к коммунатору</w:t>
      </w:r>
    </w:p>
    <w:p>
      <w:pPr>
        <w:pStyle w:val="BodyText"/>
      </w:pPr>
      <w:r>
        <w:t xml:space="preserve">Попробуем подключиться к коммутатору и маршрутизатору по протоколу удалённого доступа (telnet, ssh) (рис. 7) (рис. 8).</w:t>
      </w:r>
    </w:p>
    <w:p>
      <w:pPr>
        <w:pStyle w:val="CaptionedFigure"/>
      </w:pPr>
      <w:r>
        <w:drawing>
          <wp:inline>
            <wp:extent cx="3733800" cy="2065779"/>
            <wp:effectExtent b="0" l="0" r="0" t="0"/>
            <wp:docPr descr="проверка подключения к маршрутизатору по протоколу удаленного доступ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5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проверка подключения к маршрутизатору по протоколу удаленного доступа</w:t>
      </w:r>
    </w:p>
    <w:p>
      <w:pPr>
        <w:pStyle w:val="CaptionedFigure"/>
      </w:pPr>
      <w:r>
        <w:drawing>
          <wp:inline>
            <wp:extent cx="3733800" cy="1380198"/>
            <wp:effectExtent b="0" l="0" r="0" t="0"/>
            <wp:docPr descr="проверка подключения к коммутатору по протоколу удаленного доступа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 подключения к коммутатору по протоколу удаленного доступа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были получены основные навыки по начальному конфигурированию оборудования Cisco.</w:t>
      </w:r>
    </w:p>
    <w:bookmarkEnd w:id="47"/>
    <w:bookmarkStart w:id="48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Укажите возможные способы подключения к сетевому оборудованию.</w:t>
      </w:r>
    </w:p>
    <w:p>
      <w:pPr>
        <w:pStyle w:val="FirstParagraph"/>
      </w:pPr>
      <w:r>
        <w:t xml:space="preserve">Ответ: физическое подключение, беспроводное подключение, удаленное подключение.</w:t>
      </w:r>
    </w:p>
    <w:p>
      <w:pPr>
        <w:numPr>
          <w:ilvl w:val="0"/>
          <w:numId w:val="1003"/>
        </w:numPr>
        <w:pStyle w:val="Compact"/>
      </w:pPr>
      <w:r>
        <w:t xml:space="preserve">Каким типом сетевого кабеля следует подключать оконечное оборудование пользователя к маршрутизатору и почему?</w:t>
      </w:r>
    </w:p>
    <w:p>
      <w:pPr>
        <w:pStyle w:val="FirstParagraph"/>
      </w:pPr>
      <w:r>
        <w:t xml:space="preserve">Ответ: Для подключения оконечного оборудования пользователя к маршрутизатору наиболее подходящим типом сетевого кабеля является Категория 5e (Cat5e) или Категория 6 (Cat6) витая пара.</w:t>
      </w:r>
    </w:p>
    <w:p>
      <w:pPr>
        <w:numPr>
          <w:ilvl w:val="0"/>
          <w:numId w:val="1004"/>
        </w:numPr>
        <w:pStyle w:val="Compact"/>
      </w:pPr>
      <w:r>
        <w:t xml:space="preserve">Каким типом сетевого кабеля следует подключать оконечное оборудование пользователя к коммутатору и почему?</w:t>
      </w:r>
    </w:p>
    <w:p>
      <w:pPr>
        <w:pStyle w:val="FirstParagraph"/>
      </w:pPr>
      <w:r>
        <w:t xml:space="preserve">Ответ: Для подключения оконечного оборудования пользователя к commutator (коммутатору) следует подключать Категория 5e (Cat5e) или Категория 6 (Cat6) витая пара.</w:t>
      </w:r>
    </w:p>
    <w:p>
      <w:pPr>
        <w:numPr>
          <w:ilvl w:val="0"/>
          <w:numId w:val="1005"/>
        </w:numPr>
        <w:pStyle w:val="Compact"/>
      </w:pPr>
      <w:r>
        <w:t xml:space="preserve">Каким типом сетевого кабеля следует подключать коммутатор к коммутатору и почему?</w:t>
      </w:r>
    </w:p>
    <w:p>
      <w:pPr>
        <w:pStyle w:val="FirstParagraph"/>
      </w:pPr>
      <w:r>
        <w:t xml:space="preserve">Ответ: Для подключения коммутатора к коммутатору следует использовать Категория 6 (Cat6) или Категория 7 (Cat7) витая пара.</w:t>
      </w:r>
    </w:p>
    <w:p>
      <w:pPr>
        <w:numPr>
          <w:ilvl w:val="0"/>
          <w:numId w:val="1006"/>
        </w:numPr>
        <w:pStyle w:val="Compact"/>
      </w:pPr>
      <w:r>
        <w:t xml:space="preserve">Укажите возможные способы настройки доступа к сетевому оборудованию по паролю.</w:t>
      </w:r>
    </w:p>
    <w:p>
      <w:pPr>
        <w:pStyle w:val="FirstParagraph"/>
      </w:pPr>
      <w:r>
        <w:t xml:space="preserve">Ответ: локальный доступ, удаленный доступ (telnet), удаленный доступ (SSH - Secure Shell), SNMP (Simple Network Management Protocol)</w:t>
      </w:r>
    </w:p>
    <w:p>
      <w:pPr>
        <w:numPr>
          <w:ilvl w:val="0"/>
          <w:numId w:val="1007"/>
        </w:numPr>
        <w:pStyle w:val="Compact"/>
      </w:pPr>
      <w:r>
        <w:t xml:space="preserve">Укажите возможные способы настройки удалённого доступа к сетевому оборудованию. Какой из способов предпочтительнее и почему?</w:t>
      </w:r>
    </w:p>
    <w:p>
      <w:pPr>
        <w:pStyle w:val="FirstParagraph"/>
      </w:pPr>
      <w:r>
        <w:t xml:space="preserve">Ответ: SSH является предпочтительным способом для удаленного доступа к сетевому оборудованию.</w:t>
      </w:r>
      <w:r>
        <w:t xml:space="preserve"> </w:t>
      </w:r>
      <w:r>
        <w:t xml:space="preserve">Причины:</w:t>
      </w:r>
      <w:r>
        <w:t xml:space="preserve"> </w:t>
      </w:r>
      <w:r>
        <w:t xml:space="preserve">-Безопасность: SSH обеспечивает шифрование всего трафика, включая пароли и команды, что защищает данные от перехвата.</w:t>
      </w:r>
      <w:r>
        <w:t xml:space="preserve"> </w:t>
      </w:r>
      <w:r>
        <w:t xml:space="preserve">-Аутентификация: SSH поддерживает аутентификацию по паролю и ключам, что позволяет реализовать более надежные механизмы аутентификации.</w:t>
      </w:r>
      <w:r>
        <w:t xml:space="preserve"> </w:t>
      </w:r>
      <w:r>
        <w:t xml:space="preserve">-Надежность: SSH - хорошо зарекомендовавший себя протокол, который широко поддерживается и регулярно обновляется для исправления уязвимостей.</w:t>
      </w:r>
      <w:r>
        <w:t xml:space="preserve"> </w:t>
      </w:r>
      <w:r>
        <w:t xml:space="preserve">-Гибкость: SSH позволяет выполнять широкий спектр задач, от настройки оборудования до управления им.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Предварительная настройка оборудования Cisco</dc:title>
  <dc:creator>Шулуужук Айраана НПИбд-02-22</dc:creator>
  <dc:language>ru-RU</dc:language>
  <cp:keywords/>
  <dcterms:created xsi:type="dcterms:W3CDTF">2025-02-18T16:49:08Z</dcterms:created>
  <dcterms:modified xsi:type="dcterms:W3CDTF">2025-02-18T16:49:08Z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 2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