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24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Линейная</w:t>
      </w:r>
      <w:r>
        <w:t xml:space="preserve"> </w:t>
      </w:r>
      <w:r>
        <w:t xml:space="preserve">алгебра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7" w:name="Xc28563639bee130e298f75fd93151139a0dd5d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Поэлементные операции над многомерными массивами</w:t>
      </w:r>
    </w:p>
    <w:p>
      <w:pPr>
        <w:pStyle w:val="FirstParagraph"/>
      </w:pPr>
      <w:r>
        <w:t xml:space="preserve">Для матрицы 4 × 3 рассмотрим поэлементные операции сложения и произведения её</w:t>
      </w:r>
      <w:r>
        <w:t xml:space="preserve"> </w:t>
      </w:r>
      <w:r>
        <w:t xml:space="preserve">элементов. Для работы со средними значениями можно воспользоваться возможностями пакета Statistics (рис. 1) (рис. 2)</w:t>
      </w:r>
    </w:p>
    <w:p>
      <w:pPr>
        <w:pStyle w:val="CaptionedFigure"/>
      </w:pPr>
      <w:r>
        <w:drawing>
          <wp:inline>
            <wp:extent cx="3733800" cy="3710405"/>
            <wp:effectExtent b="0" l="0" r="0" t="0"/>
            <wp:docPr descr="Поэлементные операции над многомерными массивам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Поэлементные операции над многомерными массивами</w:t>
      </w:r>
    </w:p>
    <w:p>
      <w:pPr>
        <w:pStyle w:val="CaptionedFigure"/>
      </w:pPr>
      <w:r>
        <w:drawing>
          <wp:inline>
            <wp:extent cx="3733800" cy="3752705"/>
            <wp:effectExtent b="0" l="0" r="0" t="0"/>
            <wp:docPr descr="Поэлементные операции над многомерными массивам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Поэлементные операции над многомерными массивами</w:t>
      </w:r>
    </w:p>
    <w:bookmarkEnd w:id="27"/>
    <w:bookmarkStart w:id="34" w:name="Xe71a3b7cf23fde2857c4c69b12515f71438b9aa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Транспонирование, след, ранг, определитель и инверсия матрицы</w:t>
      </w:r>
    </w:p>
    <w:p>
      <w:pPr>
        <w:pStyle w:val="FirstParagraph"/>
      </w:pPr>
      <w:r>
        <w:t xml:space="preserve">Для выполнения таких операций над матрицами, как транспонирование, диагонали-</w:t>
      </w:r>
      <w:r>
        <w:t xml:space="preserve"> </w:t>
      </w:r>
      <w:r>
        <w:t xml:space="preserve">зация, определение следа, ранга, определителя матрицы и т.п. можно воспользоваться</w:t>
      </w:r>
      <w:r>
        <w:t xml:space="preserve"> </w:t>
      </w:r>
      <w:r>
        <w:t xml:space="preserve">библиотекой (пакетом) LinearAlgebra (рис. 3) (рис. 4)</w:t>
      </w:r>
    </w:p>
    <w:p>
      <w:pPr>
        <w:pStyle w:val="CaptionedFigure"/>
      </w:pPr>
      <w:r>
        <w:drawing>
          <wp:inline>
            <wp:extent cx="3733800" cy="3778427"/>
            <wp:effectExtent b="0" l="0" r="0" t="0"/>
            <wp:docPr descr="Транспонирование, след, ранг, определитель и инверсия матрицы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8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Транспонирование, след, ранг, определитель и инверсия матрицы</w:t>
      </w:r>
    </w:p>
    <w:p>
      <w:pPr>
        <w:pStyle w:val="CaptionedFigure"/>
      </w:pPr>
      <w:r>
        <w:drawing>
          <wp:inline>
            <wp:extent cx="3733800" cy="3543165"/>
            <wp:effectExtent b="0" l="0" r="0" t="0"/>
            <wp:docPr descr="Транспонирование, след, ранг, определитель и инверсия матриц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Транспонирование, след, ранг, определитель и инверсия матрицы</w:t>
      </w:r>
    </w:p>
    <w:bookmarkEnd w:id="34"/>
    <w:bookmarkStart w:id="41" w:name="Xd91d5cc23a5b4c7dd0e00c3f37738f394a8e13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Вычисление нормы векторов и матриц, повороты, вращения</w:t>
      </w:r>
    </w:p>
    <w:p>
      <w:pPr>
        <w:pStyle w:val="FirstParagraph"/>
      </w:pPr>
      <w:r>
        <w:t xml:space="preserve">Для вычисления нормы используется LinearAlgebra.norm(x) (рис. 5) (рис. 6)</w:t>
      </w:r>
    </w:p>
    <w:p>
      <w:pPr>
        <w:pStyle w:val="CaptionedFigure"/>
      </w:pPr>
      <w:r>
        <w:drawing>
          <wp:inline>
            <wp:extent cx="3733800" cy="3946249"/>
            <wp:effectExtent b="0" l="0" r="0" t="0"/>
            <wp:docPr descr="Вычисление нормы векторов и матриц, повороты, вращения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Вычисление нормы векторов и матриц, повороты, вращения</w:t>
      </w:r>
    </w:p>
    <w:p>
      <w:pPr>
        <w:pStyle w:val="CaptionedFigure"/>
      </w:pPr>
      <w:r>
        <w:drawing>
          <wp:inline>
            <wp:extent cx="3733800" cy="4474302"/>
            <wp:effectExtent b="0" l="0" r="0" t="0"/>
            <wp:docPr descr="Вычисление нормы векторов и матриц, повороты, вращения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Вычисление нормы векторов и матриц, повороты, вращения</w:t>
      </w:r>
    </w:p>
    <w:bookmarkEnd w:id="41"/>
    <w:bookmarkStart w:id="45" w:name="X5c7ba8ea9205f78450384725fbd8ae04a8a085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Матричное умножение, единичная матрица, скалярное произведение</w:t>
      </w:r>
    </w:p>
    <w:p>
      <w:pPr>
        <w:pStyle w:val="FirstParagraph"/>
      </w:pPr>
      <w:r>
        <w:t xml:space="preserve">Матричное умножение, единичная матрица, скалярное произведение (рис. 7)</w:t>
      </w:r>
    </w:p>
    <w:p>
      <w:pPr>
        <w:pStyle w:val="CaptionedFigure"/>
      </w:pPr>
      <w:r>
        <w:drawing>
          <wp:inline>
            <wp:extent cx="3733800" cy="3900487"/>
            <wp:effectExtent b="0" l="0" r="0" t="0"/>
            <wp:docPr descr="Матричное умножение, единичная матрица, скалярное произведение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Матричное умножение, единичная матрица, скалярное произведение</w:t>
      </w:r>
    </w:p>
    <w:bookmarkEnd w:id="45"/>
    <w:bookmarkStart w:id="79" w:name="Xc1b05fa6b627f0a61977718129e6f3db9a4d06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Факторизация. Специальные матричные структуры</w:t>
      </w:r>
    </w:p>
    <w:p>
      <w:pPr>
        <w:pStyle w:val="FirstParagraph"/>
      </w:pPr>
      <w:r>
        <w:t xml:space="preserve">В математике факторизация (или разложение) объекта — его декомпозиция (например,</w:t>
      </w:r>
      <w:r>
        <w:t xml:space="preserve"> </w:t>
      </w:r>
      <w:r>
        <w:t xml:space="preserve">числа, полинома или матрицы) в произведение других объектов или факторов, которые,</w:t>
      </w:r>
      <w:r>
        <w:t xml:space="preserve"> </w:t>
      </w:r>
      <w:r>
        <w:t xml:space="preserve">будучи перемноженными, дают исходный объект.</w:t>
      </w:r>
    </w:p>
    <w:p>
      <w:pPr>
        <w:pStyle w:val="BodyText"/>
      </w:pPr>
      <w:r>
        <w:t xml:space="preserve">Рассмотрим несколько примеров. Для работы со специальными матричными структурами потребуется пакет LinearAlgebra.</w:t>
      </w:r>
      <w:r>
        <w:t xml:space="preserve"> </w:t>
      </w:r>
      <w:r>
        <w:t xml:space="preserve">Решение систем линейный алгебраических уравнений Ax = b (рис. 8)</w:t>
      </w:r>
    </w:p>
    <w:p>
      <w:pPr>
        <w:pStyle w:val="CaptionedFigure"/>
      </w:pPr>
      <w:r>
        <w:drawing>
          <wp:inline>
            <wp:extent cx="3733800" cy="3274022"/>
            <wp:effectExtent b="0" l="0" r="0" t="0"/>
            <wp:docPr descr="Решение систем линейный алгебраических уравнений Ax = b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Решение систем линейный алгебраических уравнений Ax = b</w:t>
      </w:r>
    </w:p>
    <w:p>
      <w:pPr>
        <w:pStyle w:val="BodyText"/>
      </w:pPr>
      <w:r>
        <w:t xml:space="preserve">Julia позволяет вычислять LU-факторизацию и определяет составной тип факторизации для его хранения (рис. 9)</w:t>
      </w:r>
    </w:p>
    <w:p>
      <w:pPr>
        <w:pStyle w:val="CaptionedFigure"/>
      </w:pPr>
      <w:r>
        <w:drawing>
          <wp:inline>
            <wp:extent cx="3733800" cy="1283755"/>
            <wp:effectExtent b="0" l="0" r="0" t="0"/>
            <wp:docPr descr="LU-факторизация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LU-факторизация</w:t>
      </w:r>
    </w:p>
    <w:p>
      <w:pPr>
        <w:pStyle w:val="BodyText"/>
      </w:pPr>
      <w:r>
        <w:t xml:space="preserve">Различные части факторизации могут быть извлечены путём доступа к их специальным свойствам (рис. 10).</w:t>
      </w:r>
    </w:p>
    <w:p>
      <w:pPr>
        <w:pStyle w:val="CaptionedFigure"/>
      </w:pPr>
      <w:r>
        <w:drawing>
          <wp:inline>
            <wp:extent cx="3733800" cy="2850194"/>
            <wp:effectExtent b="0" l="0" r="0" t="0"/>
            <wp:docPr descr="Различные части факторизации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0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Различные части факторизации</w:t>
      </w:r>
    </w:p>
    <w:p>
      <w:pPr>
        <w:pStyle w:val="BodyText"/>
      </w:pPr>
      <w:r>
        <w:t xml:space="preserve">Исходная система уравнений Ax = b может быть решена или с использованием исходной матрицы, или с использованием объекта факторизации (рис. 11)</w:t>
      </w:r>
    </w:p>
    <w:p>
      <w:pPr>
        <w:pStyle w:val="CaptionedFigure"/>
      </w:pPr>
      <w:r>
        <w:drawing>
          <wp:inline>
            <wp:extent cx="3733800" cy="3127126"/>
            <wp:effectExtent b="0" l="0" r="0" t="0"/>
            <wp:docPr descr="Решение СЛАУ через объект факторизации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Решение СЛАУ через объект факторизации</w:t>
      </w:r>
    </w:p>
    <w:p>
      <w:pPr>
        <w:pStyle w:val="BodyText"/>
      </w:pPr>
      <w:r>
        <w:t xml:space="preserve">Julia позволяет вычислять QR-факторизацию и определяет составной тип факторизации для его хранения. По аналогии с LU-факторизацией различные части QR-факторизации могут быть извлечены путём доступа к их специальным свойствам (рис. 12) (рис. 13)</w:t>
      </w:r>
    </w:p>
    <w:p>
      <w:pPr>
        <w:pStyle w:val="CaptionedFigure"/>
      </w:pPr>
      <w:r>
        <w:drawing>
          <wp:inline>
            <wp:extent cx="3733800" cy="2841531"/>
            <wp:effectExtent b="0" l="0" r="0" t="0"/>
            <wp:docPr descr="QR-факторизация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QR-факторизация</w:t>
      </w:r>
    </w:p>
    <w:p>
      <w:pPr>
        <w:pStyle w:val="CaptionedFigure"/>
      </w:pPr>
      <w:r>
        <w:drawing>
          <wp:inline>
            <wp:extent cx="3733800" cy="3597316"/>
            <wp:effectExtent b="0" l="0" r="0" t="0"/>
            <wp:docPr descr="QR-факторизация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7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QR-факторизация</w:t>
      </w:r>
    </w:p>
    <w:p>
      <w:pPr>
        <w:pStyle w:val="BodyText"/>
      </w:pPr>
      <w:r>
        <w:t xml:space="preserve">Далее рассмотрим примеры работы с матрицами большой размерности и специальной структуры (рис. 14) (рис. 15) (рис. 16)</w:t>
      </w:r>
    </w:p>
    <w:p>
      <w:pPr>
        <w:pStyle w:val="CaptionedFigure"/>
      </w:pPr>
      <w:r>
        <w:drawing>
          <wp:inline>
            <wp:extent cx="3733800" cy="2932713"/>
            <wp:effectExtent b="0" l="0" r="0" t="0"/>
            <wp:docPr descr="матрицы большой размерности и специальной структуры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матрицы большой размерности и специальной структуры</w:t>
      </w:r>
    </w:p>
    <w:p>
      <w:pPr>
        <w:pStyle w:val="CaptionedFigure"/>
      </w:pPr>
      <w:r>
        <w:drawing>
          <wp:inline>
            <wp:extent cx="3733800" cy="3451072"/>
            <wp:effectExtent b="0" l="0" r="0" t="0"/>
            <wp:docPr descr="матрицы большой размерности и специальной структуры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матрицы большой размерности и специальной структуры</w:t>
      </w:r>
    </w:p>
    <w:p>
      <w:pPr>
        <w:pStyle w:val="CaptionedFigure"/>
      </w:pPr>
      <w:r>
        <w:drawing>
          <wp:inline>
            <wp:extent cx="3733800" cy="3350159"/>
            <wp:effectExtent b="0" l="0" r="0" t="0"/>
            <wp:docPr descr="матрицы большой размерности и специальной структур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матрицы большой размерности и специальной структуры</w:t>
      </w:r>
    </w:p>
    <w:p>
      <w:pPr>
        <w:pStyle w:val="BodyText"/>
      </w:pPr>
      <w:r>
        <w:t xml:space="preserve">Далее для оценки эффективности выполнения операций над матрицами большой</w:t>
      </w:r>
      <w:r>
        <w:t xml:space="preserve"> </w:t>
      </w:r>
      <w:r>
        <w:t xml:space="preserve">размерности и специальной структуры воспользуемся пакетом BenchmarkTools (рис. 17) (рис. 18)</w:t>
      </w:r>
    </w:p>
    <w:p>
      <w:pPr>
        <w:pStyle w:val="CaptionedFigure"/>
      </w:pPr>
      <w:r>
        <w:drawing>
          <wp:inline>
            <wp:extent cx="3733800" cy="2980489"/>
            <wp:effectExtent b="0" l="0" r="0" t="0"/>
            <wp:docPr descr="оценка эффективности выполнения операций над матрицами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оценка эффективности выполнения операций над матрицами</w:t>
      </w:r>
    </w:p>
    <w:p>
      <w:pPr>
        <w:pStyle w:val="CaptionedFigure"/>
      </w:pPr>
      <w:r>
        <w:drawing>
          <wp:inline>
            <wp:extent cx="3733800" cy="1464997"/>
            <wp:effectExtent b="0" l="0" r="0" t="0"/>
            <wp:docPr descr="оценки эффективности выполнения операций над матрицами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оценки эффективности выполнения операций над матрицами</w:t>
      </w:r>
    </w:p>
    <w:bookmarkEnd w:id="79"/>
    <w:bookmarkStart w:id="83" w:name="общая-линейная-алгебр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Общая линейная алгебра</w:t>
      </w:r>
    </w:p>
    <w:p>
      <w:pPr>
        <w:pStyle w:val="FirstParagraph"/>
      </w:pPr>
      <w:r>
        <w:t xml:space="preserve">В следующем примере показано, как можно решить систему линейных уравнений с ра-</w:t>
      </w:r>
      <w:r>
        <w:t xml:space="preserve"> </w:t>
      </w:r>
      <w:r>
        <w:t xml:space="preserve">циональными элементами без преобразования в типы элементов с плавающей запятой</w:t>
      </w:r>
      <w:r>
        <w:t xml:space="preserve"> </w:t>
      </w:r>
      <w:r>
        <w:t xml:space="preserve">(для избежания проблемы с переполнением используем BigInt) (рис. 19)</w:t>
      </w:r>
    </w:p>
    <w:p>
      <w:pPr>
        <w:pStyle w:val="CaptionedFigure"/>
      </w:pPr>
      <w:r>
        <w:drawing>
          <wp:inline>
            <wp:extent cx="3733800" cy="3964981"/>
            <wp:effectExtent b="0" l="0" r="0" t="0"/>
            <wp:docPr descr="Общая линейная алгебра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Общая линейная алгебра</w:t>
      </w:r>
    </w:p>
    <w:bookmarkEnd w:id="83"/>
    <w:bookmarkStart w:id="114" w:name="самостоятельная-работа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1"/>
        </w:numPr>
        <w:pStyle w:val="Compact"/>
      </w:pPr>
      <w:r>
        <w:t xml:space="preserve">Произведение векторов (рис. 20)</w:t>
      </w:r>
    </w:p>
    <w:p>
      <w:pPr>
        <w:pStyle w:val="CaptionedFigure"/>
      </w:pPr>
      <w:r>
        <w:drawing>
          <wp:inline>
            <wp:extent cx="3733800" cy="1154615"/>
            <wp:effectExtent b="0" l="0" r="0" t="0"/>
            <wp:docPr descr="Произведение векторов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Произведение векторов</w:t>
      </w:r>
    </w:p>
    <w:p>
      <w:pPr>
        <w:numPr>
          <w:ilvl w:val="0"/>
          <w:numId w:val="1002"/>
        </w:numPr>
        <w:pStyle w:val="Compact"/>
      </w:pPr>
      <w:r>
        <w:t xml:space="preserve">Системы линейных уравнений (рис. 21) (рис. 22) (рис. 23)</w:t>
      </w:r>
    </w:p>
    <w:p>
      <w:pPr>
        <w:pStyle w:val="CaptionedFigure"/>
      </w:pPr>
      <w:r>
        <w:drawing>
          <wp:inline>
            <wp:extent cx="3733800" cy="3273733"/>
            <wp:effectExtent b="0" l="0" r="0" t="0"/>
            <wp:docPr descr="Системы линейных уравнений c 2-мя неизвестными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Системы линейных уравнений c 2-мя неизвестными</w:t>
      </w:r>
    </w:p>
    <w:p>
      <w:pPr>
        <w:pStyle w:val="CaptionedFigure"/>
      </w:pPr>
      <w:r>
        <w:drawing>
          <wp:inline>
            <wp:extent cx="3733800" cy="2478185"/>
            <wp:effectExtent b="0" l="0" r="0" t="0"/>
            <wp:docPr descr="Системы линейных уравнений c 2-мя неизвестными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Системы линейных уравнений c 2-мя неизвестными</w:t>
      </w:r>
    </w:p>
    <w:p>
      <w:pPr>
        <w:pStyle w:val="CaptionedFigure"/>
      </w:pPr>
      <w:r>
        <w:drawing>
          <wp:inline>
            <wp:extent cx="3733800" cy="3771221"/>
            <wp:effectExtent b="0" l="0" r="0" t="0"/>
            <wp:docPr descr="Системы линейных уравнений c 3-мя неизвестными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Системы линейных уравнений c 3-мя неизвестными</w:t>
      </w:r>
    </w:p>
    <w:p>
      <w:pPr>
        <w:numPr>
          <w:ilvl w:val="0"/>
          <w:numId w:val="1003"/>
        </w:numPr>
        <w:pStyle w:val="Compact"/>
      </w:pPr>
      <w:r>
        <w:t xml:space="preserve">Операции с матрицами (рис. 24) (рис. 25) (рис. 26) (рис. 27)</w:t>
      </w:r>
    </w:p>
    <w:p>
      <w:pPr>
        <w:pStyle w:val="CaptionedFigure"/>
      </w:pPr>
      <w:r>
        <w:drawing>
          <wp:inline>
            <wp:extent cx="3733800" cy="2442056"/>
            <wp:effectExtent b="0" l="0" r="0" t="0"/>
            <wp:docPr descr="Операции с матрицами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Операции с матрицами</w:t>
      </w:r>
    </w:p>
    <w:p>
      <w:pPr>
        <w:pStyle w:val="CaptionedFigure"/>
      </w:pPr>
      <w:r>
        <w:drawing>
          <wp:inline>
            <wp:extent cx="3733800" cy="3383429"/>
            <wp:effectExtent b="0" l="0" r="0" t="0"/>
            <wp:docPr descr="Опреации с матрицами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Опреации с матрицами</w:t>
      </w:r>
    </w:p>
    <w:p>
      <w:pPr>
        <w:pStyle w:val="CaptionedFigure"/>
      </w:pPr>
      <w:r>
        <w:drawing>
          <wp:inline>
            <wp:extent cx="3733800" cy="3647204"/>
            <wp:effectExtent b="0" l="0" r="0" t="0"/>
            <wp:docPr descr="Операции с матрицами" title="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Операции с матрицами</w:t>
      </w:r>
    </w:p>
    <w:p>
      <w:pPr>
        <w:pStyle w:val="CaptionedFigure"/>
      </w:pPr>
      <w:r>
        <w:drawing>
          <wp:inline>
            <wp:extent cx="3733800" cy="2269093"/>
            <wp:effectExtent b="0" l="0" r="0" t="0"/>
            <wp:docPr descr="Опреации с матрицами" title="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Опреации с матрицами</w:t>
      </w:r>
    </w:p>
    <w:p>
      <w:pPr>
        <w:numPr>
          <w:ilvl w:val="0"/>
          <w:numId w:val="1004"/>
        </w:numPr>
        <w:pStyle w:val="Compact"/>
      </w:pPr>
      <w:r>
        <w:t xml:space="preserve">Линейные модели экономики (рис. 28) (рис. 29)</w:t>
      </w:r>
    </w:p>
    <w:p>
      <w:pPr>
        <w:pStyle w:val="CaptionedFigure"/>
      </w:pPr>
      <w:r>
        <w:drawing>
          <wp:inline>
            <wp:extent cx="3733800" cy="2245779"/>
            <wp:effectExtent b="0" l="0" r="0" t="0"/>
            <wp:docPr descr="Операции с матрицами" title="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Операции с матрицами</w:t>
      </w:r>
    </w:p>
    <w:p>
      <w:pPr>
        <w:pStyle w:val="CaptionedFigure"/>
      </w:pPr>
      <w:r>
        <w:drawing>
          <wp:inline>
            <wp:extent cx="3733800" cy="3668294"/>
            <wp:effectExtent b="0" l="0" r="0" t="0"/>
            <wp:docPr descr="Опреации с матрицами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8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Опреации с матрицами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изучены возможностей специализированных паке-</w:t>
      </w:r>
      <w:r>
        <w:t xml:space="preserve"> </w:t>
      </w:r>
      <w:r>
        <w:t xml:space="preserve">тов Julia для выполнения и оценки эффективности операций над объектами линейной</w:t>
      </w:r>
      <w:r>
        <w:t xml:space="preserve"> </w:t>
      </w:r>
      <w:r>
        <w:t xml:space="preserve">алгебры.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4" Target="media/rId24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Линейная алгебра</dc:title>
  <dc:creator>Шулуужук Айраана НПИбд-02-22</dc:creator>
  <dc:language>ru-RU</dc:language>
  <cp:keywords/>
  <dcterms:created xsi:type="dcterms:W3CDTF">2025-10-24T23:53:38Z</dcterms:created>
  <dcterms:modified xsi:type="dcterms:W3CDTF">2025-10-24T23:53:38Z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4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