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Решение</w:t>
      </w:r>
      <w:r>
        <w:t xml:space="preserve"> </w:t>
      </w:r>
      <w:r>
        <w:t xml:space="preserve">моделей</w:t>
      </w:r>
      <w:r>
        <w:t xml:space="preserve"> </w:t>
      </w:r>
      <w:r>
        <w:t xml:space="preserve">в</w:t>
      </w:r>
      <w:r>
        <w:t xml:space="preserve"> </w:t>
      </w:r>
      <w:r>
        <w:t xml:space="preserve">непрерывном</w:t>
      </w:r>
      <w:r>
        <w:t xml:space="preserve"> </w:t>
      </w:r>
      <w:r>
        <w:t xml:space="preserve">и</w:t>
      </w:r>
      <w:r>
        <w:t xml:space="preserve"> </w:t>
      </w:r>
      <w:r>
        <w:t xml:space="preserve">дискретном</w:t>
      </w:r>
      <w:r>
        <w:t xml:space="preserve"> </w:t>
      </w:r>
      <w:r>
        <w:t xml:space="preserve">времени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освоение специализированных пакетов для решения задач в непрерывном и дискретном времени.</w:t>
      </w:r>
    </w:p>
    <w:bookmarkEnd w:id="2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модель-экспоненциального-рост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Модель экспоненциального роста</w:t>
      </w:r>
    </w:p>
    <w:p>
      <w:pPr>
        <w:pStyle w:val="FirstParagraph"/>
      </w:pPr>
      <w:r>
        <w:t xml:space="preserve">Рассмотрим пример использования пакета для решение уравнения модели экспоненциального роста, описываемую уравнением u′(t) = au(t), u(0) = u0, где a — коэффициент роста. Предположим, что заданы следующие начальные данные a = 0.98, u(0) = 1.0, t ∈ [0; 1.0]</w:t>
      </w:r>
      <w:r>
        <w:t xml:space="preserve"> </w:t>
      </w:r>
      <w:r>
        <w:t xml:space="preserve">Аналитическое решение модели имеет вид: u(t) = u_0 exp(at)u(t) (рис. 1) (рис. 2)</w:t>
      </w:r>
    </w:p>
    <w:p>
      <w:pPr>
        <w:pStyle w:val="CaptionedFigure"/>
      </w:pPr>
      <w:r>
        <w:drawing>
          <wp:inline>
            <wp:extent cx="3733800" cy="3232100"/>
            <wp:effectExtent b="0" l="0" r="0" t="0"/>
            <wp:docPr descr="Модель экспоненциального роста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экспоненциального роста 1</w:t>
      </w:r>
    </w:p>
    <w:p>
      <w:pPr>
        <w:pStyle w:val="CaptionedFigure"/>
      </w:pPr>
      <w:r>
        <w:drawing>
          <wp:inline>
            <wp:extent cx="3733800" cy="3374967"/>
            <wp:effectExtent b="0" l="0" r="0" t="0"/>
            <wp:docPr descr="Модель экспоненциального роста 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4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Модель экспоненциального роста 2</w:t>
      </w:r>
    </w:p>
    <w:bookmarkEnd w:id="27"/>
    <w:bookmarkStart w:id="34" w:name="система-лоренц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Система Лоренца</w:t>
      </w:r>
    </w:p>
    <w:p>
      <w:pPr>
        <w:pStyle w:val="FirstParagraph"/>
      </w:pPr>
      <w:r>
        <w:t xml:space="preserve">Динамической системой Лоренца является нелинейная автономная система обыкновенных дифференциальных уравнений третьего порядка. Система (6.2) получена из системы уравнений Навье–Стокса и описывает движение воздушных потоков в плоском слое жидкости постоянной толщины при разложении скорости течения и температуры в двойные ряды Фурье с последующем усечением до первых-вторых гармоник. Решение системы неустойчиво на аттракторе, что не позволяет применять классические численные методы на больших отрезках времени, требуется использовать высокоточные вычисления (рис. 3) (рис. 4)</w:t>
      </w:r>
    </w:p>
    <w:p>
      <w:pPr>
        <w:pStyle w:val="CaptionedFigure"/>
      </w:pPr>
      <w:r>
        <w:drawing>
          <wp:inline>
            <wp:extent cx="3733800" cy="3480661"/>
            <wp:effectExtent b="0" l="0" r="0" t="0"/>
            <wp:docPr descr="Аттрактор Лоренц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0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Аттрактор Лоренца</w:t>
      </w:r>
    </w:p>
    <w:p>
      <w:pPr>
        <w:pStyle w:val="CaptionedFigure"/>
      </w:pPr>
      <w:r>
        <w:drawing>
          <wp:inline>
            <wp:extent cx="3733800" cy="2527495"/>
            <wp:effectExtent b="0" l="0" r="0" t="0"/>
            <wp:docPr descr="Аттрактор Лоренца (интерполяция отключена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Аттрактор Лоренца (интерполяция отключена)</w:t>
      </w:r>
    </w:p>
    <w:bookmarkEnd w:id="34"/>
    <w:bookmarkStart w:id="59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p>
      <w:pPr>
        <w:numPr>
          <w:ilvl w:val="0"/>
          <w:numId w:val="1001"/>
        </w:numPr>
        <w:pStyle w:val="Compact"/>
      </w:pPr>
      <w:r>
        <w:t xml:space="preserve">Реализовать и проанализировать модель роста численности изолированной популяции (модель Мальтуса)</w:t>
      </w:r>
    </w:p>
    <w:p>
      <w:pPr>
        <w:pStyle w:val="CaptionedFigure"/>
      </w:pPr>
      <w:r>
        <w:drawing>
          <wp:inline>
            <wp:extent cx="3733800" cy="3884906"/>
            <wp:effectExtent b="0" l="0" r="0" t="0"/>
            <wp:docPr descr="Модель Мальтуса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Модель Мальтуса</w:t>
      </w:r>
    </w:p>
    <w:p>
      <w:pPr>
        <w:numPr>
          <w:ilvl w:val="0"/>
          <w:numId w:val="1002"/>
        </w:numPr>
        <w:pStyle w:val="Compact"/>
      </w:pPr>
      <w:r>
        <w:t xml:space="preserve">Реализовать и проанализировать логистическую модель роста популяции, заданную уравнением (рис. 6)</w:t>
      </w:r>
    </w:p>
    <w:p>
      <w:pPr>
        <w:pStyle w:val="CaptionedFigure"/>
      </w:pPr>
      <w:r>
        <w:drawing>
          <wp:inline>
            <wp:extent cx="3733800" cy="2856422"/>
            <wp:effectExtent b="0" l="0" r="0" t="0"/>
            <wp:docPr descr="Логистическая модель роста популяции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Логистическая модель роста популяции</w:t>
      </w:r>
    </w:p>
    <w:p>
      <w:pPr>
        <w:numPr>
          <w:ilvl w:val="0"/>
          <w:numId w:val="1003"/>
        </w:numPr>
        <w:pStyle w:val="Compact"/>
      </w:pPr>
      <w:r>
        <w:t xml:space="preserve">Реализовать и проанализировать модель эпидемии Кермака–Маккендрика (SIR-модель) (рис. 7)</w:t>
      </w:r>
    </w:p>
    <w:p>
      <w:pPr>
        <w:pStyle w:val="CaptionedFigure"/>
      </w:pPr>
      <w:r>
        <w:drawing>
          <wp:inline>
            <wp:extent cx="3733800" cy="4028687"/>
            <wp:effectExtent b="0" l="0" r="0" t="0"/>
            <wp:docPr descr="SIR-модель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SIR-модель</w:t>
      </w:r>
    </w:p>
    <w:p>
      <w:pPr>
        <w:numPr>
          <w:ilvl w:val="0"/>
          <w:numId w:val="1004"/>
        </w:numPr>
        <w:pStyle w:val="Compact"/>
      </w:pPr>
      <w:r>
        <w:t xml:space="preserve">Как расширение модели SIR (Susceptible-Infected-Removed) по результатом эпидемии испанки была предложена модель SEIR (Susceptible-Exposed-Infected-Removed) (рис. 8)</w:t>
      </w:r>
    </w:p>
    <w:p>
      <w:pPr>
        <w:pStyle w:val="CaptionedFigure"/>
      </w:pPr>
      <w:r>
        <w:drawing>
          <wp:inline>
            <wp:extent cx="3733800" cy="3476705"/>
            <wp:effectExtent b="0" l="0" r="0" t="0"/>
            <wp:docPr descr="модель SEIR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модель SEIR</w:t>
      </w:r>
    </w:p>
    <w:p>
      <w:pPr>
        <w:numPr>
          <w:ilvl w:val="0"/>
          <w:numId w:val="1005"/>
        </w:numPr>
        <w:pStyle w:val="Compact"/>
      </w:pPr>
      <w:r>
        <w:t xml:space="preserve">Для дискретной модели Лотки–Вольтерры с начальными данными a = 2, c = 1, d = 5 найдите точку равновесия. Получите и сравните аналитическое и численное решения. Численное решение изобразите на фазовом портрете (рис. 9)</w:t>
      </w:r>
    </w:p>
    <w:p>
      <w:pPr>
        <w:pStyle w:val="CaptionedFigure"/>
      </w:pPr>
      <w:r>
        <w:drawing>
          <wp:inline>
            <wp:extent cx="3733800" cy="4189141"/>
            <wp:effectExtent b="0" l="0" r="0" t="0"/>
            <wp:docPr descr="Модель Лотки–Вольтерры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Модель Лотки–Вольтерры</w:t>
      </w:r>
    </w:p>
    <w:p>
      <w:pPr>
        <w:numPr>
          <w:ilvl w:val="0"/>
          <w:numId w:val="1006"/>
        </w:numPr>
        <w:pStyle w:val="Compact"/>
      </w:pPr>
      <w:r>
        <w:t xml:space="preserve">Реализовать на языке Julia модель отбора на основе конкурентных отношений (рис. 10).</w:t>
      </w:r>
    </w:p>
    <w:p>
      <w:pPr>
        <w:pStyle w:val="CaptionedFigure"/>
      </w:pPr>
      <w:r>
        <w:drawing>
          <wp:inline>
            <wp:extent cx="3733800" cy="2888411"/>
            <wp:effectExtent b="0" l="0" r="0" t="0"/>
            <wp:docPr descr="Модель отбора на основе конкурентных отношений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Модель отбора на основе конкурентных отношений</w:t>
      </w:r>
    </w:p>
    <w:p>
      <w:pPr>
        <w:numPr>
          <w:ilvl w:val="0"/>
          <w:numId w:val="1007"/>
        </w:numPr>
        <w:pStyle w:val="Compact"/>
      </w:pPr>
      <w:r>
        <w:t xml:space="preserve">Реализовать на языке Julia модель консервативного гармонического осциллятора (рис. 11)</w:t>
      </w:r>
    </w:p>
    <w:p>
      <w:pPr>
        <w:pStyle w:val="CaptionedFigure"/>
      </w:pPr>
      <w:r>
        <w:drawing>
          <wp:inline>
            <wp:extent cx="3733800" cy="2707349"/>
            <wp:effectExtent b="0" l="0" r="0" t="0"/>
            <wp:docPr descr="Модель консервативного гармонического осциллятор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Модель консервативного гармонического осциллятора</w:t>
      </w:r>
    </w:p>
    <w:p>
      <w:pPr>
        <w:numPr>
          <w:ilvl w:val="0"/>
          <w:numId w:val="1008"/>
        </w:numPr>
        <w:pStyle w:val="Compact"/>
      </w:pPr>
      <w:r>
        <w:t xml:space="preserve">Реализовать на языке Julia модель свободных колебаний гармонического осциллятора (рис. 12)</w:t>
      </w:r>
    </w:p>
    <w:p>
      <w:pPr>
        <w:pStyle w:val="CaptionedFigure"/>
      </w:pPr>
      <w:r>
        <w:drawing>
          <wp:inline>
            <wp:extent cx="3733800" cy="2795513"/>
            <wp:effectExtent b="0" l="0" r="0" t="0"/>
            <wp:docPr descr="Модель свободных колебаний гармонического осциллятор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Модель свободных колебаний гармонического осциллятора</w:t>
      </w:r>
    </w:p>
    <w:bookmarkEnd w:id="59"/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освоены специализированные пакеты для решения задач в непрерывном и дискретном времени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моделей в непрерывном и дискретном времени</dc:title>
  <dc:creator>Шулуужук Айраана НПИбд-02-22</dc:creator>
  <dc:language>ru-RU</dc:language>
  <cp:keywords/>
  <dcterms:created xsi:type="dcterms:W3CDTF">2025-11-18T10:50:23Z</dcterms:created>
  <dcterms:modified xsi:type="dcterms:W3CDTF">2025-11-18T10:50:23Z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