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6.png" ContentType="image/png"/>
  <Override PartName="/word/media/rId61.png" ContentType="image/png"/>
  <Override PartName="/word/media/rId65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Арина</w:t>
      </w:r>
      <w:r>
        <w:t xml:space="preserve"> </w:t>
      </w:r>
      <w:r>
        <w:t xml:space="preserve">Валерьевна</w:t>
      </w:r>
      <w:r>
        <w:t xml:space="preserve"> </w:t>
      </w:r>
      <w:r>
        <w:t xml:space="preserve">Сидорова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операционную систему linux на виртуальную машину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0" w:name="после-установки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После установки виртуальной машины</w:t>
      </w:r>
    </w:p>
    <w:bookmarkStart w:id="25" w:name="tmux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tmux</w:t>
      </w:r>
    </w:p>
    <w:p>
      <w:pPr>
        <w:pStyle w:val="FirstParagraph"/>
      </w:pPr>
      <w:r>
        <w:t xml:space="preserve">Запустим терминальный мультиплексор tmux:</w:t>
      </w:r>
      <w:r>
        <w:t xml:space="preserve"> </w:t>
      </w:r>
      <w:r>
        <w:t xml:space="preserve">Переключимся на роль супер-пользователя:</w:t>
      </w:r>
      <w:r>
        <w:t xml:space="preserve"> </w:t>
      </w:r>
      <w:r>
        <w:t xml:space="preserve">Установите средства разработки:(рис. fig. 1).</w:t>
      </w:r>
    </w:p>
    <w:p>
      <w:pPr>
        <w:pStyle w:val="CaptionedFigure"/>
      </w:pPr>
      <w:r>
        <w:drawing>
          <wp:inline>
            <wp:extent cx="3733800" cy="1388135"/>
            <wp:effectExtent b="0" l="0" r="0" t="0"/>
            <wp:docPr descr="Установка драйвер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драйверов</w:t>
      </w:r>
    </w:p>
    <w:bookmarkEnd w:id="25"/>
    <w:bookmarkStart w:id="29" w:name="обновления-рис.-fig002.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Обновления (рис. fig. 2).</w:t>
      </w:r>
    </w:p>
    <w:p>
      <w:pPr>
        <w:pStyle w:val="CaptionedFigure"/>
      </w:pPr>
      <w:r>
        <w:drawing>
          <wp:inline>
            <wp:extent cx="3733800" cy="599463"/>
            <wp:effectExtent b="0" l="0" r="0" t="0"/>
            <wp:docPr descr="development-tool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development-tools</w:t>
      </w:r>
    </w:p>
    <w:bookmarkEnd w:id="29"/>
    <w:bookmarkStart w:id="33" w:name="повышение-комфорта-работы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Повышение комфорта работы</w:t>
      </w:r>
    </w:p>
    <w:p>
      <w:pPr>
        <w:pStyle w:val="FirstParagraph"/>
      </w:pPr>
      <w:r>
        <w:t xml:space="preserve">Установка tmux mc (рис. fig. 3).</w:t>
      </w:r>
    </w:p>
    <w:p>
      <w:pPr>
        <w:pStyle w:val="CaptionedFigure"/>
      </w:pPr>
      <w:r>
        <w:drawing>
          <wp:inline>
            <wp:extent cx="3733800" cy="746760"/>
            <wp:effectExtent b="0" l="0" r="0" t="0"/>
            <wp:docPr descr="tmux mc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tmux mc</w:t>
      </w:r>
    </w:p>
    <w:bookmarkEnd w:id="33"/>
    <w:bookmarkStart w:id="37" w:name="автоматическое-обновление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Автоматическое обновление</w:t>
      </w:r>
    </w:p>
    <w:p>
      <w:pPr>
        <w:pStyle w:val="FirstParagraph"/>
      </w:pPr>
      <w:r>
        <w:t xml:space="preserve">Установка программного обеспечения (рис. fig. 4).</w:t>
      </w:r>
    </w:p>
    <w:p>
      <w:pPr>
        <w:pStyle w:val="CaptionedFigure"/>
      </w:pPr>
      <w:r>
        <w:drawing>
          <wp:inline>
            <wp:extent cx="3733800" cy="931865"/>
            <wp:effectExtent b="0" l="0" r="0" t="0"/>
            <wp:docPr descr="dnf-automatic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dnf-automatic</w:t>
      </w:r>
    </w:p>
    <w:bookmarkEnd w:id="37"/>
    <w:bookmarkStart w:id="41" w:name="отключение-selinux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Отключение SELinux</w:t>
      </w:r>
    </w:p>
    <w:p>
      <w:pPr>
        <w:pStyle w:val="FirstParagraph"/>
      </w:pPr>
      <w:r>
        <w:t xml:space="preserve">В файле /etc/selinux/config заменим значение</w:t>
      </w:r>
      <w:r>
        <w:t xml:space="preserve"> </w:t>
      </w:r>
      <w:r>
        <w:t xml:space="preserve">SELINUX=enforcing</w:t>
      </w:r>
      <w:r>
        <w:t xml:space="preserve"> </w:t>
      </w:r>
      <w:r>
        <w:t xml:space="preserve">на значение</w:t>
      </w:r>
      <w:r>
        <w:t xml:space="preserve"> </w:t>
      </w:r>
      <w:r>
        <w:t xml:space="preserve">SELINUX=permissive(рис. fig. 5).</w:t>
      </w:r>
    </w:p>
    <w:p>
      <w:pPr>
        <w:pStyle w:val="CaptionedFigure"/>
      </w:pPr>
      <w:r>
        <w:drawing>
          <wp:inline>
            <wp:extent cx="3733800" cy="2460377"/>
            <wp:effectExtent b="0" l="0" r="0" t="0"/>
            <wp:docPr descr="Меняем значение в файл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0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Меняем значение в файле</w:t>
      </w:r>
    </w:p>
    <w:bookmarkEnd w:id="41"/>
    <w:bookmarkStart w:id="45" w:name="установка-dkms"/>
    <w:p>
      <w:pPr>
        <w:pStyle w:val="Heading3"/>
      </w:pPr>
      <w:r>
        <w:rPr>
          <w:rStyle w:val="SectionNumber"/>
        </w:rPr>
        <w:t xml:space="preserve">3.1.6</w:t>
      </w:r>
      <w:r>
        <w:tab/>
      </w:r>
      <w:r>
        <w:t xml:space="preserve">Установка dkms</w:t>
      </w:r>
    </w:p>
    <w:p>
      <w:pPr>
        <w:pStyle w:val="FirstParagraph"/>
      </w:pPr>
      <w:r>
        <w:t xml:space="preserve">Устанавливаем dkms(рис. fig. 6).</w:t>
      </w:r>
    </w:p>
    <w:p>
      <w:pPr>
        <w:pStyle w:val="CaptionedFigure"/>
      </w:pPr>
      <w:r>
        <w:drawing>
          <wp:inline>
            <wp:extent cx="3733800" cy="672084"/>
            <wp:effectExtent b="0" l="0" r="0" t="0"/>
            <wp:docPr descr="Установк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</w:t>
      </w:r>
    </w:p>
    <w:bookmarkEnd w:id="45"/>
    <w:bookmarkStart w:id="49" w:name="настройки-раскладки-клавиатуры"/>
    <w:p>
      <w:pPr>
        <w:pStyle w:val="Heading3"/>
      </w:pPr>
      <w:r>
        <w:rPr>
          <w:rStyle w:val="SectionNumber"/>
        </w:rPr>
        <w:t xml:space="preserve">3.1.7</w:t>
      </w:r>
      <w:r>
        <w:tab/>
      </w:r>
      <w:r>
        <w:t xml:space="preserve">Настройки раскладки клавиатуры</w:t>
      </w:r>
    </w:p>
    <w:p>
      <w:pPr>
        <w:pStyle w:val="FirstParagraph"/>
      </w:pPr>
      <w:r>
        <w:t xml:space="preserve">Отредактируем конфигурационный файл(рис. fig. 7).</w:t>
      </w:r>
    </w:p>
    <w:p>
      <w:pPr>
        <w:pStyle w:val="CaptionedFigure"/>
      </w:pPr>
      <w:r>
        <w:drawing>
          <wp:inline>
            <wp:extent cx="3733800" cy="1897174"/>
            <wp:effectExtent b="0" l="0" r="0" t="0"/>
            <wp:docPr descr="Редактируем файл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Редактируем файл</w:t>
      </w:r>
    </w:p>
    <w:bookmarkEnd w:id="49"/>
    <w:bookmarkStart w:id="59" w:name="работа-с-языком-разметки-markdown"/>
    <w:p>
      <w:pPr>
        <w:pStyle w:val="Heading3"/>
      </w:pPr>
      <w:r>
        <w:rPr>
          <w:rStyle w:val="SectionNumber"/>
        </w:rPr>
        <w:t xml:space="preserve">3.1.8</w:t>
      </w:r>
      <w:r>
        <w:tab/>
      </w:r>
      <w:r>
        <w:t xml:space="preserve">Работа с языком разметки Markdown</w:t>
      </w:r>
    </w:p>
    <w:p>
      <w:pPr>
        <w:pStyle w:val="FirstParagraph"/>
      </w:pPr>
      <w:r>
        <w:t xml:space="preserve">Установим pandoc(рис. fig. 8).</w:t>
      </w:r>
    </w:p>
    <w:p>
      <w:pPr>
        <w:pStyle w:val="CaptionedFigure"/>
      </w:pPr>
      <w:r>
        <w:drawing>
          <wp:inline>
            <wp:extent cx="3733800" cy="1750356"/>
            <wp:effectExtent b="0" l="0" r="0" t="0"/>
            <wp:docPr descr="Pandoc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Pandoc</w:t>
      </w:r>
    </w:p>
    <w:p>
      <w:pPr>
        <w:pStyle w:val="BodyText"/>
      </w:pPr>
      <w:r>
        <w:t xml:space="preserve">Установим pandoc-crossref(рис. fig. 9)</w:t>
      </w:r>
    </w:p>
    <w:p>
      <w:pPr>
        <w:pStyle w:val="CaptionedFigure"/>
      </w:pPr>
      <w:r>
        <w:drawing>
          <wp:inline>
            <wp:extent cx="3733800" cy="525065"/>
            <wp:effectExtent b="0" l="0" r="0" t="0"/>
            <wp:docPr descr="Pandoc-crossref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Pandoc-crossref</w:t>
      </w:r>
    </w:p>
    <w:p>
      <w:pPr>
        <w:pStyle w:val="BodyText"/>
      </w:pPr>
      <w:r>
        <w:t xml:space="preserve">Установка texlive(рис. fig. 10)</w:t>
      </w:r>
    </w:p>
    <w:p>
      <w:pPr>
        <w:pStyle w:val="CaptionedFigure"/>
      </w:pPr>
      <w:r>
        <w:drawing>
          <wp:inline>
            <wp:extent cx="3733800" cy="682522"/>
            <wp:effectExtent b="0" l="0" r="0" t="0"/>
            <wp:docPr descr="Проверка версии + texlive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2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версии + texlive</w:t>
      </w:r>
    </w:p>
    <w:bookmarkEnd w:id="59"/>
    <w:bookmarkEnd w:id="60"/>
    <w:bookmarkStart w:id="69" w:name="домашнее-задани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Домашнее задание</w:t>
      </w:r>
    </w:p>
    <w:bookmarkStart w:id="64" w:name="X4b81505ef9977e19e16206fe8891fbeea09bab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dmesg.(рис fig. 11)</w:t>
      </w:r>
    </w:p>
    <w:p>
      <w:pPr>
        <w:pStyle w:val="CaptionedFigure"/>
      </w:pPr>
      <w:r>
        <w:drawing>
          <wp:inline>
            <wp:extent cx="3733800" cy="3036091"/>
            <wp:effectExtent b="0" l="0" r="0" t="0"/>
            <wp:docPr descr="Анализ последовательности загрузки системы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6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Анализ последовательности загрузки системы</w:t>
      </w:r>
    </w:p>
    <w:bookmarkEnd w:id="64"/>
    <w:bookmarkStart w:id="68" w:name="получить-информациюрис-fig012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Получить информацию:(рис fig. 12)</w:t>
      </w:r>
    </w:p>
    <w:p>
      <w:pPr>
        <w:pStyle w:val="Compact"/>
        <w:numPr>
          <w:ilvl w:val="0"/>
          <w:numId w:val="1001"/>
        </w:numPr>
      </w:pPr>
      <w:r>
        <w:t xml:space="preserve">Версия ядра Linux (Linux version).</w:t>
      </w:r>
    </w:p>
    <w:p>
      <w:pPr>
        <w:pStyle w:val="Compact"/>
        <w:numPr>
          <w:ilvl w:val="0"/>
          <w:numId w:val="1001"/>
        </w:numPr>
      </w:pPr>
      <w:r>
        <w:t xml:space="preserve">Частота процессора (Detected Mhz processor).</w:t>
      </w:r>
    </w:p>
    <w:p>
      <w:pPr>
        <w:pStyle w:val="Compact"/>
        <w:numPr>
          <w:ilvl w:val="0"/>
          <w:numId w:val="1001"/>
        </w:numPr>
      </w:pPr>
      <w:r>
        <w:t xml:space="preserve">Модель процессора (CPU0).</w:t>
      </w:r>
    </w:p>
    <w:p>
      <w:pPr>
        <w:pStyle w:val="Compact"/>
        <w:numPr>
          <w:ilvl w:val="0"/>
          <w:numId w:val="1001"/>
        </w:numPr>
      </w:pPr>
      <w:r>
        <w:t xml:space="preserve">Объём доступной оперативной памяти (Memory available).</w:t>
      </w:r>
    </w:p>
    <w:p>
      <w:pPr>
        <w:pStyle w:val="Compact"/>
        <w:numPr>
          <w:ilvl w:val="0"/>
          <w:numId w:val="1001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0"/>
          <w:numId w:val="1001"/>
        </w:numPr>
      </w:pPr>
      <w:r>
        <w:t xml:space="preserve">Тип файловой системы корневого раздела.</w:t>
      </w:r>
    </w:p>
    <w:p>
      <w:pPr>
        <w:pStyle w:val="Compact"/>
        <w:numPr>
          <w:ilvl w:val="0"/>
          <w:numId w:val="1001"/>
        </w:numPr>
      </w:pPr>
      <w:r>
        <w:t xml:space="preserve">Последовательность монтирования файловых систем.</w:t>
      </w:r>
    </w:p>
    <w:p>
      <w:pPr>
        <w:pStyle w:val="CaptionedFigure"/>
      </w:pPr>
      <w:r>
        <w:drawing>
          <wp:inline>
            <wp:extent cx="3733800" cy="1202061"/>
            <wp:effectExtent b="0" l="0" r="0" t="0"/>
            <wp:docPr descr="Получение информации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Получение информации</w:t>
      </w:r>
    </w:p>
    <w:bookmarkEnd w:id="68"/>
    <w:bookmarkEnd w:id="69"/>
    <w:bookmarkEnd w:id="70"/>
    <w:bookmarkStart w:id="7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Установила операционную систему Linux на виртуальную машину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Арина Валерьевна Сидорова</dc:creator>
  <dc:language>ru-RU</dc:language>
  <cp:keywords/>
  <dcterms:created xsi:type="dcterms:W3CDTF">2025-03-06T18:27:08Z</dcterms:created>
  <dcterms:modified xsi:type="dcterms:W3CDTF">2025-03-06T18:27:08Z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Установка ОС Linux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