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080"/>
        <w:gridCol w:w="4080"/>
        <w:gridCol w:w="4080"/>
      </w:tblGrid>
      <w:tr>
        <w:trPr>
          <w:trHeight w:hRule="exact" w:val="2220"/>
        </w:trPr>
        <w:tc>
          <w:tcPr>
            <w:tcW w:type="dxa" w:w="7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72"/>
              </w:rPr>
              <w:t>Saakshi Mankar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314" w:right="28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An engineer seeking challenges in data analytics to help companies with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data driven decisions. Interested in solving real-life problems using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cutting edge technologies.</w:t>
            </w:r>
          </w:p>
          <w:p>
            <w:pPr>
              <w:autoSpaceDN w:val="0"/>
              <w:autoSpaceDE w:val="0"/>
              <w:widowControl/>
              <w:spacing w:line="240" w:lineRule="auto" w:before="268" w:after="178"/>
              <w:ind w:left="3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EDUCATION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0.0" w:type="dxa"/>
            </w:tblPr>
            <w:tblGrid>
              <w:gridCol w:w="2340"/>
              <w:gridCol w:w="2340"/>
              <w:gridCol w:w="2340"/>
            </w:tblGrid>
            <w:tr>
              <w:trPr>
                <w:trHeight w:hRule="exact" w:val="440"/>
              </w:trPr>
              <w:tc>
                <w:tcPr>
                  <w:tcW w:type="dxa" w:w="352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Institution</w:t>
                  </w:r>
                </w:p>
              </w:tc>
              <w:tc>
                <w:tcPr>
                  <w:tcW w:type="dxa" w:w="17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Year of Passing</w:t>
                  </w:r>
                </w:p>
              </w:tc>
              <w:tc>
                <w:tcPr>
                  <w:tcW w:type="dxa" w:w="11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Result</w:t>
                  </w:r>
                </w:p>
              </w:tc>
            </w:tr>
            <w:tr>
              <w:trPr>
                <w:trHeight w:hRule="exact" w:val="860"/>
              </w:trPr>
              <w:tc>
                <w:tcPr>
                  <w:tcW w:type="dxa" w:w="352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 xml:space="preserve">Current Education, B.Tech CSE </w:t>
                  </w: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 xml:space="preserve">D Y Patil International University, </w:t>
                  </w: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Akurdi</w:t>
                  </w:r>
                </w:p>
              </w:tc>
              <w:tc>
                <w:tcPr>
                  <w:tcW w:type="dxa" w:w="17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2023</w:t>
                  </w:r>
                </w:p>
              </w:tc>
              <w:tc>
                <w:tcPr>
                  <w:tcW w:type="dxa" w:w="11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 xml:space="preserve">Till 5th </w:t>
                  </w:r>
                  <w:r>
                    <w:br/>
                  </w: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sem: 8.2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352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N.E.S Junior college (HSC)</w:t>
                  </w:r>
                </w:p>
              </w:tc>
              <w:tc>
                <w:tcPr>
                  <w:tcW w:type="dxa" w:w="17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2019</w:t>
                  </w:r>
                </w:p>
              </w:tc>
              <w:tc>
                <w:tcPr>
                  <w:tcW w:type="dxa" w:w="11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67%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352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Mulund High School (SSC)</w:t>
                  </w:r>
                </w:p>
              </w:tc>
              <w:tc>
                <w:tcPr>
                  <w:tcW w:type="dxa" w:w="17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2017</w:t>
                  </w:r>
                </w:p>
              </w:tc>
              <w:tc>
                <w:tcPr>
                  <w:tcW w:type="dxa" w:w="1140"/>
                  <w:tcBorders>
                    <w:start w:sz="7.9999799728393555" w:val="single" w:color="#000000"/>
                    <w:top w:sz="7.9999799728393555" w:val="single" w:color="#000000"/>
                    <w:end w:sz="7.9999799728393555" w:val="single" w:color="#000000"/>
                    <w:bottom w:sz="7.99997997283935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81.40%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00" w:right="244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Akurdi, Pune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0"/>
              </w:rPr>
              <w:t>+91 9653106795</w:t>
            </w:r>
          </w:p>
          <w:p>
            <w:pPr>
              <w:autoSpaceDN w:val="0"/>
              <w:autoSpaceDE w:val="0"/>
              <w:widowControl/>
              <w:spacing w:line="240" w:lineRule="auto" w:before="28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saakshimankar@gmail.com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32" w:after="0"/>
              <w:ind w:left="288" w:right="2304" w:firstLine="0"/>
              <w:jc w:val="center"/>
            </w:pPr>
            <w:r>
              <w:rPr>
                <w:rFonts w:ascii="" w:hAnsi="" w:eastAsia=""/>
                <w:b/>
                <w:i w:val="0"/>
                <w:color w:val="0000FF"/>
                <w:sz w:val="22"/>
              </w:rPr>
              <w:t>Linkedin</w:t>
            </w:r>
            <w:r>
              <w:rPr>
                <w:rFonts w:ascii="" w:hAnsi="" w:eastAsia=""/>
                <w:b w:val="0"/>
                <w:i w:val="0"/>
                <w:color w:val="2078C7"/>
                <w:sz w:val="22"/>
              </w:rPr>
              <w:t>: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&lt;Link&gt;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2078C7"/>
                <w:sz w:val="22"/>
              </w:rPr>
              <w:t>GitHub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: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&lt;Link&gt;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444" w:after="0"/>
              <w:ind w:left="30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SKILLS</w:t>
            </w:r>
          </w:p>
        </w:tc>
      </w:tr>
      <w:tr>
        <w:trPr>
          <w:trHeight w:hRule="exact" w:val="228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Python</w:t>
            </w:r>
          </w:p>
        </w:tc>
      </w:tr>
      <w:tr>
        <w:trPr>
          <w:trHeight w:hRule="exact" w:val="24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R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6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C/ C++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0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Tableau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Data Visualization</w:t>
            </w:r>
          </w:p>
        </w:tc>
      </w:tr>
      <w:tr>
        <w:trPr>
          <w:trHeight w:hRule="exact" w:val="24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SQL / Mysql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6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Machine Learning</w:t>
            </w:r>
          </w:p>
        </w:tc>
      </w:tr>
      <w:tr>
        <w:trPr>
          <w:trHeight w:hRule="exact" w:val="260"/>
        </w:trPr>
        <w:tc>
          <w:tcPr>
            <w:tcW w:type="dxa" w:w="4080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0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4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Operating Systems: Windows,</w:t>
            </w:r>
          </w:p>
        </w:tc>
      </w:tr>
      <w:tr>
        <w:trPr>
          <w:trHeight w:hRule="exact" w:val="656"/>
        </w:trPr>
        <w:tc>
          <w:tcPr>
            <w:tcW w:type="dxa" w:w="4080"/>
            <w:vMerge/>
            <w:tcBorders/>
          </w:tcPr>
          <w:p/>
        </w:tc>
        <w:tc>
          <w:tcPr>
            <w:tcW w:type="dxa" w:w="4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2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Linux</w:t>
            </w:r>
          </w:p>
        </w:tc>
      </w:tr>
    </w:tbl>
    <w:p>
      <w:pPr>
        <w:autoSpaceDN w:val="0"/>
        <w:autoSpaceDE w:val="0"/>
        <w:widowControl/>
        <w:spacing w:line="240" w:lineRule="auto" w:before="56" w:after="100"/>
        <w:ind w:left="0" w:right="3326" w:firstLine="0"/>
        <w:jc w:val="right"/>
      </w:pPr>
      <w:r>
        <w:rPr>
          <w:rFonts w:ascii="Open Sans" w:hAnsi="Open Sans" w:eastAsia="Open Sans"/>
          <w:b/>
          <w:i w:val="0"/>
          <w:color w:val="0A5394"/>
          <w:sz w:val="18"/>
        </w:rPr>
        <w:t>COURSEWORK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344"/>
        </w:trPr>
        <w:tc>
          <w:tcPr>
            <w:tcW w:type="dxa" w:w="6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3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INTERNSHIP</w:t>
            </w:r>
          </w:p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Machine Learning</w:t>
            </w:r>
          </w:p>
        </w:tc>
      </w:tr>
      <w:tr>
        <w:trPr>
          <w:trHeight w:hRule="exact" w:val="86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97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6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Deep Neural Network</w:t>
            </w:r>
          </w:p>
        </w:tc>
      </w:tr>
      <w:tr>
        <w:trPr>
          <w:trHeight w:hRule="exact" w:val="174"/>
        </w:trPr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4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The spark foundation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(Data science &amp; Business analysis)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97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6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6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High Performance Computing</w:t>
            </w:r>
          </w:p>
        </w:tc>
      </w:tr>
      <w:tr>
        <w:trPr>
          <w:trHeight w:hRule="exact" w:val="140"/>
        </w:trPr>
        <w:tc>
          <w:tcPr>
            <w:tcW w:type="dxa" w:w="6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6" w:after="0"/>
              <w:ind w:left="314" w:right="288" w:firstLine="17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may 2021 - june 2021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- Predicted models using supervised &amp; unsupervised machine learning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techniques.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Game Theory</w:t>
            </w:r>
          </w:p>
        </w:tc>
      </w:tr>
      <w:tr>
        <w:trPr>
          <w:trHeight w:hRule="exact" w:val="62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6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DBMS</w:t>
            </w:r>
          </w:p>
        </w:tc>
      </w:tr>
      <w:tr>
        <w:trPr>
          <w:trHeight w:hRule="exact" w:val="46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40" w:after="0"/>
              <w:ind w:left="0" w:right="11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DYPIU (In house)</w:t>
            </w:r>
          </w:p>
        </w:tc>
        <w:tc>
          <w:tcPr>
            <w:tcW w:type="dxa" w:w="4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42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A5394"/>
                <w:sz w:val="18"/>
              </w:rPr>
              <w:t>CERTIFICATIONS</w:t>
            </w:r>
          </w:p>
        </w:tc>
      </w:tr>
      <w:tr>
        <w:trPr>
          <w:trHeight w:hRule="exact" w:val="440"/>
        </w:trPr>
        <w:tc>
          <w:tcPr>
            <w:tcW w:type="dxa" w:w="6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6" w:after="0"/>
              <w:ind w:left="314" w:right="432" w:firstLine="86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April 2021 - june 2021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-Survey of Di�erent Rumor Detection Models in context to their pros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and cons</w:t>
            </w:r>
          </w:p>
          <w:p>
            <w:pPr>
              <w:autoSpaceDN w:val="0"/>
              <w:autoSpaceDE w:val="0"/>
              <w:widowControl/>
              <w:spacing w:line="240" w:lineRule="auto" w:before="414" w:after="0"/>
              <w:ind w:left="3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PROJECTS</w:t>
            </w:r>
          </w:p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0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Google data analytics certificate</w:t>
            </w:r>
          </w:p>
        </w:tc>
      </w:tr>
      <w:tr>
        <w:trPr>
          <w:trHeight w:hRule="exact" w:val="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4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0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(Coursera)</w:t>
            </w:r>
          </w:p>
        </w:tc>
      </w:tr>
      <w:tr>
        <w:trPr>
          <w:trHeight w:hRule="exact" w:val="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06" w:after="0"/>
              <w:ind w:left="0" w:right="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●</w:t>
            </w:r>
          </w:p>
        </w:tc>
        <w:tc>
          <w:tcPr>
            <w:tcW w:type="dxa" w:w="3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8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30 days of google cloud program</w:t>
            </w:r>
          </w:p>
        </w:tc>
      </w:tr>
      <w:tr>
        <w:trPr>
          <w:trHeight w:hRule="exact" w:val="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6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Python Data Science Workshop (IIT</w:t>
            </w:r>
          </w:p>
        </w:tc>
      </w:tr>
      <w:tr>
        <w:trPr>
          <w:trHeight w:hRule="exact" w:val="24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46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10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BOMBAY)</w:t>
            </w:r>
          </w:p>
        </w:tc>
      </w:tr>
      <w:tr>
        <w:trPr>
          <w:trHeight w:hRule="exact" w:val="62"/>
        </w:trPr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30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6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How can Wellness Technology Company play it Smart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4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MATLAB Onramp Course</w:t>
            </w:r>
          </w:p>
        </w:tc>
      </w:tr>
      <w:tr>
        <w:trPr>
          <w:trHeight w:hRule="exact" w:val="194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97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6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Microsoft AI Classroom Certificate</w:t>
            </w:r>
          </w:p>
        </w:tc>
      </w:tr>
      <w:tr>
        <w:trPr>
          <w:trHeight w:hRule="exact" w:val="86"/>
        </w:trPr>
        <w:tc>
          <w:tcPr>
            <w:tcW w:type="dxa" w:w="6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314" w:right="288" w:firstLine="72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(Capstone case study) - January 2022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Using the trends discovered in smart device usage using R  &amp; Data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Visualization to help influence Company Marketing Strategy &amp; growth.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4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10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(NASSCOM)</w:t>
            </w:r>
          </w:p>
        </w:tc>
      </w:tr>
      <w:tr>
        <w:trPr>
          <w:trHeight w:hRule="exact" w:val="30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 &amp; CPP Professional Certificate</w:t>
            </w:r>
          </w:p>
        </w:tc>
      </w:tr>
      <w:tr>
        <w:trPr>
          <w:trHeight w:hRule="exact" w:val="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4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0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(Coursera)</w:t>
            </w:r>
          </w:p>
        </w:tc>
      </w:tr>
      <w:tr>
        <w:trPr>
          <w:trHeight w:hRule="exact" w:val="280"/>
        </w:trPr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0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6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DoorStepPath (DBMS)</w:t>
            </w:r>
          </w:p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Design Thinking and Global Startup</w:t>
            </w:r>
          </w:p>
        </w:tc>
      </w:tr>
      <w:tr>
        <w:trPr>
          <w:trHeight w:hRule="exact" w:val="280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4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10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course from Coursera</w:t>
            </w:r>
          </w:p>
        </w:tc>
      </w:tr>
      <w:tr>
        <w:trPr>
          <w:trHeight w:hRule="exact" w:val="300"/>
        </w:trPr>
        <w:tc>
          <w:tcPr>
            <w:tcW w:type="dxa" w:w="6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314" w:right="432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DoorStepPath is an Online Lab Appointment application used to book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lab tests at doorstep.</w:t>
            </w:r>
          </w:p>
        </w:tc>
        <w:tc>
          <w:tcPr>
            <w:tcW w:type="dxa" w:w="9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Design Thinking from Innovation</w:t>
            </w:r>
          </w:p>
        </w:tc>
      </w:tr>
      <w:tr>
        <w:trPr>
          <w:trHeight w:hRule="exact" w:val="36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46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0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course from Coursera</w:t>
            </w:r>
          </w:p>
          <w:p>
            <w:pPr>
              <w:autoSpaceDN w:val="0"/>
              <w:autoSpaceDE w:val="0"/>
              <w:widowControl/>
              <w:spacing w:line="240" w:lineRule="auto" w:before="568" w:after="0"/>
              <w:ind w:left="38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A5394"/>
                <w:sz w:val="18"/>
              </w:rPr>
              <w:t>LANGUAGES</w:t>
            </w:r>
          </w:p>
          <w:p>
            <w:pPr>
              <w:autoSpaceDN w:val="0"/>
              <w:autoSpaceDE w:val="0"/>
              <w:widowControl/>
              <w:spacing w:line="240" w:lineRule="auto" w:before="174" w:after="0"/>
              <w:ind w:left="38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English, Hindi, Marathi</w:t>
            </w:r>
          </w:p>
        </w:tc>
      </w:tr>
      <w:tr>
        <w:trPr>
          <w:trHeight w:hRule="exact" w:val="5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40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Disease Prediction System (Python)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672"/>
        </w:trPr>
        <w:tc>
          <w:tcPr>
            <w:tcW w:type="dxa" w:w="6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314" w:right="1152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This project predicts disease a person is su�ering from using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symptoms.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40" w:after="0"/>
        <w:ind w:left="594" w:right="0" w:firstLine="0"/>
        <w:jc w:val="left"/>
      </w:pPr>
      <w:r>
        <w:rPr>
          <w:rFonts w:ascii="Open Sans" w:hAnsi="Open Sans" w:eastAsia="Open Sans"/>
          <w:b/>
          <w:i w:val="0"/>
          <w:color w:val="0A5394"/>
          <w:sz w:val="18"/>
        </w:rPr>
        <w:t>EXTRACURRICULAR</w:t>
      </w:r>
    </w:p>
    <w:p>
      <w:pPr>
        <w:autoSpaceDN w:val="0"/>
        <w:autoSpaceDE w:val="0"/>
        <w:widowControl/>
        <w:spacing w:line="240" w:lineRule="auto" w:before="176" w:after="0"/>
        <w:ind w:left="59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CodeChef DYPIU Chapter Executive Team Member (O&amp;M)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aakshimankar@gmail.com" TargetMode="External"/><Relationship Id="rId10" Type="http://schemas.openxmlformats.org/officeDocument/2006/relationships/hyperlink" Target="https://www.linkedin.com/in/saakshi-chandrakant-mankar-963845214/" TargetMode="External"/><Relationship Id="rId11" Type="http://schemas.openxmlformats.org/officeDocument/2006/relationships/hyperlink" Target="https://github.com/mankarsaak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