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30.png" ContentType="image/png"/>
  <Override PartName="/word/media/rId3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Values</w:t>
      </w:r>
      <w:r>
        <w:t xml:space="preserve"> </w:t>
      </w:r>
      <w:r>
        <w:t xml:space="preserve">in</w:t>
      </w:r>
      <w:r>
        <w:t xml:space="preserve"> </w:t>
      </w:r>
      <w:r>
        <w:t xml:space="preserve">the</w:t>
      </w:r>
      <w:r>
        <w:t xml:space="preserve"> </w:t>
      </w:r>
      <w:r>
        <w:t xml:space="preserve">ESS</w:t>
      </w:r>
    </w:p>
    <w:bookmarkStart w:id="22" w:name="introduction"/>
    <w:p>
      <w:pPr>
        <w:pStyle w:val="Heading1"/>
      </w:pPr>
      <w:r>
        <w:t xml:space="preserve">INTRODUCTION</w:t>
      </w:r>
    </w:p>
    <w:bookmarkStart w:id="20" w:name="the-european-social-survey"/>
    <w:p>
      <w:pPr>
        <w:pStyle w:val="Heading2"/>
      </w:pPr>
      <w:r>
        <w:t xml:space="preserve">The European Social Survey</w:t>
      </w:r>
    </w:p>
    <w:p>
      <w:pPr>
        <w:pStyle w:val="FirstParagraph"/>
      </w:pPr>
      <w:r>
        <w:t xml:space="preserve">According to the official website of the European Social Survey (ESS), the ESS is a survey conducted academically across Europe every two-year on a cross-national basis since 2001 through face-to-face interviews. Variables measured in this survey include the attitudes, beliefs and behaviour patterns of diverse populations. Its three main aims are, to monitor and interpret changing public attitudes and values within Europe and to investigate how they interact with Europe’s changing institutions, to advance and consolidate improved methods of cross-national survey measurement in Europe and beyond, and to develop a series of European social indicators, including attitudinal indicators.</w:t>
      </w:r>
    </w:p>
    <w:p>
      <w:pPr>
        <w:pStyle w:val="BodyText"/>
      </w:pPr>
      <w:r>
        <w:t xml:space="preserve">Until now, the ESS has had ten rounds, the first round conducted in 2002 and the tenth round in 2020. For analysis in this report, we will use data from the ninth round. In the ninth round, the survey covers 30 countries and employs the most rigorous methodologies funded by the Members, Observers and Guests of the ESS European Research Infrastructure Consortium (ESS ERIC) who represent national governments.</w:t>
      </w:r>
    </w:p>
    <w:p>
      <w:pPr>
        <w:pStyle w:val="BodyText"/>
      </w:pPr>
      <w:r>
        <w:t xml:space="preserve">The survey involves strict random probability sampling with a minimum target response rate of 70% and rigorous translation protocols. The hour-long face-to-face interview includes questions on a variety of core topics repeated from previous rounds of the survey and also two modules developed for Round 9 covering Justice and Fairness in Europe, and the Timing of Life (the latter is a partial repeat of a module from Round 3).</w:t>
      </w:r>
    </w:p>
    <w:p>
      <w:pPr>
        <w:pStyle w:val="BodyText"/>
      </w:pPr>
      <w:r>
        <w:t xml:space="preserve">The scope of this survey is all persons aged 15 and over resident within private households, regardless of their nationality, citizenship, language or legal status, in the listed countries conducted from August 30, 2018, to January 27, 2020. The listed countries in the ninth round are Albania, Austria, Belgium, Bulgaria, Croatia, Cyprus, Czechia, Denmark, Estonia, Finland, France, Germany, Germany, Hungary, Iceland, Ireland, Italy, Latvia, Lithuania, Montenegro, Netherlands, Norway, Poland, Portugal, Romania, Serbia, Slovakia, Slovenia, Spain, Sweden, Sweden, Switzerland, United Kingdom.</w:t>
      </w:r>
    </w:p>
    <w:p>
      <w:pPr>
        <w:pStyle w:val="BodyText"/>
      </w:pPr>
      <w:r>
        <w:t xml:space="preserve">By exploring the documentation file, we found that in the ninth round, there are four weights in this survey.</w:t>
      </w:r>
      <w:r>
        <w:t xml:space="preserve"> </w:t>
      </w:r>
      <w:r>
        <w:t xml:space="preserve">Design Weights</w:t>
      </w:r>
      <w:r>
        <w:t xml:space="preserve"> </w:t>
      </w:r>
      <w:r>
        <w:t xml:space="preserve">The purpose of the design weights (DWEIGHT) is to correct for unequal probabilities for selection due to the sampling design used. In general design weights were computed for each country as follows.</w:t>
      </w:r>
      <w:r>
        <w:t xml:space="preserve"> </w:t>
      </w:r>
      <w:r>
        <w:t xml:space="preserve">w = 1/(PROB1</w:t>
      </w:r>
      <w:r>
        <w:rPr>
          <w:iCs/>
          <w:i/>
        </w:rPr>
        <w:t xml:space="preserve">…</w:t>
      </w:r>
      <w:r>
        <w:t xml:space="preserve">PROBk) is a nx1 vector of weights; k depends on the number of stages of the sampling design.</w:t>
      </w:r>
      <w:r>
        <w:t xml:space="preserve"> </w:t>
      </w:r>
      <w:r>
        <w:t xml:space="preserve">All weights were rescaled in a way that the sum of the final weights equals n, i.e. rescaled weights = n</w:t>
      </w:r>
      <w:r>
        <w:rPr>
          <w:iCs/>
          <w:i/>
        </w:rPr>
        <w:t xml:space="preserve">w/sum(w).</w:t>
      </w:r>
      <w:r>
        <w:rPr>
          <w:iCs/>
          <w:i/>
        </w:rPr>
        <w:t xml:space="preserve"> </w:t>
      </w:r>
      <w:r>
        <w:rPr>
          <w:iCs/>
          <w:i/>
        </w:rPr>
        <w:t xml:space="preserve">It is not recommended to use this weight without non-response correction.</w:t>
      </w:r>
      <w:r>
        <w:rPr>
          <w:iCs/>
          <w:i/>
        </w:rPr>
        <w:t xml:space="preserve"> </w:t>
      </w:r>
      <w:r>
        <w:rPr>
          <w:iCs/>
          <w:i/>
        </w:rPr>
        <w:t xml:space="preserve">Post-stratification Weights</w:t>
      </w:r>
      <w:r>
        <w:rPr>
          <w:iCs/>
          <w:i/>
        </w:rPr>
        <w:t xml:space="preserve"> </w:t>
      </w:r>
      <w:r>
        <w:rPr>
          <w:iCs/>
          <w:i/>
        </w:rPr>
        <w:t xml:space="preserve">The purpose of the post-stratified design weights (PSPWGHT) is to reduce sampling error, non-coverage, and non-response bias, using auxiliary information specified by the sampling design. The post-stratification targets use information about age, gender, education and region. Raking (iterative proportional fitting) has been used in the production of the post-stratified weights. It also takes into account differences in population size across countries.</w:t>
      </w:r>
      <w:r>
        <w:rPr>
          <w:iCs/>
          <w:i/>
        </w:rPr>
        <w:t xml:space="preserve"> </w:t>
      </w:r>
      <w:r>
        <w:rPr>
          <w:iCs/>
          <w:i/>
        </w:rPr>
        <w:t xml:space="preserve">Analysis Weights</w:t>
      </w:r>
      <w:r>
        <w:rPr>
          <w:iCs/>
          <w:i/>
        </w:rPr>
        <w:t xml:space="preserve"> </w:t>
      </w:r>
      <w:r>
        <w:rPr>
          <w:iCs/>
          <w:i/>
        </w:rPr>
        <w:t xml:space="preserve">The analysis weight (ANWEIGHT) corrects for population size when combining two or more countries’ data, and is calculated as ANWEIGHT=PSPWGHT</w:t>
      </w:r>
      <w:r>
        <w:t xml:space="preserve">PWEIGHT. This is a weight in all analyses, it is constructed by first deriving the design weight, then applying a post-stratification adjustment, and then a population size adjustment.</w:t>
      </w:r>
      <w:r>
        <w:t xml:space="preserve"> </w:t>
      </w:r>
      <w:r>
        <w:t xml:space="preserve">Population Weights</w:t>
      </w:r>
      <w:r>
        <w:t xml:space="preserve"> </w:t>
      </w:r>
      <w:r>
        <w:t xml:space="preserve">The Population size weight (PWEIGHT) corrects for population size when combining</w:t>
      </w:r>
      <w:r>
        <w:t xml:space="preserve"> </w:t>
      </w:r>
      <w:r>
        <w:t xml:space="preserve">two or more country’s data, and is calculated as PWEIGHT=[Population aged 15 years</w:t>
      </w:r>
      <w:r>
        <w:t xml:space="preserve"> </w:t>
      </w:r>
      <w:r>
        <w:t xml:space="preserve">and over]/[(Net sample in data file)*10 000]</w:t>
      </w:r>
    </w:p>
    <w:bookmarkEnd w:id="20"/>
    <w:bookmarkStart w:id="21" w:name="objective"/>
    <w:p>
      <w:pPr>
        <w:pStyle w:val="Heading2"/>
      </w:pPr>
      <w:r>
        <w:t xml:space="preserve">Objective</w:t>
      </w:r>
    </w:p>
    <w:p>
      <w:pPr>
        <w:pStyle w:val="FirstParagraph"/>
      </w:pPr>
      <w:r>
        <w:t xml:space="preserve">The purpose of this report is to impute missing values in the variable HINCTNTA. This variable is household income in deciles. The categories in variable HINCTNTA are national and based on deciles of the actual household income range in the given country. These deciles are derived from different sources. The median income is the reference point and the 10 deciles are calculated with the median itself at the top of the fifth decile (category F).</w:t>
      </w:r>
    </w:p>
    <w:bookmarkEnd w:id="21"/>
    <w:bookmarkEnd w:id="22"/>
    <w:bookmarkStart w:id="28" w:name="missing-data-challenge"/>
    <w:p>
      <w:pPr>
        <w:pStyle w:val="Heading1"/>
      </w:pPr>
      <w:r>
        <w:t xml:space="preserve">MISSING DATA CHALLENGE</w:t>
      </w:r>
    </w:p>
    <w:bookmarkStart w:id="26" w:name="select-five-countries"/>
    <w:p>
      <w:pPr>
        <w:pStyle w:val="Heading2"/>
      </w:pPr>
      <w:r>
        <w:t xml:space="preserve">Select five countries</w:t>
      </w:r>
    </w:p>
    <w:p>
      <w:pPr>
        <w:pStyle w:val="FirstParagraph"/>
      </w:pPr>
      <w:r>
        <w:t xml:space="preserve">Here, we limit to five countries only to impute missing values. The five countries are selected randomly. The selected countries are Austria, Ireland, Portugal, Hungary, and Poland. These countries have different sources. In Austria and Portugal, it refers to annual household income with a lower limit is €15,300 €5,636 and an upper limit is €77,500 and €35,092, respectively. In Ireland, it refers to weekly household income with an upper limit of €1,680 and a lower limit of €270. Differently, in Hungary and Poland, household income refers to monthly income with a lower limit and an upper limit in Hungary Ft130,000 and Ft410,000 and zł1,700 and zł8,801 in Poland, respectively.</w:t>
      </w:r>
    </w:p>
    <w:p>
      <w:pPr>
        <w:pStyle w:val="BodyText"/>
      </w:pPr>
      <w:r>
        <w:t xml:space="preserve">The missing values themselves have three different types, which are refusal, don’t know, and no answer and coded differently. Here are the bar charts of five countries to show the frequency of missing values and each decile group.</w:t>
      </w:r>
    </w:p>
    <w:p>
      <w:pPr>
        <w:pStyle w:val="BodyText"/>
      </w:pPr>
      <w:r>
        <w:drawing>
          <wp:inline>
            <wp:extent cx="5334000" cy="2753121"/>
            <wp:effectExtent b="0" l="0" r="0" t="0"/>
            <wp:docPr descr="" title="" id="24" name="Picture"/>
            <a:graphic>
              <a:graphicData uri="http://schemas.openxmlformats.org/drawingml/2006/picture">
                <pic:pic>
                  <pic:nvPicPr>
                    <pic:cNvPr descr="pics/plot_zoom.png" id="25" name="Picture"/>
                    <pic:cNvPicPr>
                      <a:picLocks noChangeArrowheads="1" noChangeAspect="1"/>
                    </pic:cNvPicPr>
                  </pic:nvPicPr>
                  <pic:blipFill>
                    <a:blip r:embed="rId23"/>
                    <a:stretch>
                      <a:fillRect/>
                    </a:stretch>
                  </pic:blipFill>
                  <pic:spPr bwMode="auto">
                    <a:xfrm>
                      <a:off x="0" y="0"/>
                      <a:ext cx="5334000" cy="2753121"/>
                    </a:xfrm>
                    <a:prstGeom prst="rect">
                      <a:avLst/>
                    </a:prstGeom>
                    <a:noFill/>
                    <a:ln w="9525">
                      <a:noFill/>
                      <a:headEnd/>
                      <a:tailEnd/>
                    </a:ln>
                  </pic:spPr>
                </pic:pic>
              </a:graphicData>
            </a:graphic>
          </wp:inline>
        </w:drawing>
      </w:r>
    </w:p>
    <w:bookmarkEnd w:id="26"/>
    <w:bookmarkStart w:id="27" w:name="missing-values-imputation"/>
    <w:p>
      <w:pPr>
        <w:pStyle w:val="Heading2"/>
      </w:pPr>
      <w:r>
        <w:t xml:space="preserve">Missing values imputation</w:t>
      </w:r>
    </w:p>
    <w:p>
      <w:pPr>
        <w:pStyle w:val="FirstParagraph"/>
      </w:pPr>
      <w:r>
        <w:t xml:space="preserve">In order to fix missing values across countries, we decided to impute every country separately for some reasons. First, the variable HINCTNTA itself is differently distributed for every country, so simultaneous imputation would not make sense. This is also in line with other studies (Plumpton et al., 2016; Sintonen et al., 2016; Dorsch &amp; Maarek, 2019; Weber &amp; Denk, 2011; Landrum &amp; Becker, 2001). Another thing is, not only is HINCTNTA differently distributed but the variable is divided into deciles, as can be seen in the plots, meaning that the range also differs for every country.</w:t>
      </w:r>
    </w:p>
    <w:p>
      <w:pPr>
        <w:pStyle w:val="BodyText"/>
      </w:pPr>
      <w:r>
        <w:t xml:space="preserve">As we know, the income variable is a continuous variable. However, what we have here is in an ordinal scale because it is grouped as deciles. One study investigated imputation for ordinal data (Quintero and LeBoulluec, 2018) shows that the Random Selection method is the method with the best performance to treat the type of ordinal data and the most commonly used imputation methods such as mean and multiple imputations are not necessarily the most appropriate methods to treat ordinal data.</w:t>
      </w:r>
    </w:p>
    <w:p>
      <w:pPr>
        <w:pStyle w:val="BodyText"/>
      </w:pPr>
      <w:r>
        <w:t xml:space="preserve">However, as we know, the income variable should be on a continuous scale. Since the incomes are reported as deciles rather than the raw values, where each decile contains 10% of incomes in a country, this may yield some difficulties when imputing the variable. One option would be to treat the variables as nominal and then use polynomial regression to impute the income classes, but this would ignore the ordering of the variable and thus come with more difficulties.</w:t>
      </w:r>
    </w:p>
    <w:p>
      <w:pPr>
        <w:pStyle w:val="BodyText"/>
      </w:pPr>
      <w:r>
        <w:t xml:space="preserve">Ryder et al. (2011) recommend using the midpoint for each income class as a surrogate to be used for imputation so that the variable can be treated as a continuous variable. For instance, in an income class indicating €10000 - €16000, €13000 will be used as a surrogate. Furthermore, Donnelly and Pop-Eleches (2018) recommend using the lower bound of the 10th category plus the width of category 9 as a surrogate for the highest decile. Since deciles differ across countries, this will be done separately for each country.</w:t>
      </w:r>
    </w:p>
    <w:p>
      <w:pPr>
        <w:pStyle w:val="BodyText"/>
      </w:pPr>
      <w:r>
        <w:t xml:space="preserve">If we then use predictive mean matching (PMM) as an imputation method, only observed values are used as possible imputed values, and thus these imputed values can again be transformed into the established income classes after imputation. PMM is a hot deck method that calculates the predicted value of the target variable based on the specified imputation model. The method establishes a small set of potential donors for each missing data from all complete cases that has the closest predicted value to the predicted value for the missing data then a random donor is taken from the candidate to replace the missing value assuming the missing data and observed data have the same distribution (van Buuren, 2018).</w:t>
      </w:r>
    </w:p>
    <w:p>
      <w:pPr>
        <w:pStyle w:val="BodyText"/>
      </w:pPr>
      <w:r>
        <w:t xml:space="preserve">In the previous section, we also mentioned that there are weights included as variables in this survey. Based on previous research, weights are included to fix missing values. Quartagno et al. (2020) used an imputation model where the weights are included as additional variables. Kim et al. (2006) and Seaman et al. (2012) suggested a better imputation model should include not only the weights but also all interactions between weights and covariates. This can be done easily when missing data are confined to the outcome variable—but not when data are missing in all variables. Andridge and Little (2009) used the sampling weight as a stratifying variable alongside additional adjustment variables when forming adjustment cells (hot deck imputations).</w:t>
      </w:r>
    </w:p>
    <w:p>
      <w:pPr>
        <w:pStyle w:val="BodyText"/>
      </w:pPr>
      <w:r>
        <w:t xml:space="preserve">From the four kinds of weights, we only use analysis weight (ANWEIGHT) as a predictor variable because this is a weight in all analyses and can correct population size when combining more than one country. In addition to the analysis weight, we will use ten variables and interactions between those variables with the weight. The variables used are chosen based on previous studies and rational reasoning.</w:t>
      </w:r>
    </w:p>
    <w:p>
      <w:pPr>
        <w:numPr>
          <w:ilvl w:val="0"/>
          <w:numId w:val="1001"/>
        </w:numPr>
        <w:pStyle w:val="Compact"/>
      </w:pPr>
      <w:r>
        <w:rPr>
          <w:iCs/>
          <w:i/>
        </w:rPr>
        <w:t xml:space="preserve">PDWRK: partner doing paid work last 7 days</w:t>
      </w:r>
    </w:p>
    <w:p>
      <w:pPr>
        <w:numPr>
          <w:ilvl w:val="1"/>
          <w:numId w:val="1002"/>
        </w:numPr>
        <w:pStyle w:val="Compact"/>
      </w:pPr>
      <w:r>
        <w:t xml:space="preserve">Household income meaning income from for all workers in a household. We assume that if respondent’s partner is an active worker within the last 7 days then it will influence the total household income.</w:t>
      </w:r>
    </w:p>
    <w:p>
      <w:pPr>
        <w:numPr>
          <w:ilvl w:val="0"/>
          <w:numId w:val="1001"/>
        </w:numPr>
        <w:pStyle w:val="Compact"/>
      </w:pPr>
      <w:r>
        <w:rPr>
          <w:iCs/>
          <w:i/>
        </w:rPr>
        <w:t xml:space="preserve">BTHCLD: ever given birth to/ fathered a child</w:t>
      </w:r>
    </w:p>
    <w:p>
      <w:pPr>
        <w:numPr>
          <w:ilvl w:val="1"/>
          <w:numId w:val="1003"/>
        </w:numPr>
        <w:pStyle w:val="Compact"/>
      </w:pPr>
      <w:r>
        <w:t xml:space="preserve">According to Kolk (2021), fertility for both men and women groups has a positive relationship. It mentioned that men and women with two or more children have a higher income than people with one or no children.</w:t>
      </w:r>
    </w:p>
    <w:p>
      <w:pPr>
        <w:numPr>
          <w:ilvl w:val="0"/>
          <w:numId w:val="1001"/>
        </w:numPr>
        <w:pStyle w:val="Compact"/>
      </w:pPr>
      <w:r>
        <w:rPr>
          <w:iCs/>
          <w:i/>
        </w:rPr>
        <w:t xml:space="preserve">GNDR: gender of respondents</w:t>
      </w:r>
      <w:r>
        <w:rPr>
          <w:iCs/>
          <w:i/>
        </w:rPr>
        <w:t xml:space="preserve"> </w:t>
      </w:r>
    </w:p>
    <w:p>
      <w:pPr>
        <w:numPr>
          <w:ilvl w:val="1"/>
          <w:numId w:val="1004"/>
        </w:numPr>
        <w:pStyle w:val="Compact"/>
      </w:pPr>
      <w:r>
        <w:t xml:space="preserve">Based on data from International Monetary Fund (2015), more men work than women in most countries and they get paid more for similar work. Therefore, the respondent’s gender obviously has a relationship with the household income.</w:t>
      </w:r>
    </w:p>
    <w:p>
      <w:pPr>
        <w:numPr>
          <w:ilvl w:val="0"/>
          <w:numId w:val="1001"/>
        </w:numPr>
        <w:pStyle w:val="Compact"/>
      </w:pPr>
      <w:r>
        <w:rPr>
          <w:iCs/>
          <w:i/>
        </w:rPr>
        <w:t xml:space="preserve">MARITALB: legal marital status</w:t>
      </w:r>
    </w:p>
    <w:p>
      <w:pPr>
        <w:numPr>
          <w:ilvl w:val="1"/>
          <w:numId w:val="1005"/>
        </w:numPr>
        <w:pStyle w:val="Compact"/>
      </w:pPr>
      <w:r>
        <w:t xml:space="preserve">Ideally, legal marital status has a relationship with household income. It is in line with a study from Balcazar (2019) that mentioned married individuals have the highest income level out of all groups (single, married, divorced, separated, never married). Moreover, unmarried couples in some countries are counted as separate households.</w:t>
      </w:r>
    </w:p>
    <w:p>
      <w:pPr>
        <w:numPr>
          <w:ilvl w:val="0"/>
          <w:numId w:val="1001"/>
        </w:numPr>
        <w:pStyle w:val="Compact"/>
      </w:pPr>
      <w:r>
        <w:rPr>
          <w:iCs/>
          <w:i/>
        </w:rPr>
        <w:t xml:space="preserve">LRSCALE: placement on left right scale</w:t>
      </w:r>
    </w:p>
    <w:p>
      <w:pPr>
        <w:numPr>
          <w:ilvl w:val="1"/>
          <w:numId w:val="1006"/>
        </w:numPr>
        <w:pStyle w:val="Compact"/>
      </w:pPr>
      <w:r>
        <w:t xml:space="preserve">We take the self-placement of Left-Right into consideration because household income is a significant predictor of respondents’ Left-Right self-placement, controlling all other variables (Esposito &amp; Theuerkauf, 2021). It also mentioned a positive sign of income indicates that one’s perception of family prosperity is related to one’s placement on the right side of the ceteris paribus scale.</w:t>
      </w:r>
    </w:p>
    <w:p>
      <w:pPr>
        <w:numPr>
          <w:ilvl w:val="0"/>
          <w:numId w:val="1001"/>
        </w:numPr>
        <w:pStyle w:val="Compact"/>
      </w:pPr>
      <w:r>
        <w:rPr>
          <w:iCs/>
          <w:i/>
        </w:rPr>
        <w:t xml:space="preserve">DSCRGRP: member of a group discriminated against in this country</w:t>
      </w:r>
    </w:p>
    <w:p>
      <w:pPr>
        <w:numPr>
          <w:ilvl w:val="1"/>
          <w:numId w:val="1007"/>
        </w:numPr>
        <w:pStyle w:val="Compact"/>
      </w:pPr>
      <w:r>
        <w:t xml:space="preserve">Halanych et al. (2011) stated both income and education have a linear association with the presence of discrimination and intensity of discrimination. That is also in line with key findings from European Network Against Racism report: (1) ethnic minorities have fewer chances of getting through recruitment processes, (2) migrants and ethnic minorities tend to have jobs further down the hierarchy and lower wages, (3) migrant people and ethnic minorities have a much higher unemployment rate and are overrepresented in certain job positions or sectors, which may be a result of structural discriminatory inequalities, and (4) the financial crisis of 2008 continues to have particularly harsh consequences on ethnic minorities.</w:t>
      </w:r>
    </w:p>
    <w:p>
      <w:pPr>
        <w:numPr>
          <w:ilvl w:val="0"/>
          <w:numId w:val="1001"/>
        </w:numPr>
        <w:pStyle w:val="Compact"/>
      </w:pPr>
      <w:r>
        <w:rPr>
          <w:iCs/>
          <w:i/>
        </w:rPr>
        <w:t xml:space="preserve">HHMMB: number of people living regularly as member of household</w:t>
      </w:r>
    </w:p>
    <w:p>
      <w:pPr>
        <w:numPr>
          <w:ilvl w:val="1"/>
          <w:numId w:val="1008"/>
        </w:numPr>
        <w:pStyle w:val="Compact"/>
      </w:pPr>
      <w:r>
        <w:t xml:space="preserve">Woofter Jr (1944) conducted a study to find the relationship between family size, family head age, and family income. He found that the most pronounced relationship between family income and family size appears in every age group.</w:t>
      </w:r>
    </w:p>
    <w:p>
      <w:pPr>
        <w:numPr>
          <w:ilvl w:val="0"/>
          <w:numId w:val="1001"/>
        </w:numPr>
        <w:pStyle w:val="Compact"/>
      </w:pPr>
      <w:r>
        <w:rPr>
          <w:iCs/>
          <w:i/>
        </w:rPr>
        <w:t xml:space="preserve">AGEA: age of respondents</w:t>
      </w:r>
    </w:p>
    <w:p>
      <w:pPr>
        <w:numPr>
          <w:ilvl w:val="1"/>
          <w:numId w:val="1009"/>
        </w:numPr>
        <w:pStyle w:val="Compact"/>
      </w:pPr>
      <w:r>
        <w:t xml:space="preserve">Wędrowska and Muszyńska (2022) confirmed that age and level of education have an association with household income although they also stated that most elderly income comes from the pension.</w:t>
      </w:r>
    </w:p>
    <w:p>
      <w:pPr>
        <w:numPr>
          <w:ilvl w:val="0"/>
          <w:numId w:val="1001"/>
        </w:numPr>
        <w:pStyle w:val="Compact"/>
      </w:pPr>
      <w:r>
        <w:rPr>
          <w:iCs/>
          <w:i/>
        </w:rPr>
        <w:t xml:space="preserve">WKHTOT: total hours normally worked per week in main job overtime included</w:t>
      </w:r>
    </w:p>
    <w:p>
      <w:pPr>
        <w:numPr>
          <w:ilvl w:val="1"/>
          <w:numId w:val="1010"/>
        </w:numPr>
        <w:pStyle w:val="Compact"/>
      </w:pPr>
      <w:r>
        <w:t xml:space="preserve">As most of the European countries paid the workers based on hours of work, then we can assume that the total hours worked per week absolutely will determine the household income.</w:t>
      </w:r>
    </w:p>
    <w:p>
      <w:pPr>
        <w:numPr>
          <w:ilvl w:val="0"/>
          <w:numId w:val="1001"/>
        </w:numPr>
        <w:pStyle w:val="Compact"/>
      </w:pPr>
      <w:r>
        <w:rPr>
          <w:iCs/>
          <w:i/>
        </w:rPr>
        <w:t xml:space="preserve">EISCED: highest level of education</w:t>
      </w:r>
    </w:p>
    <w:p>
      <w:pPr>
        <w:numPr>
          <w:ilvl w:val="1"/>
          <w:numId w:val="1011"/>
        </w:numPr>
        <w:pStyle w:val="Compact"/>
      </w:pPr>
      <w:r>
        <w:t xml:space="preserve">As stated previously, Wędrowska and Muszyńska (2022) confirmed that the level of education has an association with household income and the level of education remains an important determinant of household income inequality.</w:t>
      </w:r>
    </w:p>
    <w:bookmarkEnd w:id="27"/>
    <w:bookmarkEnd w:id="28"/>
    <w:bookmarkStart w:id="73" w:name="methodology-and-results"/>
    <w:p>
      <w:pPr>
        <w:pStyle w:val="Heading1"/>
      </w:pPr>
      <w:r>
        <w:t xml:space="preserve">Methodology and Results</w:t>
      </w:r>
    </w:p>
    <w:bookmarkStart w:id="29" w:name="input-data-and-packages"/>
    <w:p>
      <w:pPr>
        <w:pStyle w:val="Heading2"/>
      </w:pPr>
      <w:r>
        <w:t xml:space="preserve">Input data and packages</w:t>
      </w:r>
    </w:p>
    <w:p>
      <w:pPr>
        <w:pStyle w:val="SourceCode"/>
      </w:pPr>
      <w:r>
        <w:rPr>
          <w:rStyle w:val="CommentTok"/>
        </w:rPr>
        <w:t xml:space="preserve">#devtools::install_github("amices/ggmice")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(ggmice)</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(visdat)</w:t>
      </w:r>
      <w:r>
        <w:br/>
      </w:r>
      <w:r>
        <w:br/>
      </w:r>
      <w:r>
        <w:rPr>
          <w:rStyle w:val="CommentTok"/>
        </w:rPr>
        <w:t xml:space="preserve">#Input Data</w:t>
      </w:r>
      <w:r>
        <w:br/>
      </w:r>
      <w:r>
        <w:rPr>
          <w:rStyle w:val="NormalTok"/>
        </w:rPr>
        <w:t xml:space="preserve">ess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"Ess round 9.RDS"</w:t>
      </w:r>
      <w:r>
        <w:rPr>
          <w:rStyle w:val="NormalTok"/>
        </w:rPr>
        <w:t xml:space="preserve">)</w:t>
      </w:r>
    </w:p>
    <w:bookmarkEnd w:id="29"/>
    <w:bookmarkStart w:id="36" w:name="data-processing"/>
    <w:p>
      <w:pPr>
        <w:pStyle w:val="Heading2"/>
      </w:pPr>
      <w:r>
        <w:t xml:space="preserve">Data processing</w:t>
      </w:r>
    </w:p>
    <w:p>
      <w:pPr>
        <w:pStyle w:val="FirstParagraph"/>
      </w:pPr>
      <w:r>
        <w:t xml:space="preserve">In order to obtain the data of the 5 chosen countries, we have to divide the original data.</w:t>
      </w:r>
    </w:p>
    <w:p>
      <w:pPr>
        <w:pStyle w:val="SourceCode"/>
      </w:pPr>
      <w:r>
        <w:rPr>
          <w:rStyle w:val="CommentTok"/>
        </w:rPr>
        <w:t xml:space="preserve">#Find the column full of NAs</w:t>
      </w:r>
      <w:r>
        <w:br/>
      </w:r>
      <w:r>
        <w:rPr>
          <w:rStyle w:val="NormalTok"/>
        </w:rPr>
        <w:t xml:space="preserve">findNACol </w:t>
      </w:r>
      <w:r>
        <w:rPr>
          <w:rStyle w:val="OtherTok"/>
        </w:rPr>
        <w:t xml:space="preserve">&lt;-</w:t>
      </w:r>
      <w:r>
        <w:rPr>
          <w:rStyle w:val="NormalTok"/>
        </w:rPr>
        <w:t xml:space="preserve"> </w:t>
      </w:r>
      <w:r>
        <w:rPr>
          <w:rStyle w:val="ControlFlowTok"/>
        </w:rPr>
        <w:t xml:space="preserve">function</w:t>
      </w:r>
      <w:r>
        <w:rPr>
          <w:rStyle w:val="NormalTok"/>
        </w:rPr>
        <w:t xml:space="preserve">(data){</w:t>
      </w:r>
      <w:r>
        <w:br/>
      </w:r>
      <w:r>
        <w:rPr>
          <w:rStyle w:val="NormalTok"/>
        </w:rPr>
        <w:t xml:space="preserve">  ind_vec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rPr>
          <w:rStyle w:val="DecValTok"/>
        </w:rPr>
        <w:t xml:space="preserve">1</w:t>
      </w:r>
      <w:r>
        <w:rPr>
          <w:rStyle w:val="NormalTok"/>
        </w:rPr>
        <w:t xml:space="preserve">, ])) {</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(data[, i])) </w:t>
      </w:r>
      <w:r>
        <w:rPr>
          <w:rStyle w:val="SpecialCharTok"/>
        </w:rPr>
        <w:t xml:space="preserve">==</w:t>
      </w:r>
      <w:r>
        <w:rPr>
          <w:rStyle w:val="NormalTok"/>
        </w:rPr>
        <w:t xml:space="preserve"> </w:t>
      </w:r>
      <w:r>
        <w:rPr>
          <w:rStyle w:val="FunctionTok"/>
        </w:rPr>
        <w:t xml:space="preserve">length</w:t>
      </w:r>
      <w:r>
        <w:rPr>
          <w:rStyle w:val="NormalTok"/>
        </w:rPr>
        <w:t xml:space="preserve">(data[, i])){</w:t>
      </w:r>
      <w:r>
        <w:br/>
      </w:r>
      <w:r>
        <w:rPr>
          <w:rStyle w:val="NormalTok"/>
        </w:rPr>
        <w:t xml:space="preserve">      ind_vec[j] </w:t>
      </w:r>
      <w:r>
        <w:rPr>
          <w:rStyle w:val="OtherTok"/>
        </w:rPr>
        <w:t xml:space="preserve">&lt;-</w:t>
      </w:r>
      <w:r>
        <w:rPr>
          <w:rStyle w:val="NormalTok"/>
        </w:rPr>
        <w:t xml:space="preserve"> i</w:t>
      </w:r>
      <w:r>
        <w:br/>
      </w:r>
      <w:r>
        <w:rPr>
          <w:rStyle w:val="NormalTok"/>
        </w:rPr>
        <w:t xml:space="preserve">      j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(ind_vec)</w:t>
      </w:r>
      <w:r>
        <w:br/>
      </w:r>
      <w:r>
        <w:rPr>
          <w:rStyle w:val="NormalTok"/>
        </w:rPr>
        <w:t xml:space="preserve">}</w:t>
      </w:r>
    </w:p>
    <w:p>
      <w:pPr>
        <w:pStyle w:val="SourceCode"/>
      </w:pPr>
      <w:r>
        <w:rPr>
          <w:rStyle w:val="CommentTok"/>
        </w:rPr>
        <w:t xml:space="preserve">#Cutting the whole dataset by countries and get rid of NA columns</w:t>
      </w:r>
      <w:r>
        <w:br/>
      </w:r>
      <w:r>
        <w:rPr>
          <w:rStyle w:val="NormalTok"/>
        </w:rPr>
        <w:t xml:space="preserve">cutd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data =</w:t>
      </w:r>
      <w:r>
        <w:rPr>
          <w:rStyle w:val="NormalTok"/>
        </w:rPr>
        <w:t xml:space="preserve"> ess){</w:t>
      </w:r>
      <w:r>
        <w:br/>
      </w:r>
      <w:r>
        <w:rPr>
          <w:rStyle w:val="NormalTok"/>
        </w:rPr>
        <w:t xml:space="preserve">  cntrynames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cntry))</w:t>
      </w:r>
      <w:r>
        <w:br/>
      </w:r>
      <w:r>
        <w:rPr>
          <w:rStyle w:val="NormalTok"/>
        </w:rPr>
        <w:t xml:space="preserve">  num_cntry </w:t>
      </w:r>
      <w:r>
        <w:rPr>
          <w:rStyle w:val="OtherTok"/>
        </w:rPr>
        <w:t xml:space="preserve">&lt;-</w:t>
      </w:r>
      <w:r>
        <w:rPr>
          <w:rStyle w:val="NormalTok"/>
        </w:rPr>
        <w:t xml:space="preserve"> </w:t>
      </w:r>
      <w:r>
        <w:rPr>
          <w:rStyle w:val="FunctionTok"/>
        </w:rPr>
        <w:t xml:space="preserve">length</w:t>
      </w:r>
      <w:r>
        <w:rPr>
          <w:rStyle w:val="NormalTok"/>
        </w:rPr>
        <w:t xml:space="preserve">(cntrynames)</w:t>
      </w:r>
      <w:r>
        <w:br/>
      </w:r>
      <w:r>
        <w:rPr>
          <w:rStyle w:val="NormalTok"/>
        </w:rPr>
        <w:t xml:space="preserve">  cntrydata_list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num_cntry) {</w:t>
      </w:r>
      <w:r>
        <w:br/>
      </w:r>
      <w:r>
        <w:rPr>
          <w:rStyle w:val="NormalTok"/>
        </w:rPr>
        <w:t xml:space="preserve">    cntry </w:t>
      </w:r>
      <w:r>
        <w:rPr>
          <w:rStyle w:val="OtherTok"/>
        </w:rPr>
        <w:t xml:space="preserve">&lt;-</w:t>
      </w:r>
      <w:r>
        <w:rPr>
          <w:rStyle w:val="NormalTok"/>
        </w:rPr>
        <w:t xml:space="preserve"> </w:t>
      </w:r>
      <w:r>
        <w:rPr>
          <w:rStyle w:val="FunctionTok"/>
        </w:rPr>
        <w:t xml:space="preserve">filter</w:t>
      </w:r>
      <w:r>
        <w:rPr>
          <w:rStyle w:val="NormalTok"/>
        </w:rPr>
        <w:t xml:space="preserve">(data, cntry </w:t>
      </w:r>
      <w:r>
        <w:rPr>
          <w:rStyle w:val="SpecialCharTok"/>
        </w:rPr>
        <w:t xml:space="preserve">==</w:t>
      </w:r>
      <w:r>
        <w:rPr>
          <w:rStyle w:val="NormalTok"/>
        </w:rPr>
        <w:t xml:space="preserve"> cntrynames[k])</w:t>
      </w:r>
      <w:r>
        <w:br/>
      </w:r>
      <w:r>
        <w:rPr>
          <w:rStyle w:val="NormalTok"/>
        </w:rPr>
        <w:t xml:space="preserve">    index </w:t>
      </w:r>
      <w:r>
        <w:rPr>
          <w:rStyle w:val="OtherTok"/>
        </w:rPr>
        <w:t xml:space="preserve">&lt;-</w:t>
      </w:r>
      <w:r>
        <w:rPr>
          <w:rStyle w:val="NormalTok"/>
        </w:rPr>
        <w:t xml:space="preserve"> </w:t>
      </w:r>
      <w:r>
        <w:rPr>
          <w:rStyle w:val="FunctionTok"/>
        </w:rPr>
        <w:t xml:space="preserve">findNACol</w:t>
      </w:r>
      <w:r>
        <w:rPr>
          <w:rStyle w:val="NormalTok"/>
        </w:rPr>
        <w:t xml:space="preserve">(cntry)</w:t>
      </w:r>
      <w:r>
        <w:br/>
      </w:r>
      <w:r>
        <w:rPr>
          <w:rStyle w:val="NormalTok"/>
        </w:rPr>
        <w:t xml:space="preserve">    processed </w:t>
      </w:r>
      <w:r>
        <w:rPr>
          <w:rStyle w:val="OtherTok"/>
        </w:rPr>
        <w:t xml:space="preserve">&lt;-</w:t>
      </w:r>
      <w:r>
        <w:rPr>
          <w:rStyle w:val="NormalTok"/>
        </w:rPr>
        <w:t xml:space="preserve"> cntry[, </w:t>
      </w:r>
      <w:r>
        <w:rPr>
          <w:rStyle w:val="SpecialCharTok"/>
        </w:rPr>
        <w:t xml:space="preserve">-</w:t>
      </w:r>
      <w:r>
        <w:rPr>
          <w:rStyle w:val="NormalTok"/>
        </w:rPr>
        <w:t xml:space="preserve">index]</w:t>
      </w:r>
      <w:r>
        <w:br/>
      </w:r>
      <w:r>
        <w:rPr>
          <w:rStyle w:val="NormalTok"/>
        </w:rPr>
        <w:t xml:space="preserve">    </w:t>
      </w:r>
      <w:r>
        <w:br/>
      </w:r>
      <w:r>
        <w:rPr>
          <w:rStyle w:val="NormalTok"/>
        </w:rPr>
        <w:t xml:space="preserve">    cntrydata_list[[k]] </w:t>
      </w:r>
      <w:r>
        <w:rPr>
          <w:rStyle w:val="OtherTok"/>
        </w:rPr>
        <w:t xml:space="preserve">&lt;-</w:t>
      </w:r>
      <w:r>
        <w:rPr>
          <w:rStyle w:val="NormalTok"/>
        </w:rPr>
        <w:t xml:space="preserve"> processed</w:t>
      </w:r>
      <w:r>
        <w:br/>
      </w:r>
      <w:r>
        <w:rPr>
          <w:rStyle w:val="NormalTok"/>
        </w:rPr>
        <w:t xml:space="preserve">  }</w:t>
      </w:r>
      <w:r>
        <w:br/>
      </w:r>
      <w:r>
        <w:rPr>
          <w:rStyle w:val="NormalTok"/>
        </w:rPr>
        <w:t xml:space="preserve">  </w:t>
      </w:r>
      <w:r>
        <w:br/>
      </w:r>
      <w:r>
        <w:rPr>
          <w:rStyle w:val="NormalTok"/>
        </w:rPr>
        <w:t xml:space="preserve">  </w:t>
      </w:r>
      <w:r>
        <w:rPr>
          <w:rStyle w:val="FunctionTok"/>
        </w:rPr>
        <w:t xml:space="preserve">names</w:t>
      </w:r>
      <w:r>
        <w:rPr>
          <w:rStyle w:val="NormalTok"/>
        </w:rPr>
        <w:t xml:space="preserve">(cntrydata_list) </w:t>
      </w:r>
      <w:r>
        <w:rPr>
          <w:rStyle w:val="OtherTok"/>
        </w:rPr>
        <w:t xml:space="preserve">&lt;-</w:t>
      </w:r>
      <w:r>
        <w:rPr>
          <w:rStyle w:val="NormalTok"/>
        </w:rPr>
        <w:t xml:space="preserve"> cntrynames</w:t>
      </w:r>
      <w:r>
        <w:br/>
      </w:r>
      <w:r>
        <w:rPr>
          <w:rStyle w:val="NormalTok"/>
        </w:rPr>
        <w:t xml:space="preserve">  </w:t>
      </w:r>
      <w:r>
        <w:rPr>
          <w:rStyle w:val="FunctionTok"/>
        </w:rPr>
        <w:t xml:space="preserve">return</w:t>
      </w:r>
      <w:r>
        <w:rPr>
          <w:rStyle w:val="NormalTok"/>
        </w:rPr>
        <w:t xml:space="preserve">(cntrydata_list)</w:t>
      </w:r>
      <w:r>
        <w:br/>
      </w:r>
      <w:r>
        <w:rPr>
          <w:rStyle w:val="NormalTok"/>
        </w:rPr>
        <w:t xml:space="preserve">}</w:t>
      </w:r>
      <w:r>
        <w:br/>
      </w:r>
      <w:r>
        <w:br/>
      </w:r>
      <w:r>
        <w:rPr>
          <w:rStyle w:val="NormalTok"/>
        </w:rPr>
        <w:t xml:space="preserve">cntrydatalist </w:t>
      </w:r>
      <w:r>
        <w:rPr>
          <w:rStyle w:val="OtherTok"/>
        </w:rPr>
        <w:t xml:space="preserve">&lt;-</w:t>
      </w:r>
      <w:r>
        <w:rPr>
          <w:rStyle w:val="NormalTok"/>
        </w:rPr>
        <w:t xml:space="preserve"> </w:t>
      </w:r>
      <w:r>
        <w:rPr>
          <w:rStyle w:val="FunctionTok"/>
        </w:rPr>
        <w:t xml:space="preserve">cutd</w:t>
      </w:r>
      <w:r>
        <w:rPr>
          <w:rStyle w:val="NormalTok"/>
        </w:rPr>
        <w:t xml:space="preserve">(ess)</w:t>
      </w:r>
    </w:p>
    <w:p>
      <w:pPr>
        <w:pStyle w:val="FirstParagraph"/>
      </w:pPr>
      <w:r>
        <w:t xml:space="preserve">Next, rename the data of each countries that we chose</w:t>
      </w:r>
    </w:p>
    <w:p>
      <w:pPr>
        <w:pStyle w:val="SourceCode"/>
      </w:pPr>
      <w:r>
        <w:rPr>
          <w:rStyle w:val="NormalTok"/>
        </w:rPr>
        <w:t xml:space="preserve">AT </w:t>
      </w:r>
      <w:r>
        <w:rPr>
          <w:rStyle w:val="OtherTok"/>
        </w:rPr>
        <w:t xml:space="preserve">&lt;-</w:t>
      </w:r>
      <w:r>
        <w:rPr>
          <w:rStyle w:val="NormalTok"/>
        </w:rPr>
        <w:t xml:space="preserve"> cntrydatalist</w:t>
      </w:r>
      <w:r>
        <w:rPr>
          <w:rStyle w:val="SpecialCharTok"/>
        </w:rPr>
        <w:t xml:space="preserve">$</w:t>
      </w:r>
      <w:r>
        <w:rPr>
          <w:rStyle w:val="NormalTok"/>
        </w:rPr>
        <w:t xml:space="preserve">AT</w:t>
      </w:r>
      <w:r>
        <w:br/>
      </w:r>
      <w:r>
        <w:rPr>
          <w:rStyle w:val="NormalTok"/>
        </w:rPr>
        <w:t xml:space="preserve">IE </w:t>
      </w:r>
      <w:r>
        <w:rPr>
          <w:rStyle w:val="OtherTok"/>
        </w:rPr>
        <w:t xml:space="preserve">&lt;-</w:t>
      </w:r>
      <w:r>
        <w:rPr>
          <w:rStyle w:val="NormalTok"/>
        </w:rPr>
        <w:t xml:space="preserve"> cntrydatalist</w:t>
      </w:r>
      <w:r>
        <w:rPr>
          <w:rStyle w:val="SpecialCharTok"/>
        </w:rPr>
        <w:t xml:space="preserve">$</w:t>
      </w:r>
      <w:r>
        <w:rPr>
          <w:rStyle w:val="NormalTok"/>
        </w:rPr>
        <w:t xml:space="preserve">IE</w:t>
      </w:r>
      <w:r>
        <w:br/>
      </w:r>
      <w:r>
        <w:rPr>
          <w:rStyle w:val="NormalTok"/>
        </w:rPr>
        <w:t xml:space="preserve">PT </w:t>
      </w:r>
      <w:r>
        <w:rPr>
          <w:rStyle w:val="OtherTok"/>
        </w:rPr>
        <w:t xml:space="preserve">&lt;-</w:t>
      </w:r>
      <w:r>
        <w:rPr>
          <w:rStyle w:val="NormalTok"/>
        </w:rPr>
        <w:t xml:space="preserve"> cntrydatalist</w:t>
      </w:r>
      <w:r>
        <w:rPr>
          <w:rStyle w:val="SpecialCharTok"/>
        </w:rPr>
        <w:t xml:space="preserve">$</w:t>
      </w:r>
      <w:r>
        <w:rPr>
          <w:rStyle w:val="NormalTok"/>
        </w:rPr>
        <w:t xml:space="preserve">PT</w:t>
      </w:r>
      <w:r>
        <w:br/>
      </w:r>
      <w:r>
        <w:rPr>
          <w:rStyle w:val="NormalTok"/>
        </w:rPr>
        <w:t xml:space="preserve">HU </w:t>
      </w:r>
      <w:r>
        <w:rPr>
          <w:rStyle w:val="OtherTok"/>
        </w:rPr>
        <w:t xml:space="preserve">&lt;-</w:t>
      </w:r>
      <w:r>
        <w:rPr>
          <w:rStyle w:val="NormalTok"/>
        </w:rPr>
        <w:t xml:space="preserve"> cntrydatalist</w:t>
      </w:r>
      <w:r>
        <w:rPr>
          <w:rStyle w:val="SpecialCharTok"/>
        </w:rPr>
        <w:t xml:space="preserve">$</w:t>
      </w:r>
      <w:r>
        <w:rPr>
          <w:rStyle w:val="NormalTok"/>
        </w:rPr>
        <w:t xml:space="preserve">HU</w:t>
      </w:r>
      <w:r>
        <w:br/>
      </w:r>
      <w:r>
        <w:rPr>
          <w:rStyle w:val="NormalTok"/>
        </w:rPr>
        <w:t xml:space="preserve">PL </w:t>
      </w:r>
      <w:r>
        <w:rPr>
          <w:rStyle w:val="OtherTok"/>
        </w:rPr>
        <w:t xml:space="preserve">&lt;-</w:t>
      </w:r>
      <w:r>
        <w:rPr>
          <w:rStyle w:val="NormalTok"/>
        </w:rPr>
        <w:t xml:space="preserve"> cntrydatalist</w:t>
      </w:r>
      <w:r>
        <w:rPr>
          <w:rStyle w:val="SpecialCharTok"/>
        </w:rPr>
        <w:t xml:space="preserve">$</w:t>
      </w:r>
      <w:r>
        <w:rPr>
          <w:rStyle w:val="NormalTok"/>
        </w:rPr>
        <w:t xml:space="preserve">PL</w:t>
      </w:r>
    </w:p>
    <w:p>
      <w:pPr>
        <w:pStyle w:val="FirstParagraph"/>
      </w:pPr>
      <w:r>
        <w:t xml:space="preserve">Replace the specific answers as NA. The missing values are coded differently for each reason: 99 is for the</w:t>
      </w:r>
      <w:r>
        <w:t xml:space="preserve"> </w:t>
      </w:r>
      <w:r>
        <w:t xml:space="preserve">“</w:t>
      </w:r>
      <w:r>
        <w:t xml:space="preserve">no answer“ answer, 88 is for the “don’t know</w:t>
      </w:r>
      <w:r>
        <w:t xml:space="preserve">”</w:t>
      </w:r>
      <w:r>
        <w:t xml:space="preserve"> </w:t>
      </w:r>
      <w:r>
        <w:t xml:space="preserve">answer, and 77 is for the</w:t>
      </w:r>
      <w:r>
        <w:t xml:space="preserve"> </w:t>
      </w:r>
      <w:r>
        <w:t xml:space="preserve">“</w:t>
      </w:r>
      <w:r>
        <w:t xml:space="preserve">refusal</w:t>
      </w:r>
      <w:r>
        <w:t xml:space="preserve">”</w:t>
      </w:r>
      <w:r>
        <w:t xml:space="preserve"> </w:t>
      </w:r>
      <w:r>
        <w:t xml:space="preserve">answer. No answer here is assumed mistakenly skipped by the respondents so it is missing completely at random (MCAR), but there is no case in these five countries. For refusal and don’t know, it is nonrandomly missing because it is missing nonrandomly at random MNAR). Therefore, the two kinds of missing values we have are both MNAR then we do not treat them differently.</w:t>
      </w:r>
    </w:p>
    <w:p>
      <w:pPr>
        <w:pStyle w:val="SourceCode"/>
      </w:pPr>
      <w:r>
        <w:rPr>
          <w:rStyle w:val="NormalTok"/>
        </w:rPr>
        <w:t xml:space="preserve">AT</w:t>
      </w:r>
      <w:r>
        <w:rPr>
          <w:rStyle w:val="SpecialCharTok"/>
        </w:rPr>
        <w:t xml:space="preserve">$</w:t>
      </w:r>
      <w:r>
        <w:rPr>
          <w:rStyle w:val="NormalTok"/>
        </w:rPr>
        <w:t xml:space="preserve">hinctnta[AT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hinctnta[AT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IE</w:t>
      </w:r>
      <w:r>
        <w:rPr>
          <w:rStyle w:val="SpecialCharTok"/>
        </w:rPr>
        <w:t xml:space="preserve">$</w:t>
      </w:r>
      <w:r>
        <w:rPr>
          <w:rStyle w:val="NormalTok"/>
        </w:rPr>
        <w:t xml:space="preserve">hinctnta[IE</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hinctnta[IE</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PT</w:t>
      </w:r>
      <w:r>
        <w:rPr>
          <w:rStyle w:val="SpecialCharTok"/>
        </w:rPr>
        <w:t xml:space="preserve">$</w:t>
      </w:r>
      <w:r>
        <w:rPr>
          <w:rStyle w:val="NormalTok"/>
        </w:rPr>
        <w:t xml:space="preserve">hinctnta[PT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hinctnta[PT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HU</w:t>
      </w:r>
      <w:r>
        <w:rPr>
          <w:rStyle w:val="SpecialCharTok"/>
        </w:rPr>
        <w:t xml:space="preserve">$</w:t>
      </w:r>
      <w:r>
        <w:rPr>
          <w:rStyle w:val="NormalTok"/>
        </w:rPr>
        <w:t xml:space="preserve">hinctnta[HU</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hinctnta[HU</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PL</w:t>
      </w:r>
      <w:r>
        <w:rPr>
          <w:rStyle w:val="SpecialCharTok"/>
        </w:rPr>
        <w:t xml:space="preserve">$</w:t>
      </w:r>
      <w:r>
        <w:rPr>
          <w:rStyle w:val="NormalTok"/>
        </w:rPr>
        <w:t xml:space="preserve">hinctnta[PL</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hinctnta[PL</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And then we can take a brief look at the patterns of missing data</w:t>
      </w:r>
      <w:r>
        <w:t xml:space="preserve"> </w:t>
      </w:r>
      <w:r>
        <w:drawing>
          <wp:inline>
            <wp:extent cx="4620126" cy="3696101"/>
            <wp:effectExtent b="0" l="0" r="0" t="0"/>
            <wp:docPr descr="" title="" id="31" name="Picture"/>
            <a:graphic>
              <a:graphicData uri="http://schemas.openxmlformats.org/drawingml/2006/picture">
                <pic:pic>
                  <pic:nvPicPr>
                    <pic:cNvPr descr="finalreport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finalreport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create-decile-objects"/>
    <w:p>
      <w:pPr>
        <w:pStyle w:val="Heading2"/>
      </w:pPr>
      <w:r>
        <w:t xml:space="preserve">Create Decile Objects</w:t>
      </w:r>
    </w:p>
    <w:p>
      <w:pPr>
        <w:pStyle w:val="SourceCode"/>
      </w:pPr>
      <w:r>
        <w:rPr>
          <w:rStyle w:val="CommentTok"/>
        </w:rPr>
        <w:t xml:space="preserve"># Austria</w:t>
      </w:r>
      <w:r>
        <w:br/>
      </w:r>
      <w:r>
        <w:rPr>
          <w:rStyle w:val="NormalTok"/>
        </w:rPr>
        <w:t xml:space="preserve">AT_deciles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7650</w:t>
      </w:r>
      <w:r>
        <w:rPr>
          <w:rStyle w:val="NormalTok"/>
        </w:rPr>
        <w:t xml:space="preserve">, </w:t>
      </w:r>
      <w:r>
        <w:rPr>
          <w:rStyle w:val="DecValTok"/>
        </w:rPr>
        <w:t xml:space="preserve">18200</w:t>
      </w:r>
      <w:r>
        <w:rPr>
          <w:rStyle w:val="NormalTok"/>
        </w:rPr>
        <w:t xml:space="preserve">, </w:t>
      </w:r>
      <w:r>
        <w:rPr>
          <w:rStyle w:val="DecValTok"/>
        </w:rPr>
        <w:t xml:space="preserve">23400</w:t>
      </w:r>
      <w:r>
        <w:rPr>
          <w:rStyle w:val="NormalTok"/>
        </w:rPr>
        <w:t xml:space="preserve">, </w:t>
      </w:r>
      <w:r>
        <w:rPr>
          <w:rStyle w:val="DecValTok"/>
        </w:rPr>
        <w:t xml:space="preserve">28350</w:t>
      </w:r>
      <w:r>
        <w:rPr>
          <w:rStyle w:val="NormalTok"/>
        </w:rPr>
        <w:t xml:space="preserve">, </w:t>
      </w:r>
      <w:r>
        <w:rPr>
          <w:rStyle w:val="DecValTok"/>
        </w:rPr>
        <w:t xml:space="preserve">34050</w:t>
      </w:r>
      <w:r>
        <w:br/>
      </w:r>
      <w:r>
        <w:rPr>
          <w:rStyle w:val="NormalTok"/>
        </w:rPr>
        <w:t xml:space="preserve">                            , </w:t>
      </w:r>
      <w:r>
        <w:rPr>
          <w:rStyle w:val="DecValTok"/>
        </w:rPr>
        <w:t xml:space="preserve">40150</w:t>
      </w:r>
      <w:r>
        <w:rPr>
          <w:rStyle w:val="NormalTok"/>
        </w:rPr>
        <w:t xml:space="preserve">, </w:t>
      </w:r>
      <w:r>
        <w:rPr>
          <w:rStyle w:val="DecValTok"/>
        </w:rPr>
        <w:t xml:space="preserve">47300</w:t>
      </w:r>
      <w:r>
        <w:rPr>
          <w:rStyle w:val="NormalTok"/>
        </w:rPr>
        <w:t xml:space="preserve">, </w:t>
      </w:r>
      <w:r>
        <w:rPr>
          <w:rStyle w:val="DecValTok"/>
        </w:rPr>
        <w:t xml:space="preserve">56000</w:t>
      </w:r>
      <w:r>
        <w:rPr>
          <w:rStyle w:val="NormalTok"/>
        </w:rPr>
        <w:t xml:space="preserve">, </w:t>
      </w:r>
      <w:r>
        <w:rPr>
          <w:rStyle w:val="DecValTok"/>
        </w:rPr>
        <w:t xml:space="preserve">69050</w:t>
      </w:r>
      <w:r>
        <w:rPr>
          <w:rStyle w:val="NormalTok"/>
        </w:rPr>
        <w:t xml:space="preserve">, </w:t>
      </w:r>
      <w:r>
        <w:rPr>
          <w:rStyle w:val="DecValTok"/>
        </w:rPr>
        <w:t xml:space="preserve">94400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(AT_deciles)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AT_deciles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(AT_deciles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AT </w:t>
      </w:r>
      <w:r>
        <w:rPr>
          <w:rStyle w:val="OtherTok"/>
        </w:rPr>
        <w:t xml:space="preserve">&lt;-</w:t>
      </w:r>
      <w:r>
        <w:rPr>
          <w:rStyle w:val="NormalTok"/>
        </w:rPr>
        <w:t xml:space="preserve"> AT </w:t>
      </w:r>
      <w:r>
        <w:rPr>
          <w:rStyle w:val="SpecialCharTok"/>
        </w:rPr>
        <w:t xml:space="preserve">%&gt;%</w:t>
      </w:r>
      <w:r>
        <w:rPr>
          <w:rStyle w:val="NormalTok"/>
        </w:rPr>
        <w:t xml:space="preserve"> </w:t>
      </w:r>
      <w:r>
        <w:rPr>
          <w:rStyle w:val="FunctionTok"/>
        </w:rPr>
        <w:t xml:space="preserve">left_join</w:t>
      </w:r>
      <w:r>
        <w:rPr>
          <w:rStyle w:val="NormalTok"/>
        </w:rPr>
        <w:t xml:space="preserve">(AT_deciles,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Ireland</w:t>
      </w:r>
      <w:r>
        <w:br/>
      </w:r>
      <w:r>
        <w:rPr>
          <w:rStyle w:val="NormalTok"/>
        </w:rPr>
        <w:t xml:space="preserve">IE_deciles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135</w:t>
      </w:r>
      <w:r>
        <w:rPr>
          <w:rStyle w:val="NormalTok"/>
        </w:rPr>
        <w:t xml:space="preserve">, </w:t>
      </w:r>
      <w:r>
        <w:rPr>
          <w:rStyle w:val="FloatTok"/>
        </w:rPr>
        <w:t xml:space="preserve">327.50</w:t>
      </w:r>
      <w:r>
        <w:rPr>
          <w:rStyle w:val="NormalTok"/>
        </w:rPr>
        <w:t xml:space="preserve">, </w:t>
      </w:r>
      <w:r>
        <w:rPr>
          <w:rStyle w:val="FloatTok"/>
        </w:rPr>
        <w:t xml:space="preserve">447.5</w:t>
      </w:r>
      <w:r>
        <w:rPr>
          <w:rStyle w:val="NormalTok"/>
        </w:rPr>
        <w:t xml:space="preserve">, </w:t>
      </w:r>
      <w:r>
        <w:rPr>
          <w:rStyle w:val="FloatTok"/>
        </w:rPr>
        <w:t xml:space="preserve">572.5</w:t>
      </w:r>
      <w:r>
        <w:rPr>
          <w:rStyle w:val="NormalTok"/>
        </w:rPr>
        <w:t xml:space="preserve">, </w:t>
      </w:r>
      <w:r>
        <w:rPr>
          <w:rStyle w:val="DecValTok"/>
        </w:rPr>
        <w:t xml:space="preserve">710</w:t>
      </w:r>
      <w:r>
        <w:br/>
      </w:r>
      <w:r>
        <w:rPr>
          <w:rStyle w:val="NormalTok"/>
        </w:rPr>
        <w:t xml:space="preserve">                            , </w:t>
      </w:r>
      <w:r>
        <w:rPr>
          <w:rStyle w:val="FloatTok"/>
        </w:rPr>
        <w:t xml:space="preserve">857.5</w:t>
      </w:r>
      <w:r>
        <w:rPr>
          <w:rStyle w:val="NormalTok"/>
        </w:rPr>
        <w:t xml:space="preserve">, </w:t>
      </w:r>
      <w:r>
        <w:rPr>
          <w:rStyle w:val="FloatTok"/>
        </w:rPr>
        <w:t xml:space="preserve">1022.5</w:t>
      </w:r>
      <w:r>
        <w:rPr>
          <w:rStyle w:val="NormalTok"/>
        </w:rPr>
        <w:t xml:space="preserve">, </w:t>
      </w:r>
      <w:r>
        <w:rPr>
          <w:rStyle w:val="FloatTok"/>
        </w:rPr>
        <w:t xml:space="preserve">1227.5</w:t>
      </w:r>
      <w:r>
        <w:rPr>
          <w:rStyle w:val="NormalTok"/>
        </w:rPr>
        <w:t xml:space="preserve">, </w:t>
      </w:r>
      <w:r>
        <w:rPr>
          <w:rStyle w:val="DecValTok"/>
        </w:rPr>
        <w:t xml:space="preserve">1510</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(IE_deciles)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IE_deciles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(IE_deciles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IE </w:t>
      </w:r>
      <w:r>
        <w:rPr>
          <w:rStyle w:val="OtherTok"/>
        </w:rPr>
        <w:t xml:space="preserve">&lt;-</w:t>
      </w:r>
      <w:r>
        <w:rPr>
          <w:rStyle w:val="NormalTok"/>
        </w:rPr>
        <w:t xml:space="preserve"> IE </w:t>
      </w:r>
      <w:r>
        <w:rPr>
          <w:rStyle w:val="SpecialCharTok"/>
        </w:rPr>
        <w:t xml:space="preserve">%&gt;%</w:t>
      </w:r>
      <w:r>
        <w:rPr>
          <w:rStyle w:val="NormalTok"/>
        </w:rPr>
        <w:t xml:space="preserve"> </w:t>
      </w:r>
      <w:r>
        <w:rPr>
          <w:rStyle w:val="FunctionTok"/>
        </w:rPr>
        <w:t xml:space="preserve">left_join</w:t>
      </w:r>
      <w:r>
        <w:rPr>
          <w:rStyle w:val="NormalTok"/>
        </w:rPr>
        <w:t xml:space="preserve">(IE_deciles,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Hungary</w:t>
      </w:r>
      <w:r>
        <w:br/>
      </w:r>
      <w:r>
        <w:rPr>
          <w:rStyle w:val="NormalTok"/>
        </w:rPr>
        <w:t xml:space="preserve">HU_deciles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6500</w:t>
      </w:r>
      <w:r>
        <w:rPr>
          <w:rStyle w:val="NormalTok"/>
        </w:rPr>
        <w:t xml:space="preserve">, </w:t>
      </w:r>
      <w:r>
        <w:rPr>
          <w:rStyle w:val="DecValTok"/>
        </w:rPr>
        <w:t xml:space="preserve">149500</w:t>
      </w:r>
      <w:r>
        <w:rPr>
          <w:rStyle w:val="NormalTok"/>
        </w:rPr>
        <w:t xml:space="preserve">, </w:t>
      </w:r>
      <w:r>
        <w:rPr>
          <w:rStyle w:val="DecValTok"/>
        </w:rPr>
        <w:t xml:space="preserve">184500</w:t>
      </w:r>
      <w:r>
        <w:rPr>
          <w:rStyle w:val="NormalTok"/>
        </w:rPr>
        <w:t xml:space="preserve">, </w:t>
      </w:r>
      <w:r>
        <w:rPr>
          <w:rStyle w:val="DecValTok"/>
        </w:rPr>
        <w:t xml:space="preserve">214500</w:t>
      </w:r>
      <w:r>
        <w:rPr>
          <w:rStyle w:val="NormalTok"/>
        </w:rPr>
        <w:t xml:space="preserve">, </w:t>
      </w:r>
      <w:r>
        <w:rPr>
          <w:rStyle w:val="DecValTok"/>
        </w:rPr>
        <w:t xml:space="preserve">244500</w:t>
      </w:r>
      <w:r>
        <w:br/>
      </w:r>
      <w:r>
        <w:rPr>
          <w:rStyle w:val="NormalTok"/>
        </w:rPr>
        <w:t xml:space="preserve">                            , </w:t>
      </w:r>
      <w:r>
        <w:rPr>
          <w:rStyle w:val="DecValTok"/>
        </w:rPr>
        <w:t xml:space="preserve">274500</w:t>
      </w:r>
      <w:r>
        <w:rPr>
          <w:rStyle w:val="NormalTok"/>
        </w:rPr>
        <w:t xml:space="preserve">, </w:t>
      </w:r>
      <w:r>
        <w:rPr>
          <w:rStyle w:val="DecValTok"/>
        </w:rPr>
        <w:t xml:space="preserve">304500</w:t>
      </w:r>
      <w:r>
        <w:rPr>
          <w:rStyle w:val="NormalTok"/>
        </w:rPr>
        <w:t xml:space="preserve">, </w:t>
      </w:r>
      <w:r>
        <w:rPr>
          <w:rStyle w:val="DecValTok"/>
        </w:rPr>
        <w:t xml:space="preserve">339500</w:t>
      </w:r>
      <w:r>
        <w:rPr>
          <w:rStyle w:val="NormalTok"/>
        </w:rPr>
        <w:t xml:space="preserve">, </w:t>
      </w:r>
      <w:r>
        <w:rPr>
          <w:rStyle w:val="DecValTok"/>
        </w:rPr>
        <w:t xml:space="preserve">384500</w:t>
      </w:r>
      <w:r>
        <w:rPr>
          <w:rStyle w:val="NormalTok"/>
        </w:rPr>
        <w:t xml:space="preserve">, </w:t>
      </w:r>
      <w:r>
        <w:rPr>
          <w:rStyle w:val="DecValTok"/>
        </w:rPr>
        <w:t xml:space="preserve">450000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(HU_deciles)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HU_deciles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(HU_deciles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HU </w:t>
      </w:r>
      <w:r>
        <w:rPr>
          <w:rStyle w:val="OtherTok"/>
        </w:rPr>
        <w:t xml:space="preserve">&lt;-</w:t>
      </w:r>
      <w:r>
        <w:rPr>
          <w:rStyle w:val="NormalTok"/>
        </w:rPr>
        <w:t xml:space="preserve"> HU </w:t>
      </w:r>
      <w:r>
        <w:rPr>
          <w:rStyle w:val="SpecialCharTok"/>
        </w:rPr>
        <w:t xml:space="preserve">%&gt;%</w:t>
      </w:r>
      <w:r>
        <w:rPr>
          <w:rStyle w:val="NormalTok"/>
        </w:rPr>
        <w:t xml:space="preserve"> </w:t>
      </w:r>
      <w:r>
        <w:rPr>
          <w:rStyle w:val="FunctionTok"/>
        </w:rPr>
        <w:t xml:space="preserve">left_join</w:t>
      </w:r>
      <w:r>
        <w:rPr>
          <w:rStyle w:val="NormalTok"/>
        </w:rPr>
        <w:t xml:space="preserve">(HU_deciles,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Portugal</w:t>
      </w:r>
      <w:r>
        <w:br/>
      </w:r>
      <w:r>
        <w:rPr>
          <w:rStyle w:val="NormalTok"/>
        </w:rPr>
        <w:t xml:space="preserve">PT_deciles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2818</w:t>
      </w:r>
      <w:r>
        <w:rPr>
          <w:rStyle w:val="NormalTok"/>
        </w:rPr>
        <w:t xml:space="preserve">, </w:t>
      </w:r>
      <w:r>
        <w:rPr>
          <w:rStyle w:val="DecValTok"/>
        </w:rPr>
        <w:t xml:space="preserve">6709</w:t>
      </w:r>
      <w:r>
        <w:rPr>
          <w:rStyle w:val="NormalTok"/>
        </w:rPr>
        <w:t xml:space="preserve">, </w:t>
      </w:r>
      <w:r>
        <w:rPr>
          <w:rStyle w:val="FloatTok"/>
        </w:rPr>
        <w:t xml:space="preserve">8847.5</w:t>
      </w:r>
      <w:r>
        <w:rPr>
          <w:rStyle w:val="NormalTok"/>
        </w:rPr>
        <w:t xml:space="preserve">, </w:t>
      </w:r>
      <w:r>
        <w:rPr>
          <w:rStyle w:val="DecValTok"/>
        </w:rPr>
        <w:t xml:space="preserve">11265</w:t>
      </w:r>
      <w:r>
        <w:rPr>
          <w:rStyle w:val="NormalTok"/>
        </w:rPr>
        <w:t xml:space="preserve">, </w:t>
      </w:r>
      <w:r>
        <w:rPr>
          <w:rStyle w:val="DecValTok"/>
        </w:rPr>
        <w:t xml:space="preserve">13885</w:t>
      </w:r>
      <w:r>
        <w:rPr>
          <w:rStyle w:val="NormalTok"/>
        </w:rPr>
        <w:t xml:space="preserve">, </w:t>
      </w:r>
      <w:r>
        <w:rPr>
          <w:rStyle w:val="FloatTok"/>
        </w:rPr>
        <w:t xml:space="preserve">16556.5</w:t>
      </w:r>
      <w:r>
        <w:br/>
      </w:r>
      <w:r>
        <w:rPr>
          <w:rStyle w:val="NormalTok"/>
        </w:rPr>
        <w:t xml:space="preserve">                            , </w:t>
      </w:r>
      <w:r>
        <w:rPr>
          <w:rStyle w:val="DecValTok"/>
        </w:rPr>
        <w:t xml:space="preserve">19728</w:t>
      </w:r>
      <w:r>
        <w:rPr>
          <w:rStyle w:val="NormalTok"/>
        </w:rPr>
        <w:t xml:space="preserve">, </w:t>
      </w:r>
      <w:r>
        <w:rPr>
          <w:rStyle w:val="DecValTok"/>
        </w:rPr>
        <w:t xml:space="preserve">23948</w:t>
      </w:r>
      <w:r>
        <w:rPr>
          <w:rStyle w:val="NormalTok"/>
        </w:rPr>
        <w:t xml:space="preserve">, </w:t>
      </w:r>
      <w:r>
        <w:rPr>
          <w:rStyle w:val="FloatTok"/>
        </w:rPr>
        <w:t xml:space="preserve">30566.5</w:t>
      </w:r>
      <w:r>
        <w:rPr>
          <w:rStyle w:val="NormalTok"/>
        </w:rPr>
        <w:t xml:space="preserve">, </w:t>
      </w:r>
      <w:r>
        <w:rPr>
          <w:rStyle w:val="DecValTok"/>
        </w:rPr>
        <w:t xml:space="preserve">44143</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(PT_deciles)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PT_deciles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(PT_deciles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PT </w:t>
      </w:r>
      <w:r>
        <w:rPr>
          <w:rStyle w:val="OtherTok"/>
        </w:rPr>
        <w:t xml:space="preserve">&lt;-</w:t>
      </w:r>
      <w:r>
        <w:rPr>
          <w:rStyle w:val="NormalTok"/>
        </w:rPr>
        <w:t xml:space="preserve"> PT </w:t>
      </w:r>
      <w:r>
        <w:rPr>
          <w:rStyle w:val="SpecialCharTok"/>
        </w:rPr>
        <w:t xml:space="preserve">%&gt;%</w:t>
      </w:r>
      <w:r>
        <w:rPr>
          <w:rStyle w:val="NormalTok"/>
        </w:rPr>
        <w:t xml:space="preserve"> </w:t>
      </w:r>
      <w:r>
        <w:rPr>
          <w:rStyle w:val="FunctionTok"/>
        </w:rPr>
        <w:t xml:space="preserve">left_join</w:t>
      </w:r>
      <w:r>
        <w:rPr>
          <w:rStyle w:val="NormalTok"/>
        </w:rPr>
        <w:t xml:space="preserve">(PT_deciles,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Poland</w:t>
      </w:r>
      <w:r>
        <w:br/>
      </w:r>
      <w:r>
        <w:rPr>
          <w:rStyle w:val="NormalTok"/>
        </w:rPr>
        <w:t xml:space="preserve">PL_deciles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850</w:t>
      </w:r>
      <w:r>
        <w:rPr>
          <w:rStyle w:val="NormalTok"/>
        </w:rPr>
        <w:t xml:space="preserve">, </w:t>
      </w:r>
      <w:r>
        <w:rPr>
          <w:rStyle w:val="FloatTok"/>
        </w:rPr>
        <w:t xml:space="preserve">2000.5</w:t>
      </w:r>
      <w:r>
        <w:rPr>
          <w:rStyle w:val="NormalTok"/>
        </w:rPr>
        <w:t xml:space="preserve">, </w:t>
      </w:r>
      <w:r>
        <w:rPr>
          <w:rStyle w:val="FloatTok"/>
        </w:rPr>
        <w:t xml:space="preserve">3650.5</w:t>
      </w:r>
      <w:r>
        <w:rPr>
          <w:rStyle w:val="NormalTok"/>
        </w:rPr>
        <w:t xml:space="preserve">, </w:t>
      </w:r>
      <w:r>
        <w:rPr>
          <w:rStyle w:val="FloatTok"/>
        </w:rPr>
        <w:t xml:space="preserve">3300.5</w:t>
      </w:r>
      <w:r>
        <w:rPr>
          <w:rStyle w:val="NormalTok"/>
        </w:rPr>
        <w:t xml:space="preserve">, </w:t>
      </w:r>
      <w:r>
        <w:rPr>
          <w:rStyle w:val="FloatTok"/>
        </w:rPr>
        <w:t xml:space="preserve">3950.5</w:t>
      </w:r>
      <w:r>
        <w:rPr>
          <w:rStyle w:val="NormalTok"/>
        </w:rPr>
        <w:t xml:space="preserve">, </w:t>
      </w:r>
      <w:r>
        <w:rPr>
          <w:rStyle w:val="FloatTok"/>
        </w:rPr>
        <w:t xml:space="preserve">4650.5</w:t>
      </w:r>
      <w:r>
        <w:br/>
      </w:r>
      <w:r>
        <w:rPr>
          <w:rStyle w:val="NormalTok"/>
        </w:rPr>
        <w:t xml:space="preserve">                            , </w:t>
      </w:r>
      <w:r>
        <w:rPr>
          <w:rStyle w:val="FloatTok"/>
        </w:rPr>
        <w:t xml:space="preserve">5450.5</w:t>
      </w:r>
      <w:r>
        <w:rPr>
          <w:rStyle w:val="NormalTok"/>
        </w:rPr>
        <w:t xml:space="preserve">, </w:t>
      </w:r>
      <w:r>
        <w:rPr>
          <w:rStyle w:val="FloatTok"/>
        </w:rPr>
        <w:t xml:space="preserve">6450.5</w:t>
      </w:r>
      <w:r>
        <w:rPr>
          <w:rStyle w:val="NormalTok"/>
        </w:rPr>
        <w:t xml:space="preserve">, </w:t>
      </w:r>
      <w:r>
        <w:rPr>
          <w:rStyle w:val="FloatTok"/>
        </w:rPr>
        <w:t xml:space="preserve">7900.5</w:t>
      </w:r>
      <w:r>
        <w:rPr>
          <w:rStyle w:val="NormalTok"/>
        </w:rPr>
        <w:t xml:space="preserve">, </w:t>
      </w:r>
      <w:r>
        <w:rPr>
          <w:rStyle w:val="DecValTok"/>
        </w:rPr>
        <w:t xml:space="preserve">10600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(PL_deciles)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PL_deciles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(PL_deciles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PL </w:t>
      </w:r>
      <w:r>
        <w:rPr>
          <w:rStyle w:val="OtherTok"/>
        </w:rPr>
        <w:t xml:space="preserve">&lt;-</w:t>
      </w:r>
      <w:r>
        <w:rPr>
          <w:rStyle w:val="NormalTok"/>
        </w:rPr>
        <w:t xml:space="preserve"> PL </w:t>
      </w:r>
      <w:r>
        <w:rPr>
          <w:rStyle w:val="SpecialCharTok"/>
        </w:rPr>
        <w:t xml:space="preserve">%&gt;%</w:t>
      </w:r>
      <w:r>
        <w:rPr>
          <w:rStyle w:val="NormalTok"/>
        </w:rPr>
        <w:t xml:space="preserve"> </w:t>
      </w:r>
      <w:r>
        <w:rPr>
          <w:rStyle w:val="FunctionTok"/>
        </w:rPr>
        <w:t xml:space="preserve">left_join</w:t>
      </w:r>
      <w:r>
        <w:rPr>
          <w:rStyle w:val="NormalTok"/>
        </w:rPr>
        <w:t xml:space="preserve">(PL_deciles,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p>
    <w:p>
      <w:pPr>
        <w:pStyle w:val="FirstParagraph"/>
      </w:pPr>
      <w:r>
        <w:t xml:space="preserve">We add a midpoint for each decile group for five countries according to data from the documentation, therefore its currency and referred household income (annual, monthly, or, weekly) has been adjusted. After that, recode all relevant variables used for the imputation model (missingness and variable levels). We only take variables for predictors as mentioned in the previous section.</w:t>
      </w:r>
    </w:p>
    <w:bookmarkEnd w:id="37"/>
    <w:bookmarkStart w:id="38" w:name="define-missing-values-and-recode"/>
    <w:p>
      <w:pPr>
        <w:pStyle w:val="Heading2"/>
      </w:pPr>
      <w:r>
        <w:t xml:space="preserve">Define Missing Values and Recode</w:t>
      </w:r>
    </w:p>
    <w:p>
      <w:pPr>
        <w:pStyle w:val="SourceCode"/>
      </w:pPr>
      <w:r>
        <w:rPr>
          <w:rStyle w:val="CommentTok"/>
        </w:rPr>
        <w:t xml:space="preserve"># Clean important variables chosen for the imputation model</w:t>
      </w:r>
      <w:r>
        <w:br/>
      </w:r>
      <w:r>
        <w:rPr>
          <w:rStyle w:val="CommentTok"/>
        </w:rPr>
        <w:t xml:space="preserve"># Define missing values and recode variables for the model</w:t>
      </w:r>
      <w:r>
        <w:br/>
      </w:r>
      <w:r>
        <w:br/>
      </w:r>
      <w:r>
        <w:rPr>
          <w:rStyle w:val="CommentTok"/>
        </w:rPr>
        <w:t xml:space="preserve"># Austria</w:t>
      </w:r>
      <w:r>
        <w:br/>
      </w:r>
      <w:r>
        <w:rPr>
          <w:rStyle w:val="NormalTok"/>
        </w:rPr>
        <w:t xml:space="preserve">AT</w:t>
      </w:r>
      <w:r>
        <w:rPr>
          <w:rStyle w:val="SpecialCharTok"/>
        </w:rPr>
        <w:t xml:space="preserve">$</w:t>
      </w:r>
      <w:r>
        <w:rPr>
          <w:rStyle w:val="NormalTok"/>
        </w:rPr>
        <w:t xml:space="preserve">eisced[AT</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AT</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(AT</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maritalb[</w:t>
      </w:r>
      <w:r>
        <w:rPr>
          <w:rStyle w:val="SpecialCharTok"/>
        </w:rPr>
        <w:t xml:space="preserve">!</w:t>
      </w:r>
      <w:r>
        <w:rPr>
          <w:rStyle w:val="NormalTok"/>
        </w:rPr>
        <w:t xml:space="preserve">(AT</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lrscale[</w:t>
      </w:r>
      <w:r>
        <w:rPr>
          <w:rStyle w:val="SpecialCharTok"/>
        </w:rPr>
        <w:t xml:space="preserve">!</w:t>
      </w:r>
      <w:r>
        <w:rPr>
          <w:rStyle w:val="NormalTok"/>
        </w:rPr>
        <w:t xml:space="preserve">(AT</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hhmmb[AT</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agea[AT</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AT</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bthcld)</w:t>
      </w:r>
      <w:r>
        <w:br/>
      </w:r>
      <w:r>
        <w:rPr>
          <w:rStyle w:val="NormalTok"/>
        </w:rPr>
        <w:t xml:space="preserve">AT</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maritalb)</w:t>
      </w:r>
      <w:r>
        <w:br/>
      </w:r>
      <w:r>
        <w:rPr>
          <w:rStyle w:val="NormalTok"/>
        </w:rPr>
        <w:t xml:space="preserve">AT</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dscrgrp)</w:t>
      </w:r>
      <w:r>
        <w:br/>
      </w:r>
      <w:r>
        <w:br/>
      </w:r>
      <w:r>
        <w:rPr>
          <w:rStyle w:val="CommentTok"/>
        </w:rPr>
        <w:t xml:space="preserve"># Hungary</w:t>
      </w:r>
      <w:r>
        <w:br/>
      </w:r>
      <w:r>
        <w:rPr>
          <w:rStyle w:val="NormalTok"/>
        </w:rPr>
        <w:t xml:space="preserve">HU</w:t>
      </w:r>
      <w:r>
        <w:rPr>
          <w:rStyle w:val="SpecialCharTok"/>
        </w:rPr>
        <w:t xml:space="preserve">$</w:t>
      </w:r>
      <w:r>
        <w:rPr>
          <w:rStyle w:val="NormalTok"/>
        </w:rPr>
        <w:t xml:space="preserve">eisced[HU</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HU</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(HU</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maritalb[</w:t>
      </w:r>
      <w:r>
        <w:rPr>
          <w:rStyle w:val="SpecialCharTok"/>
        </w:rPr>
        <w:t xml:space="preserve">!</w:t>
      </w:r>
      <w:r>
        <w:rPr>
          <w:rStyle w:val="NormalTok"/>
        </w:rPr>
        <w:t xml:space="preserve">(HU</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lrscale[</w:t>
      </w:r>
      <w:r>
        <w:rPr>
          <w:rStyle w:val="SpecialCharTok"/>
        </w:rPr>
        <w:t xml:space="preserve">!</w:t>
      </w:r>
      <w:r>
        <w:rPr>
          <w:rStyle w:val="NormalTok"/>
        </w:rPr>
        <w:t xml:space="preserve">(HU</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hhmmb[HU</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agea[HU</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HU</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bthcld)</w:t>
      </w:r>
      <w:r>
        <w:br/>
      </w:r>
      <w:r>
        <w:rPr>
          <w:rStyle w:val="NormalTok"/>
        </w:rPr>
        <w:t xml:space="preserve">HU</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maritalb)</w:t>
      </w:r>
      <w:r>
        <w:br/>
      </w:r>
      <w:r>
        <w:rPr>
          <w:rStyle w:val="NormalTok"/>
        </w:rPr>
        <w:t xml:space="preserve">HU</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dscrgrp)</w:t>
      </w:r>
      <w:r>
        <w:br/>
      </w:r>
      <w:r>
        <w:br/>
      </w:r>
      <w:r>
        <w:rPr>
          <w:rStyle w:val="CommentTok"/>
        </w:rPr>
        <w:t xml:space="preserve"># Ireland</w:t>
      </w:r>
      <w:r>
        <w:br/>
      </w:r>
      <w:r>
        <w:rPr>
          <w:rStyle w:val="NormalTok"/>
        </w:rPr>
        <w:t xml:space="preserve">IE</w:t>
      </w:r>
      <w:r>
        <w:rPr>
          <w:rStyle w:val="SpecialCharTok"/>
        </w:rPr>
        <w:t xml:space="preserve">$</w:t>
      </w:r>
      <w:r>
        <w:rPr>
          <w:rStyle w:val="NormalTok"/>
        </w:rPr>
        <w:t xml:space="preserve">eisced[IE</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IE</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(IE</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maritalb[</w:t>
      </w:r>
      <w:r>
        <w:rPr>
          <w:rStyle w:val="SpecialCharTok"/>
        </w:rPr>
        <w:t xml:space="preserve">!</w:t>
      </w:r>
      <w:r>
        <w:rPr>
          <w:rStyle w:val="NormalTok"/>
        </w:rPr>
        <w:t xml:space="preserve">(IE</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lrscale[</w:t>
      </w:r>
      <w:r>
        <w:rPr>
          <w:rStyle w:val="SpecialCharTok"/>
        </w:rPr>
        <w:t xml:space="preserve">!</w:t>
      </w:r>
      <w:r>
        <w:rPr>
          <w:rStyle w:val="NormalTok"/>
        </w:rPr>
        <w:t xml:space="preserve">(IE</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hhmmb[IE</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agea[IE</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IE</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bthcld)</w:t>
      </w:r>
      <w:r>
        <w:br/>
      </w:r>
      <w:r>
        <w:rPr>
          <w:rStyle w:val="NormalTok"/>
        </w:rPr>
        <w:t xml:space="preserve">IE</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maritalb)</w:t>
      </w:r>
      <w:r>
        <w:br/>
      </w:r>
      <w:r>
        <w:rPr>
          <w:rStyle w:val="NormalTok"/>
        </w:rPr>
        <w:t xml:space="preserve">IE</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dscrgrp)</w:t>
      </w:r>
      <w:r>
        <w:br/>
      </w:r>
      <w:r>
        <w:br/>
      </w:r>
      <w:r>
        <w:rPr>
          <w:rStyle w:val="CommentTok"/>
        </w:rPr>
        <w:t xml:space="preserve"># Portugal</w:t>
      </w:r>
      <w:r>
        <w:br/>
      </w:r>
      <w:r>
        <w:rPr>
          <w:rStyle w:val="NormalTok"/>
        </w:rPr>
        <w:t xml:space="preserve">PT</w:t>
      </w:r>
      <w:r>
        <w:rPr>
          <w:rStyle w:val="SpecialCharTok"/>
        </w:rPr>
        <w:t xml:space="preserve">$</w:t>
      </w:r>
      <w:r>
        <w:rPr>
          <w:rStyle w:val="NormalTok"/>
        </w:rPr>
        <w:t xml:space="preserve">eisced[PT</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PT</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(PT</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maritalb[</w:t>
      </w:r>
      <w:r>
        <w:rPr>
          <w:rStyle w:val="SpecialCharTok"/>
        </w:rPr>
        <w:t xml:space="preserve">!</w:t>
      </w:r>
      <w:r>
        <w:rPr>
          <w:rStyle w:val="NormalTok"/>
        </w:rPr>
        <w:t xml:space="preserve">(PT</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lrscale[</w:t>
      </w:r>
      <w:r>
        <w:rPr>
          <w:rStyle w:val="SpecialCharTok"/>
        </w:rPr>
        <w:t xml:space="preserve">!</w:t>
      </w:r>
      <w:r>
        <w:rPr>
          <w:rStyle w:val="NormalTok"/>
        </w:rPr>
        <w:t xml:space="preserve">(PT</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hhmmb[PT</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agea[PT</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PT</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bthcld)</w:t>
      </w:r>
      <w:r>
        <w:br/>
      </w:r>
      <w:r>
        <w:rPr>
          <w:rStyle w:val="NormalTok"/>
        </w:rPr>
        <w:t xml:space="preserve">PT</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maritalb)</w:t>
      </w:r>
      <w:r>
        <w:br/>
      </w:r>
      <w:r>
        <w:rPr>
          <w:rStyle w:val="NormalTok"/>
        </w:rPr>
        <w:t xml:space="preserve">PT</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dscrgrp)</w:t>
      </w:r>
      <w:r>
        <w:br/>
      </w:r>
      <w:r>
        <w:br/>
      </w:r>
      <w:r>
        <w:br/>
      </w:r>
      <w:r>
        <w:rPr>
          <w:rStyle w:val="CommentTok"/>
        </w:rPr>
        <w:t xml:space="preserve"># Poland</w:t>
      </w:r>
      <w:r>
        <w:br/>
      </w:r>
      <w:r>
        <w:rPr>
          <w:rStyle w:val="NormalTok"/>
        </w:rPr>
        <w:t xml:space="preserve">PL</w:t>
      </w:r>
      <w:r>
        <w:rPr>
          <w:rStyle w:val="SpecialCharTok"/>
        </w:rPr>
        <w:t xml:space="preserve">$</w:t>
      </w:r>
      <w:r>
        <w:rPr>
          <w:rStyle w:val="NormalTok"/>
        </w:rPr>
        <w:t xml:space="preserve">eisced[PL</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PL</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(PL</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maritalb[</w:t>
      </w:r>
      <w:r>
        <w:rPr>
          <w:rStyle w:val="SpecialCharTok"/>
        </w:rPr>
        <w:t xml:space="preserve">!</w:t>
      </w:r>
      <w:r>
        <w:rPr>
          <w:rStyle w:val="NormalTok"/>
        </w:rPr>
        <w:t xml:space="preserve">(PL</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lrscale[</w:t>
      </w:r>
      <w:r>
        <w:rPr>
          <w:rStyle w:val="SpecialCharTok"/>
        </w:rPr>
        <w:t xml:space="preserve">!</w:t>
      </w:r>
      <w:r>
        <w:rPr>
          <w:rStyle w:val="NormalTok"/>
        </w:rPr>
        <w:t xml:space="preserve">(PL</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hhmmb[PL</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agea[PL</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PL</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bthcld)</w:t>
      </w:r>
      <w:r>
        <w:br/>
      </w:r>
      <w:r>
        <w:rPr>
          <w:rStyle w:val="NormalTok"/>
        </w:rPr>
        <w:t xml:space="preserve">PL</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maritalb)</w:t>
      </w:r>
      <w:r>
        <w:br/>
      </w:r>
      <w:r>
        <w:rPr>
          <w:rStyle w:val="NormalTok"/>
        </w:rPr>
        <w:t xml:space="preserve">PL</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dscrgrp)</w:t>
      </w:r>
    </w:p>
    <w:bookmarkEnd w:id="38"/>
    <w:bookmarkStart w:id="39" w:name="make-data-subset"/>
    <w:p>
      <w:pPr>
        <w:pStyle w:val="Heading2"/>
      </w:pPr>
      <w:r>
        <w:t xml:space="preserve">Make Data Subset</w:t>
      </w:r>
    </w:p>
    <w:p>
      <w:pPr>
        <w:pStyle w:val="SourceCode"/>
      </w:pPr>
      <w:r>
        <w:rPr>
          <w:rStyle w:val="CommentTok"/>
        </w:rPr>
        <w:t xml:space="preserve"># Create variable vector containing the names of relevant variables</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"pdwrk"</w:t>
      </w:r>
      <w:r>
        <w:rPr>
          <w:rStyle w:val="NormalTok"/>
        </w:rPr>
        <w:t xml:space="preserve">, </w:t>
      </w:r>
      <w:r>
        <w:rPr>
          <w:rStyle w:val="StringTok"/>
        </w:rPr>
        <w:t xml:space="preserve">"bthcld"</w:t>
      </w:r>
      <w:r>
        <w:rPr>
          <w:rStyle w:val="NormalTok"/>
        </w:rPr>
        <w:t xml:space="preserve">, </w:t>
      </w:r>
      <w:r>
        <w:rPr>
          <w:rStyle w:val="StringTok"/>
        </w:rPr>
        <w:t xml:space="preserve">"gndr"</w:t>
      </w:r>
      <w:r>
        <w:rPr>
          <w:rStyle w:val="NormalTok"/>
        </w:rPr>
        <w:t xml:space="preserve">, </w:t>
      </w:r>
      <w:r>
        <w:rPr>
          <w:rStyle w:val="StringTok"/>
        </w:rPr>
        <w:t xml:space="preserve">"maritalb"</w:t>
      </w:r>
      <w:r>
        <w:rPr>
          <w:rStyle w:val="NormalTok"/>
        </w:rPr>
        <w:t xml:space="preserve">,</w:t>
      </w:r>
      <w:r>
        <w:rPr>
          <w:rStyle w:val="StringTok"/>
        </w:rPr>
        <w:t xml:space="preserve">"lrscale"</w:t>
      </w:r>
      <w:r>
        <w:rPr>
          <w:rStyle w:val="NormalTok"/>
        </w:rPr>
        <w:t xml:space="preserve">, </w:t>
      </w:r>
      <w:r>
        <w:rPr>
          <w:rStyle w:val="StringTok"/>
        </w:rPr>
        <w:t xml:space="preserve">"dscrgrp"</w:t>
      </w:r>
      <w:r>
        <w:rPr>
          <w:rStyle w:val="NormalTok"/>
        </w:rPr>
        <w:t xml:space="preserve">,</w:t>
      </w:r>
      <w:r>
        <w:br/>
      </w:r>
      <w:r>
        <w:rPr>
          <w:rStyle w:val="NormalTok"/>
        </w:rPr>
        <w:t xml:space="preserve">               </w:t>
      </w:r>
      <w:r>
        <w:rPr>
          <w:rStyle w:val="StringTok"/>
        </w:rPr>
        <w:t xml:space="preserve">"hhmmb"</w:t>
      </w:r>
      <w:r>
        <w:rPr>
          <w:rStyle w:val="NormalTok"/>
        </w:rPr>
        <w:t xml:space="preserve">, </w:t>
      </w:r>
      <w:r>
        <w:rPr>
          <w:rStyle w:val="StringTok"/>
        </w:rPr>
        <w:t xml:space="preserve">"agea"</w:t>
      </w:r>
      <w:r>
        <w:rPr>
          <w:rStyle w:val="NormalTok"/>
        </w:rPr>
        <w:t xml:space="preserve">, </w:t>
      </w:r>
      <w:r>
        <w:rPr>
          <w:rStyle w:val="StringTok"/>
        </w:rPr>
        <w:t xml:space="preserve">"wkhtot"</w:t>
      </w:r>
      <w:r>
        <w:rPr>
          <w:rStyle w:val="NormalTok"/>
        </w:rPr>
        <w:t xml:space="preserve">, </w:t>
      </w:r>
      <w:r>
        <w:rPr>
          <w:rStyle w:val="StringTok"/>
        </w:rPr>
        <w:t xml:space="preserve">"anweight"</w:t>
      </w:r>
      <w:r>
        <w:rPr>
          <w:rStyle w:val="NormalTok"/>
        </w:rPr>
        <w:t xml:space="preserve">, </w:t>
      </w:r>
      <w:r>
        <w:rPr>
          <w:rStyle w:val="StringTok"/>
        </w:rPr>
        <w:t xml:space="preserve">"income"</w:t>
      </w:r>
      <w:r>
        <w:rPr>
          <w:rStyle w:val="NormalTok"/>
        </w:rPr>
        <w:t xml:space="preserve">, </w:t>
      </w:r>
      <w:r>
        <w:rPr>
          <w:rStyle w:val="StringTok"/>
        </w:rPr>
        <w:t xml:space="preserve">"eisced"</w:t>
      </w:r>
      <w:r>
        <w:rPr>
          <w:rStyle w:val="NormalTok"/>
        </w:rPr>
        <w:t xml:space="preserve">)</w:t>
      </w:r>
      <w:r>
        <w:br/>
      </w:r>
      <w:r>
        <w:br/>
      </w:r>
      <w:r>
        <w:rPr>
          <w:rStyle w:val="CommentTok"/>
        </w:rPr>
        <w:t xml:space="preserve"># Select subsets of data with relevant variables</w:t>
      </w:r>
      <w:r>
        <w:br/>
      </w:r>
      <w:r>
        <w:rPr>
          <w:rStyle w:val="NormalTok"/>
        </w:rPr>
        <w:t xml:space="preserve">AT_sub </w:t>
      </w:r>
      <w:r>
        <w:rPr>
          <w:rStyle w:val="OtherTok"/>
        </w:rPr>
        <w:t xml:space="preserve">&lt;-</w:t>
      </w:r>
      <w:r>
        <w:rPr>
          <w:rStyle w:val="NormalTok"/>
        </w:rPr>
        <w:t xml:space="preserve"> AT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HU_sub </w:t>
      </w:r>
      <w:r>
        <w:rPr>
          <w:rStyle w:val="OtherTok"/>
        </w:rPr>
        <w:t xml:space="preserve">&lt;-</w:t>
      </w:r>
      <w:r>
        <w:rPr>
          <w:rStyle w:val="NormalTok"/>
        </w:rPr>
        <w:t xml:space="preserve"> HU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IE_sub </w:t>
      </w:r>
      <w:r>
        <w:rPr>
          <w:rStyle w:val="OtherTok"/>
        </w:rPr>
        <w:t xml:space="preserve">&lt;-</w:t>
      </w:r>
      <w:r>
        <w:rPr>
          <w:rStyle w:val="NormalTok"/>
        </w:rPr>
        <w:t xml:space="preserve"> IE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PT_sub </w:t>
      </w:r>
      <w:r>
        <w:rPr>
          <w:rStyle w:val="OtherTok"/>
        </w:rPr>
        <w:t xml:space="preserve">&lt;-</w:t>
      </w:r>
      <w:r>
        <w:rPr>
          <w:rStyle w:val="NormalTok"/>
        </w:rPr>
        <w:t xml:space="preserve"> PT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PL_sub </w:t>
      </w:r>
      <w:r>
        <w:rPr>
          <w:rStyle w:val="OtherTok"/>
        </w:rPr>
        <w:t xml:space="preserve">&lt;-</w:t>
      </w:r>
      <w:r>
        <w:rPr>
          <w:rStyle w:val="NormalTok"/>
        </w:rPr>
        <w:t xml:space="preserve"> PL </w:t>
      </w:r>
      <w:r>
        <w:rPr>
          <w:rStyle w:val="SpecialCharTok"/>
        </w:rPr>
        <w:t xml:space="preserve">%&gt;%</w:t>
      </w:r>
      <w:r>
        <w:rPr>
          <w:rStyle w:val="NormalTok"/>
        </w:rPr>
        <w:t xml:space="preserve"> </w:t>
      </w:r>
      <w:r>
        <w:rPr>
          <w:rStyle w:val="FunctionTok"/>
        </w:rPr>
        <w:t xml:space="preserve">select</w:t>
      </w:r>
      <w:r>
        <w:rPr>
          <w:rStyle w:val="NormalTok"/>
        </w:rPr>
        <w:t xml:space="preserve">(variables)</w:t>
      </w:r>
    </w:p>
    <w:p>
      <w:pPr>
        <w:pStyle w:val="SourceCode"/>
      </w:pPr>
      <w:r>
        <w:rPr>
          <w:rStyle w:val="CommentTok"/>
        </w:rPr>
        <w:t xml:space="preserve"># Interactions with anweight for Portugal</w:t>
      </w:r>
      <w:r>
        <w:br/>
      </w:r>
      <w:r>
        <w:rPr>
          <w:rStyle w:val="NormalTok"/>
        </w:rPr>
        <w:t xml:space="preserve">PT_sub</w:t>
      </w:r>
      <w:r>
        <w:rPr>
          <w:rStyle w:val="SpecialCharTok"/>
        </w:rPr>
        <w:t xml:space="preserve">$</w:t>
      </w:r>
      <w:r>
        <w:rPr>
          <w:rStyle w:val="NormalTok"/>
        </w:rPr>
        <w:t xml:space="preserve">anweight_pdwrk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pdwrk</w:t>
      </w:r>
      <w:r>
        <w:br/>
      </w:r>
      <w:r>
        <w:rPr>
          <w:rStyle w:val="NormalTok"/>
        </w:rPr>
        <w:t xml:space="preserve">PT_sub</w:t>
      </w:r>
      <w:r>
        <w:rPr>
          <w:rStyle w:val="SpecialCharTok"/>
        </w:rPr>
        <w:t xml:space="preserve">$</w:t>
      </w:r>
      <w:r>
        <w:rPr>
          <w:rStyle w:val="NormalTok"/>
        </w:rPr>
        <w:t xml:space="preserve">anweight_bthcld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bthcld)</w:t>
      </w:r>
      <w:r>
        <w:br/>
      </w:r>
      <w:r>
        <w:rPr>
          <w:rStyle w:val="NormalTok"/>
        </w:rPr>
        <w:t xml:space="preserve">PT_sub</w:t>
      </w:r>
      <w:r>
        <w:rPr>
          <w:rStyle w:val="SpecialCharTok"/>
        </w:rPr>
        <w:t xml:space="preserve">$</w:t>
      </w:r>
      <w:r>
        <w:rPr>
          <w:rStyle w:val="NormalTok"/>
        </w:rPr>
        <w:t xml:space="preserve">anweight_lrscale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lrscale</w:t>
      </w:r>
      <w:r>
        <w:br/>
      </w:r>
      <w:r>
        <w:rPr>
          <w:rStyle w:val="NormalTok"/>
        </w:rPr>
        <w:t xml:space="preserve">PT_sub</w:t>
      </w:r>
      <w:r>
        <w:rPr>
          <w:rStyle w:val="SpecialCharTok"/>
        </w:rPr>
        <w:t xml:space="preserve">$</w:t>
      </w:r>
      <w:r>
        <w:rPr>
          <w:rStyle w:val="NormalTok"/>
        </w:rPr>
        <w:t xml:space="preserve">anweight_dscrgrp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dscrgrp)</w:t>
      </w:r>
      <w:r>
        <w:br/>
      </w:r>
      <w:r>
        <w:rPr>
          <w:rStyle w:val="NormalTok"/>
        </w:rPr>
        <w:t xml:space="preserve">PT_sub</w:t>
      </w:r>
      <w:r>
        <w:rPr>
          <w:rStyle w:val="SpecialCharTok"/>
        </w:rPr>
        <w:t xml:space="preserve">$</w:t>
      </w:r>
      <w:r>
        <w:rPr>
          <w:rStyle w:val="NormalTok"/>
        </w:rPr>
        <w:t xml:space="preserve">anweight_hhmmb </w:t>
      </w:r>
      <w:r>
        <w:rPr>
          <w:rStyle w:val="OtherTok"/>
        </w:rPr>
        <w:t xml:space="preserve">&lt;-</w:t>
      </w:r>
      <w:r>
        <w:rPr>
          <w:rStyle w:val="NormalTok"/>
        </w:rPr>
        <w:t xml:space="preserve">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hhmmb</w:t>
      </w:r>
      <w:r>
        <w:br/>
      </w:r>
      <w:r>
        <w:rPr>
          <w:rStyle w:val="NormalTok"/>
        </w:rPr>
        <w:t xml:space="preserve">PT_sub</w:t>
      </w:r>
      <w:r>
        <w:rPr>
          <w:rStyle w:val="SpecialCharTok"/>
        </w:rPr>
        <w:t xml:space="preserve">$</w:t>
      </w:r>
      <w:r>
        <w:rPr>
          <w:rStyle w:val="NormalTok"/>
        </w:rPr>
        <w:t xml:space="preserve">anweight_agea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agea</w:t>
      </w:r>
      <w:r>
        <w:br/>
      </w:r>
      <w:r>
        <w:rPr>
          <w:rStyle w:val="NormalTok"/>
        </w:rPr>
        <w:t xml:space="preserve">PT_sub</w:t>
      </w:r>
      <w:r>
        <w:rPr>
          <w:rStyle w:val="SpecialCharTok"/>
        </w:rPr>
        <w:t xml:space="preserve">$</w:t>
      </w:r>
      <w:r>
        <w:rPr>
          <w:rStyle w:val="NormalTok"/>
        </w:rPr>
        <w:t xml:space="preserve">anweight_wkhtot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wkhtot</w:t>
      </w:r>
      <w:r>
        <w:br/>
      </w:r>
      <w:r>
        <w:rPr>
          <w:rStyle w:val="NormalTok"/>
        </w:rPr>
        <w:t xml:space="preserve">PT_sub</w:t>
      </w:r>
      <w:r>
        <w:rPr>
          <w:rStyle w:val="SpecialCharTok"/>
        </w:rPr>
        <w:t xml:space="preserve">$</w:t>
      </w:r>
      <w:r>
        <w:rPr>
          <w:rStyle w:val="NormalTok"/>
        </w:rPr>
        <w:t xml:space="preserve">anweight_income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PT_sub</w:t>
      </w:r>
      <w:r>
        <w:rPr>
          <w:rStyle w:val="SpecialCharTok"/>
        </w:rPr>
        <w:t xml:space="preserve">$</w:t>
      </w:r>
      <w:r>
        <w:rPr>
          <w:rStyle w:val="NormalTok"/>
        </w:rPr>
        <w:t xml:space="preserve">income</w:t>
      </w:r>
      <w:r>
        <w:br/>
      </w:r>
      <w:r>
        <w:rPr>
          <w:rStyle w:val="NormalTok"/>
        </w:rPr>
        <w:t xml:space="preserve">PT_sub</w:t>
      </w:r>
      <w:r>
        <w:rPr>
          <w:rStyle w:val="SpecialCharTok"/>
        </w:rPr>
        <w:t xml:space="preserve">$</w:t>
      </w:r>
      <w:r>
        <w:rPr>
          <w:rStyle w:val="NormalTok"/>
        </w:rPr>
        <w:t xml:space="preserve">anweight_eisced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eisced)</w:t>
      </w:r>
      <w:r>
        <w:br/>
      </w:r>
      <w:r>
        <w:rPr>
          <w:rStyle w:val="NormalTok"/>
        </w:rPr>
        <w:t xml:space="preserve">PT_sub</w:t>
      </w:r>
      <w:r>
        <w:rPr>
          <w:rStyle w:val="SpecialCharTok"/>
        </w:rPr>
        <w:t xml:space="preserve">$</w:t>
      </w:r>
      <w:r>
        <w:rPr>
          <w:rStyle w:val="NormalTok"/>
        </w:rPr>
        <w:t xml:space="preserve">anweight_gndr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gndr)</w:t>
      </w:r>
      <w:r>
        <w:br/>
      </w:r>
      <w:r>
        <w:br/>
      </w:r>
      <w:r>
        <w:rPr>
          <w:rStyle w:val="CommentTok"/>
        </w:rPr>
        <w:t xml:space="preserve"># Interactions with anweight for Austria</w:t>
      </w:r>
      <w:r>
        <w:br/>
      </w:r>
      <w:r>
        <w:rPr>
          <w:rStyle w:val="NormalTok"/>
        </w:rPr>
        <w:t xml:space="preserve">AT_sub</w:t>
      </w:r>
      <w:r>
        <w:rPr>
          <w:rStyle w:val="SpecialCharTok"/>
        </w:rPr>
        <w:t xml:space="preserve">$</w:t>
      </w:r>
      <w:r>
        <w:rPr>
          <w:rStyle w:val="NormalTok"/>
        </w:rPr>
        <w:t xml:space="preserve">anweight_pdwrk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pdwrk</w:t>
      </w:r>
      <w:r>
        <w:br/>
      </w:r>
      <w:r>
        <w:rPr>
          <w:rStyle w:val="NormalTok"/>
        </w:rPr>
        <w:t xml:space="preserve">AT_sub</w:t>
      </w:r>
      <w:r>
        <w:rPr>
          <w:rStyle w:val="SpecialCharTok"/>
        </w:rPr>
        <w:t xml:space="preserve">$</w:t>
      </w:r>
      <w:r>
        <w:rPr>
          <w:rStyle w:val="NormalTok"/>
        </w:rPr>
        <w:t xml:space="preserve">anweight_bthcld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bthcld)</w:t>
      </w:r>
      <w:r>
        <w:br/>
      </w:r>
      <w:r>
        <w:rPr>
          <w:rStyle w:val="NormalTok"/>
        </w:rPr>
        <w:t xml:space="preserve">AT_sub</w:t>
      </w:r>
      <w:r>
        <w:rPr>
          <w:rStyle w:val="SpecialCharTok"/>
        </w:rPr>
        <w:t xml:space="preserve">$</w:t>
      </w:r>
      <w:r>
        <w:rPr>
          <w:rStyle w:val="NormalTok"/>
        </w:rPr>
        <w:t xml:space="preserve">anweight_lrscale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lrscale</w:t>
      </w:r>
      <w:r>
        <w:br/>
      </w:r>
      <w:r>
        <w:rPr>
          <w:rStyle w:val="NormalTok"/>
        </w:rPr>
        <w:t xml:space="preserve">AT_sub</w:t>
      </w:r>
      <w:r>
        <w:rPr>
          <w:rStyle w:val="SpecialCharTok"/>
        </w:rPr>
        <w:t xml:space="preserve">$</w:t>
      </w:r>
      <w:r>
        <w:rPr>
          <w:rStyle w:val="NormalTok"/>
        </w:rPr>
        <w:t xml:space="preserve">anweight_dscrgrp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dscrgrp)</w:t>
      </w:r>
      <w:r>
        <w:br/>
      </w:r>
      <w:r>
        <w:rPr>
          <w:rStyle w:val="NormalTok"/>
        </w:rPr>
        <w:t xml:space="preserve">AT_sub</w:t>
      </w:r>
      <w:r>
        <w:rPr>
          <w:rStyle w:val="SpecialCharTok"/>
        </w:rPr>
        <w:t xml:space="preserve">$</w:t>
      </w:r>
      <w:r>
        <w:rPr>
          <w:rStyle w:val="NormalTok"/>
        </w:rPr>
        <w:t xml:space="preserve">anweight_hhmmb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hhmmb</w:t>
      </w:r>
      <w:r>
        <w:br/>
      </w:r>
      <w:r>
        <w:rPr>
          <w:rStyle w:val="NormalTok"/>
        </w:rPr>
        <w:t xml:space="preserve">AT_sub</w:t>
      </w:r>
      <w:r>
        <w:rPr>
          <w:rStyle w:val="SpecialCharTok"/>
        </w:rPr>
        <w:t xml:space="preserve">$</w:t>
      </w:r>
      <w:r>
        <w:rPr>
          <w:rStyle w:val="NormalTok"/>
        </w:rPr>
        <w:t xml:space="preserve">anweight_agea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agea</w:t>
      </w:r>
      <w:r>
        <w:br/>
      </w:r>
      <w:r>
        <w:rPr>
          <w:rStyle w:val="NormalTok"/>
        </w:rPr>
        <w:t xml:space="preserve">AT_sub</w:t>
      </w:r>
      <w:r>
        <w:rPr>
          <w:rStyle w:val="SpecialCharTok"/>
        </w:rPr>
        <w:t xml:space="preserve">$</w:t>
      </w:r>
      <w:r>
        <w:rPr>
          <w:rStyle w:val="NormalTok"/>
        </w:rPr>
        <w:t xml:space="preserve">anweight_wkhtot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wkhtot</w:t>
      </w:r>
      <w:r>
        <w:br/>
      </w:r>
      <w:r>
        <w:rPr>
          <w:rStyle w:val="NormalTok"/>
        </w:rPr>
        <w:t xml:space="preserve">AT_sub</w:t>
      </w:r>
      <w:r>
        <w:rPr>
          <w:rStyle w:val="SpecialCharTok"/>
        </w:rPr>
        <w:t xml:space="preserve">$</w:t>
      </w:r>
      <w:r>
        <w:rPr>
          <w:rStyle w:val="NormalTok"/>
        </w:rPr>
        <w:t xml:space="preserve">anweight_income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income</w:t>
      </w:r>
      <w:r>
        <w:br/>
      </w:r>
      <w:r>
        <w:rPr>
          <w:rStyle w:val="NormalTok"/>
        </w:rPr>
        <w:t xml:space="preserve">AT_sub</w:t>
      </w:r>
      <w:r>
        <w:rPr>
          <w:rStyle w:val="SpecialCharTok"/>
        </w:rPr>
        <w:t xml:space="preserve">$</w:t>
      </w:r>
      <w:r>
        <w:rPr>
          <w:rStyle w:val="NormalTok"/>
        </w:rPr>
        <w:t xml:space="preserve">anweight_eisced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eisced)</w:t>
      </w:r>
      <w:r>
        <w:br/>
      </w:r>
      <w:r>
        <w:rPr>
          <w:rStyle w:val="NormalTok"/>
        </w:rPr>
        <w:t xml:space="preserve">AT_sub</w:t>
      </w:r>
      <w:r>
        <w:rPr>
          <w:rStyle w:val="SpecialCharTok"/>
        </w:rPr>
        <w:t xml:space="preserve">$</w:t>
      </w:r>
      <w:r>
        <w:rPr>
          <w:rStyle w:val="NormalTok"/>
        </w:rPr>
        <w:t xml:space="preserve">anweight_gndr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gndr)</w:t>
      </w:r>
      <w:r>
        <w:br/>
      </w:r>
      <w:r>
        <w:br/>
      </w:r>
      <w:r>
        <w:rPr>
          <w:rStyle w:val="CommentTok"/>
        </w:rPr>
        <w:t xml:space="preserve"># Interactions with anweight for Hungary</w:t>
      </w:r>
      <w:r>
        <w:br/>
      </w:r>
      <w:r>
        <w:rPr>
          <w:rStyle w:val="NormalTok"/>
        </w:rPr>
        <w:t xml:space="preserve">HU_sub</w:t>
      </w:r>
      <w:r>
        <w:rPr>
          <w:rStyle w:val="SpecialCharTok"/>
        </w:rPr>
        <w:t xml:space="preserve">$</w:t>
      </w:r>
      <w:r>
        <w:rPr>
          <w:rStyle w:val="NormalTok"/>
        </w:rPr>
        <w:t xml:space="preserve">anweight_pdwrk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pdwrk</w:t>
      </w:r>
      <w:r>
        <w:br/>
      </w:r>
      <w:r>
        <w:rPr>
          <w:rStyle w:val="NormalTok"/>
        </w:rPr>
        <w:t xml:space="preserve">HU_sub</w:t>
      </w:r>
      <w:r>
        <w:rPr>
          <w:rStyle w:val="SpecialCharTok"/>
        </w:rPr>
        <w:t xml:space="preserve">$</w:t>
      </w:r>
      <w:r>
        <w:rPr>
          <w:rStyle w:val="NormalTok"/>
        </w:rPr>
        <w:t xml:space="preserve">anweight_bthcld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bthcld)</w:t>
      </w:r>
      <w:r>
        <w:br/>
      </w:r>
      <w:r>
        <w:rPr>
          <w:rStyle w:val="NormalTok"/>
        </w:rPr>
        <w:t xml:space="preserve">HU_sub</w:t>
      </w:r>
      <w:r>
        <w:rPr>
          <w:rStyle w:val="SpecialCharTok"/>
        </w:rPr>
        <w:t xml:space="preserve">$</w:t>
      </w:r>
      <w:r>
        <w:rPr>
          <w:rStyle w:val="NormalTok"/>
        </w:rPr>
        <w:t xml:space="preserve">anweight_lrscale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lrscale</w:t>
      </w:r>
      <w:r>
        <w:br/>
      </w:r>
      <w:r>
        <w:rPr>
          <w:rStyle w:val="NormalTok"/>
        </w:rPr>
        <w:t xml:space="preserve">HU_sub</w:t>
      </w:r>
      <w:r>
        <w:rPr>
          <w:rStyle w:val="SpecialCharTok"/>
        </w:rPr>
        <w:t xml:space="preserve">$</w:t>
      </w:r>
      <w:r>
        <w:rPr>
          <w:rStyle w:val="NormalTok"/>
        </w:rPr>
        <w:t xml:space="preserve">anweight_dscrgrp </w:t>
      </w:r>
      <w:r>
        <w:rPr>
          <w:rStyle w:val="OtherTok"/>
        </w:rPr>
        <w:t xml:space="preserve">&lt;-</w:t>
      </w:r>
      <w:r>
        <w:rPr>
          <w:rStyle w:val="NormalTok"/>
        </w:rPr>
        <w:t xml:space="preserve">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dscrgrp)</w:t>
      </w:r>
      <w:r>
        <w:br/>
      </w:r>
      <w:r>
        <w:rPr>
          <w:rStyle w:val="NormalTok"/>
        </w:rPr>
        <w:t xml:space="preserve">HU_sub</w:t>
      </w:r>
      <w:r>
        <w:rPr>
          <w:rStyle w:val="SpecialCharTok"/>
        </w:rPr>
        <w:t xml:space="preserve">$</w:t>
      </w:r>
      <w:r>
        <w:rPr>
          <w:rStyle w:val="NormalTok"/>
        </w:rPr>
        <w:t xml:space="preserve">anweight_hhmmb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hhmmb</w:t>
      </w:r>
      <w:r>
        <w:br/>
      </w:r>
      <w:r>
        <w:rPr>
          <w:rStyle w:val="NormalTok"/>
        </w:rPr>
        <w:t xml:space="preserve">HU_sub</w:t>
      </w:r>
      <w:r>
        <w:rPr>
          <w:rStyle w:val="SpecialCharTok"/>
        </w:rPr>
        <w:t xml:space="preserve">$</w:t>
      </w:r>
      <w:r>
        <w:rPr>
          <w:rStyle w:val="NormalTok"/>
        </w:rPr>
        <w:t xml:space="preserve">anweight_agea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agea</w:t>
      </w:r>
      <w:r>
        <w:br/>
      </w:r>
      <w:r>
        <w:rPr>
          <w:rStyle w:val="NormalTok"/>
        </w:rPr>
        <w:t xml:space="preserve">HU_sub</w:t>
      </w:r>
      <w:r>
        <w:rPr>
          <w:rStyle w:val="SpecialCharTok"/>
        </w:rPr>
        <w:t xml:space="preserve">$</w:t>
      </w:r>
      <w:r>
        <w:rPr>
          <w:rStyle w:val="NormalTok"/>
        </w:rPr>
        <w:t xml:space="preserve">anweight_wkhtot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wkhtot</w:t>
      </w:r>
      <w:r>
        <w:br/>
      </w:r>
      <w:r>
        <w:rPr>
          <w:rStyle w:val="NormalTok"/>
        </w:rPr>
        <w:t xml:space="preserve">HU_sub</w:t>
      </w:r>
      <w:r>
        <w:rPr>
          <w:rStyle w:val="SpecialCharTok"/>
        </w:rPr>
        <w:t xml:space="preserve">$</w:t>
      </w:r>
      <w:r>
        <w:rPr>
          <w:rStyle w:val="NormalTok"/>
        </w:rPr>
        <w:t xml:space="preserve">anweight_income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income</w:t>
      </w:r>
      <w:r>
        <w:br/>
      </w:r>
      <w:r>
        <w:rPr>
          <w:rStyle w:val="NormalTok"/>
        </w:rPr>
        <w:t xml:space="preserve">HU_sub</w:t>
      </w:r>
      <w:r>
        <w:rPr>
          <w:rStyle w:val="SpecialCharTok"/>
        </w:rPr>
        <w:t xml:space="preserve">$</w:t>
      </w:r>
      <w:r>
        <w:rPr>
          <w:rStyle w:val="NormalTok"/>
        </w:rPr>
        <w:t xml:space="preserve">anweight_eisced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eisced)</w:t>
      </w:r>
      <w:r>
        <w:br/>
      </w:r>
      <w:r>
        <w:rPr>
          <w:rStyle w:val="NormalTok"/>
        </w:rPr>
        <w:t xml:space="preserve">HU_sub</w:t>
      </w:r>
      <w:r>
        <w:rPr>
          <w:rStyle w:val="SpecialCharTok"/>
        </w:rPr>
        <w:t xml:space="preserve">$</w:t>
      </w:r>
      <w:r>
        <w:rPr>
          <w:rStyle w:val="NormalTok"/>
        </w:rPr>
        <w:t xml:space="preserve">anweight_gndr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gndr)</w:t>
      </w:r>
      <w:r>
        <w:br/>
      </w:r>
      <w:r>
        <w:br/>
      </w:r>
      <w:r>
        <w:rPr>
          <w:rStyle w:val="CommentTok"/>
        </w:rPr>
        <w:t xml:space="preserve"># Interactions with anweight for Ireland</w:t>
      </w:r>
      <w:r>
        <w:br/>
      </w:r>
      <w:r>
        <w:rPr>
          <w:rStyle w:val="NormalTok"/>
        </w:rPr>
        <w:t xml:space="preserve">IE_sub</w:t>
      </w:r>
      <w:r>
        <w:rPr>
          <w:rStyle w:val="SpecialCharTok"/>
        </w:rPr>
        <w:t xml:space="preserve">$</w:t>
      </w:r>
      <w:r>
        <w:rPr>
          <w:rStyle w:val="NormalTok"/>
        </w:rPr>
        <w:t xml:space="preserve">anweight_pdwrk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pdwrk</w:t>
      </w:r>
      <w:r>
        <w:br/>
      </w:r>
      <w:r>
        <w:rPr>
          <w:rStyle w:val="NormalTok"/>
        </w:rPr>
        <w:t xml:space="preserve">IE_sub</w:t>
      </w:r>
      <w:r>
        <w:rPr>
          <w:rStyle w:val="SpecialCharTok"/>
        </w:rPr>
        <w:t xml:space="preserve">$</w:t>
      </w:r>
      <w:r>
        <w:rPr>
          <w:rStyle w:val="NormalTok"/>
        </w:rPr>
        <w:t xml:space="preserve">anweight_bthcld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bthcld)</w:t>
      </w:r>
      <w:r>
        <w:br/>
      </w:r>
      <w:r>
        <w:rPr>
          <w:rStyle w:val="NormalTok"/>
        </w:rPr>
        <w:t xml:space="preserve">IE_sub</w:t>
      </w:r>
      <w:r>
        <w:rPr>
          <w:rStyle w:val="SpecialCharTok"/>
        </w:rPr>
        <w:t xml:space="preserve">$</w:t>
      </w:r>
      <w:r>
        <w:rPr>
          <w:rStyle w:val="NormalTok"/>
        </w:rPr>
        <w:t xml:space="preserve">anweight_lrscale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lrscale</w:t>
      </w:r>
      <w:r>
        <w:br/>
      </w:r>
      <w:r>
        <w:rPr>
          <w:rStyle w:val="NormalTok"/>
        </w:rPr>
        <w:t xml:space="preserve">IE_sub</w:t>
      </w:r>
      <w:r>
        <w:rPr>
          <w:rStyle w:val="SpecialCharTok"/>
        </w:rPr>
        <w:t xml:space="preserve">$</w:t>
      </w:r>
      <w:r>
        <w:rPr>
          <w:rStyle w:val="NormalTok"/>
        </w:rPr>
        <w:t xml:space="preserve">anweight_dscrgrp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dscrgrp)</w:t>
      </w:r>
      <w:r>
        <w:br/>
      </w:r>
      <w:r>
        <w:rPr>
          <w:rStyle w:val="NormalTok"/>
        </w:rPr>
        <w:t xml:space="preserve">IE_sub</w:t>
      </w:r>
      <w:r>
        <w:rPr>
          <w:rStyle w:val="SpecialCharTok"/>
        </w:rPr>
        <w:t xml:space="preserve">$</w:t>
      </w:r>
      <w:r>
        <w:rPr>
          <w:rStyle w:val="NormalTok"/>
        </w:rPr>
        <w:t xml:space="preserve">anweight_hhmmb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hhmmb</w:t>
      </w:r>
      <w:r>
        <w:br/>
      </w:r>
      <w:r>
        <w:rPr>
          <w:rStyle w:val="NormalTok"/>
        </w:rPr>
        <w:t xml:space="preserve">IE_sub</w:t>
      </w:r>
      <w:r>
        <w:rPr>
          <w:rStyle w:val="SpecialCharTok"/>
        </w:rPr>
        <w:t xml:space="preserve">$</w:t>
      </w:r>
      <w:r>
        <w:rPr>
          <w:rStyle w:val="NormalTok"/>
        </w:rPr>
        <w:t xml:space="preserve">anweight_agea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agea</w:t>
      </w:r>
      <w:r>
        <w:br/>
      </w:r>
      <w:r>
        <w:rPr>
          <w:rStyle w:val="NormalTok"/>
        </w:rPr>
        <w:t xml:space="preserve">IE_sub</w:t>
      </w:r>
      <w:r>
        <w:rPr>
          <w:rStyle w:val="SpecialCharTok"/>
        </w:rPr>
        <w:t xml:space="preserve">$</w:t>
      </w:r>
      <w:r>
        <w:rPr>
          <w:rStyle w:val="NormalTok"/>
        </w:rPr>
        <w:t xml:space="preserve">anweight_wkhtot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wkhtot</w:t>
      </w:r>
      <w:r>
        <w:br/>
      </w:r>
      <w:r>
        <w:rPr>
          <w:rStyle w:val="NormalTok"/>
        </w:rPr>
        <w:t xml:space="preserve">IE_sub</w:t>
      </w:r>
      <w:r>
        <w:rPr>
          <w:rStyle w:val="SpecialCharTok"/>
        </w:rPr>
        <w:t xml:space="preserve">$</w:t>
      </w:r>
      <w:r>
        <w:rPr>
          <w:rStyle w:val="NormalTok"/>
        </w:rPr>
        <w:t xml:space="preserve">anweight_income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income</w:t>
      </w:r>
      <w:r>
        <w:br/>
      </w:r>
      <w:r>
        <w:rPr>
          <w:rStyle w:val="NormalTok"/>
        </w:rPr>
        <w:t xml:space="preserve">IE_sub</w:t>
      </w:r>
      <w:r>
        <w:rPr>
          <w:rStyle w:val="SpecialCharTok"/>
        </w:rPr>
        <w:t xml:space="preserve">$</w:t>
      </w:r>
      <w:r>
        <w:rPr>
          <w:rStyle w:val="NormalTok"/>
        </w:rPr>
        <w:t xml:space="preserve">anweight_eisced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eisced)</w:t>
      </w:r>
      <w:r>
        <w:br/>
      </w:r>
      <w:r>
        <w:rPr>
          <w:rStyle w:val="NormalTok"/>
        </w:rPr>
        <w:t xml:space="preserve">IE_sub</w:t>
      </w:r>
      <w:r>
        <w:rPr>
          <w:rStyle w:val="SpecialCharTok"/>
        </w:rPr>
        <w:t xml:space="preserve">$</w:t>
      </w:r>
      <w:r>
        <w:rPr>
          <w:rStyle w:val="NormalTok"/>
        </w:rPr>
        <w:t xml:space="preserve">anweight_gndr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gndr)</w:t>
      </w:r>
      <w:r>
        <w:br/>
      </w:r>
      <w:r>
        <w:br/>
      </w:r>
      <w:r>
        <w:rPr>
          <w:rStyle w:val="CommentTok"/>
        </w:rPr>
        <w:t xml:space="preserve"># Interactions with anweight for Poland</w:t>
      </w:r>
      <w:r>
        <w:br/>
      </w:r>
      <w:r>
        <w:rPr>
          <w:rStyle w:val="NormalTok"/>
        </w:rPr>
        <w:t xml:space="preserve">PL_sub</w:t>
      </w:r>
      <w:r>
        <w:rPr>
          <w:rStyle w:val="SpecialCharTok"/>
        </w:rPr>
        <w:t xml:space="preserve">$</w:t>
      </w:r>
      <w:r>
        <w:rPr>
          <w:rStyle w:val="NormalTok"/>
        </w:rPr>
        <w:t xml:space="preserve">anweight_pdwrk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pdwrk</w:t>
      </w:r>
      <w:r>
        <w:br/>
      </w:r>
      <w:r>
        <w:rPr>
          <w:rStyle w:val="NormalTok"/>
        </w:rPr>
        <w:t xml:space="preserve">PL_sub</w:t>
      </w:r>
      <w:r>
        <w:rPr>
          <w:rStyle w:val="SpecialCharTok"/>
        </w:rPr>
        <w:t xml:space="preserve">$</w:t>
      </w:r>
      <w:r>
        <w:rPr>
          <w:rStyle w:val="NormalTok"/>
        </w:rPr>
        <w:t xml:space="preserve">anweight_bthcld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bthcld)</w:t>
      </w:r>
      <w:r>
        <w:br/>
      </w:r>
      <w:r>
        <w:rPr>
          <w:rStyle w:val="NormalTok"/>
        </w:rPr>
        <w:t xml:space="preserve">PL_sub</w:t>
      </w:r>
      <w:r>
        <w:rPr>
          <w:rStyle w:val="SpecialCharTok"/>
        </w:rPr>
        <w:t xml:space="preserve">$</w:t>
      </w:r>
      <w:r>
        <w:rPr>
          <w:rStyle w:val="NormalTok"/>
        </w:rPr>
        <w:t xml:space="preserve">anweight_lrscale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lrscale</w:t>
      </w:r>
      <w:r>
        <w:br/>
      </w:r>
      <w:r>
        <w:rPr>
          <w:rStyle w:val="NormalTok"/>
        </w:rPr>
        <w:t xml:space="preserve">PL_sub</w:t>
      </w:r>
      <w:r>
        <w:rPr>
          <w:rStyle w:val="SpecialCharTok"/>
        </w:rPr>
        <w:t xml:space="preserve">$</w:t>
      </w:r>
      <w:r>
        <w:rPr>
          <w:rStyle w:val="NormalTok"/>
        </w:rPr>
        <w:t xml:space="preserve">anweight_dscrgrp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dscrgrp)</w:t>
      </w:r>
      <w:r>
        <w:br/>
      </w:r>
      <w:r>
        <w:rPr>
          <w:rStyle w:val="NormalTok"/>
        </w:rPr>
        <w:t xml:space="preserve">PL_sub</w:t>
      </w:r>
      <w:r>
        <w:rPr>
          <w:rStyle w:val="SpecialCharTok"/>
        </w:rPr>
        <w:t xml:space="preserve">$</w:t>
      </w:r>
      <w:r>
        <w:rPr>
          <w:rStyle w:val="NormalTok"/>
        </w:rPr>
        <w:t xml:space="preserve">anweight_hhmmb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hhmmb</w:t>
      </w:r>
      <w:r>
        <w:br/>
      </w:r>
      <w:r>
        <w:rPr>
          <w:rStyle w:val="NormalTok"/>
        </w:rPr>
        <w:t xml:space="preserve">PL_sub</w:t>
      </w:r>
      <w:r>
        <w:rPr>
          <w:rStyle w:val="SpecialCharTok"/>
        </w:rPr>
        <w:t xml:space="preserve">$</w:t>
      </w:r>
      <w:r>
        <w:rPr>
          <w:rStyle w:val="NormalTok"/>
        </w:rPr>
        <w:t xml:space="preserve">anweight_agea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agea</w:t>
      </w:r>
      <w:r>
        <w:br/>
      </w:r>
      <w:r>
        <w:rPr>
          <w:rStyle w:val="NormalTok"/>
        </w:rPr>
        <w:t xml:space="preserve">PL_sub</w:t>
      </w:r>
      <w:r>
        <w:rPr>
          <w:rStyle w:val="SpecialCharTok"/>
        </w:rPr>
        <w:t xml:space="preserve">$</w:t>
      </w:r>
      <w:r>
        <w:rPr>
          <w:rStyle w:val="NormalTok"/>
        </w:rPr>
        <w:t xml:space="preserve">anweight_wkhtot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wkhtot</w:t>
      </w:r>
      <w:r>
        <w:br/>
      </w:r>
      <w:r>
        <w:rPr>
          <w:rStyle w:val="NormalTok"/>
        </w:rPr>
        <w:t xml:space="preserve">PL_sub</w:t>
      </w:r>
      <w:r>
        <w:rPr>
          <w:rStyle w:val="SpecialCharTok"/>
        </w:rPr>
        <w:t xml:space="preserve">$</w:t>
      </w:r>
      <w:r>
        <w:rPr>
          <w:rStyle w:val="NormalTok"/>
        </w:rPr>
        <w:t xml:space="preserve">anweight_income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income</w:t>
      </w:r>
      <w:r>
        <w:br/>
      </w:r>
      <w:r>
        <w:rPr>
          <w:rStyle w:val="NormalTok"/>
        </w:rPr>
        <w:t xml:space="preserve">PL_sub</w:t>
      </w:r>
      <w:r>
        <w:rPr>
          <w:rStyle w:val="SpecialCharTok"/>
        </w:rPr>
        <w:t xml:space="preserve">$</w:t>
      </w:r>
      <w:r>
        <w:rPr>
          <w:rStyle w:val="NormalTok"/>
        </w:rPr>
        <w:t xml:space="preserve">anweight_eisced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eisced)</w:t>
      </w:r>
      <w:r>
        <w:br/>
      </w:r>
      <w:r>
        <w:rPr>
          <w:rStyle w:val="NormalTok"/>
        </w:rPr>
        <w:t xml:space="preserve">PL_sub</w:t>
      </w:r>
      <w:r>
        <w:rPr>
          <w:rStyle w:val="SpecialCharTok"/>
        </w:rPr>
        <w:t xml:space="preserve">$</w:t>
      </w:r>
      <w:r>
        <w:rPr>
          <w:rStyle w:val="NormalTok"/>
        </w:rPr>
        <w:t xml:space="preserve">anweight_gndr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gndr)</w:t>
      </w:r>
    </w:p>
    <w:bookmarkEnd w:id="39"/>
    <w:bookmarkStart w:id="40" w:name="define-methods-and-predictor-matrix"/>
    <w:p>
      <w:pPr>
        <w:pStyle w:val="Heading2"/>
      </w:pPr>
      <w:r>
        <w:t xml:space="preserve">Define Methods and Predictor Matrix</w:t>
      </w:r>
    </w:p>
    <w:p>
      <w:pPr>
        <w:pStyle w:val="FirstParagraph"/>
      </w:pPr>
      <w:r>
        <w:t xml:space="preserve">Methods for imputation models are the same for all countries. We would like to use the PMM method. PMM method has an assumption that missing values need to be MAR, but our missing data is MNAR, not MAR. However, according to Erler (2020), to reduce bias due to MNAR missingness we can add as much information as possible to make the MAR assumption more plausible. As we have ten predictors, we assume that the MAR assumption is plausible then PMM can be used to predictor missing values of household income.</w:t>
      </w:r>
    </w:p>
    <w:p>
      <w:pPr>
        <w:pStyle w:val="SourceCode"/>
      </w:pPr>
      <w:r>
        <w:rPr>
          <w:rStyle w:val="CommentTok"/>
        </w:rPr>
        <w:t xml:space="preserve"># Create methods for imputation models (this is the same for every country)</w:t>
      </w:r>
      <w:r>
        <w:br/>
      </w:r>
      <w:r>
        <w:rPr>
          <w:rStyle w:val="NormalTok"/>
        </w:rPr>
        <w:t xml:space="preserve">meth </w:t>
      </w:r>
      <w:r>
        <w:rPr>
          <w:rStyle w:val="OtherTok"/>
        </w:rPr>
        <w:t xml:space="preserve">&lt;-</w:t>
      </w:r>
      <w:r>
        <w:rPr>
          <w:rStyle w:val="NormalTok"/>
        </w:rPr>
        <w:t xml:space="preserve"> </w:t>
      </w:r>
      <w:r>
        <w:rPr>
          <w:rStyle w:val="FunctionTok"/>
        </w:rPr>
        <w:t xml:space="preserve">make.method</w:t>
      </w:r>
      <w:r>
        <w:rPr>
          <w:rStyle w:val="NormalTok"/>
        </w:rPr>
        <w:t xml:space="preserve">(AT_sub)</w:t>
      </w:r>
    </w:p>
    <w:p>
      <w:pPr>
        <w:pStyle w:val="FirstParagraph"/>
      </w:pPr>
      <w:r>
        <w:t xml:space="preserve">Define the predictor matrix for each country.</w:t>
      </w:r>
    </w:p>
    <w:p>
      <w:pPr>
        <w:pStyle w:val="SourceCode"/>
      </w:pPr>
      <w:r>
        <w:rPr>
          <w:rStyle w:val="CommentTok"/>
        </w:rPr>
        <w:t xml:space="preserve"># Predictor matrix for Portugal</w:t>
      </w:r>
      <w:r>
        <w:br/>
      </w:r>
      <w:r>
        <w:rPr>
          <w:rStyle w:val="NormalTok"/>
        </w:rPr>
        <w:t xml:space="preserve">PT_pred </w:t>
      </w:r>
      <w:r>
        <w:rPr>
          <w:rStyle w:val="OtherTok"/>
        </w:rPr>
        <w:t xml:space="preserve">&lt;-</w:t>
      </w:r>
      <w:r>
        <w:rPr>
          <w:rStyle w:val="NormalTok"/>
        </w:rPr>
        <w:t xml:space="preserve"> </w:t>
      </w:r>
      <w:r>
        <w:rPr>
          <w:rStyle w:val="FunctionTok"/>
        </w:rPr>
        <w:t xml:space="preserve">quickpred</w:t>
      </w:r>
      <w:r>
        <w:rPr>
          <w:rStyle w:val="NormalTok"/>
        </w:rPr>
        <w:t xml:space="preserve">(PT_sub)</w:t>
      </w:r>
      <w:r>
        <w:br/>
      </w:r>
      <w:r>
        <w:rPr>
          <w:rStyle w:val="NormalTok"/>
        </w:rPr>
        <w:t xml:space="preserve">PT_pred[,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PT_pred[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Austria</w:t>
      </w:r>
      <w:r>
        <w:br/>
      </w:r>
      <w:r>
        <w:rPr>
          <w:rStyle w:val="NormalTok"/>
        </w:rPr>
        <w:t xml:space="preserve">AT_pred </w:t>
      </w:r>
      <w:r>
        <w:rPr>
          <w:rStyle w:val="OtherTok"/>
        </w:rPr>
        <w:t xml:space="preserve">&lt;-</w:t>
      </w:r>
      <w:r>
        <w:rPr>
          <w:rStyle w:val="NormalTok"/>
        </w:rPr>
        <w:t xml:space="preserve"> </w:t>
      </w:r>
      <w:r>
        <w:rPr>
          <w:rStyle w:val="FunctionTok"/>
        </w:rPr>
        <w:t xml:space="preserve">quickpred</w:t>
      </w:r>
      <w:r>
        <w:rPr>
          <w:rStyle w:val="NormalTok"/>
        </w:rPr>
        <w:t xml:space="preserve">(AT_sub)</w:t>
      </w:r>
      <w:r>
        <w:br/>
      </w:r>
      <w:r>
        <w:rPr>
          <w:rStyle w:val="NormalTok"/>
        </w:rPr>
        <w:t xml:space="preserve">AT_pred[,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AT_pred[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Ireland</w:t>
      </w:r>
      <w:r>
        <w:br/>
      </w:r>
      <w:r>
        <w:rPr>
          <w:rStyle w:val="NormalTok"/>
        </w:rPr>
        <w:t xml:space="preserve">IE_pred </w:t>
      </w:r>
      <w:r>
        <w:rPr>
          <w:rStyle w:val="OtherTok"/>
        </w:rPr>
        <w:t xml:space="preserve">&lt;-</w:t>
      </w:r>
      <w:r>
        <w:rPr>
          <w:rStyle w:val="NormalTok"/>
        </w:rPr>
        <w:t xml:space="preserve"> </w:t>
      </w:r>
      <w:r>
        <w:rPr>
          <w:rStyle w:val="FunctionTok"/>
        </w:rPr>
        <w:t xml:space="preserve">quickpred</w:t>
      </w:r>
      <w:r>
        <w:rPr>
          <w:rStyle w:val="NormalTok"/>
        </w:rPr>
        <w:t xml:space="preserve">(IE_sub)</w:t>
      </w:r>
      <w:r>
        <w:br/>
      </w:r>
      <w:r>
        <w:rPr>
          <w:rStyle w:val="NormalTok"/>
        </w:rPr>
        <w:t xml:space="preserve">IE_pred[,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IE_pred[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Hungary </w:t>
      </w:r>
      <w:r>
        <w:br/>
      </w:r>
      <w:r>
        <w:rPr>
          <w:rStyle w:val="NormalTok"/>
        </w:rPr>
        <w:t xml:space="preserve">HU_pred </w:t>
      </w:r>
      <w:r>
        <w:rPr>
          <w:rStyle w:val="OtherTok"/>
        </w:rPr>
        <w:t xml:space="preserve">&lt;-</w:t>
      </w:r>
      <w:r>
        <w:rPr>
          <w:rStyle w:val="NormalTok"/>
        </w:rPr>
        <w:t xml:space="preserve"> </w:t>
      </w:r>
      <w:r>
        <w:rPr>
          <w:rStyle w:val="FunctionTok"/>
        </w:rPr>
        <w:t xml:space="preserve">quickpred</w:t>
      </w:r>
      <w:r>
        <w:rPr>
          <w:rStyle w:val="NormalTok"/>
        </w:rPr>
        <w:t xml:space="preserve">(HU_sub)</w:t>
      </w:r>
      <w:r>
        <w:br/>
      </w:r>
      <w:r>
        <w:rPr>
          <w:rStyle w:val="NormalTok"/>
        </w:rPr>
        <w:t xml:space="preserve">HU_pred[,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HU_pred[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Poland</w:t>
      </w:r>
      <w:r>
        <w:br/>
      </w:r>
      <w:r>
        <w:rPr>
          <w:rStyle w:val="NormalTok"/>
        </w:rPr>
        <w:t xml:space="preserve">PL_pred </w:t>
      </w:r>
      <w:r>
        <w:rPr>
          <w:rStyle w:val="OtherTok"/>
        </w:rPr>
        <w:t xml:space="preserve">&lt;-</w:t>
      </w:r>
      <w:r>
        <w:rPr>
          <w:rStyle w:val="NormalTok"/>
        </w:rPr>
        <w:t xml:space="preserve"> </w:t>
      </w:r>
      <w:r>
        <w:rPr>
          <w:rStyle w:val="FunctionTok"/>
        </w:rPr>
        <w:t xml:space="preserve">quickpred</w:t>
      </w:r>
      <w:r>
        <w:rPr>
          <w:rStyle w:val="NormalTok"/>
        </w:rPr>
        <w:t xml:space="preserve">(PL_sub)</w:t>
      </w:r>
      <w:r>
        <w:br/>
      </w:r>
      <w:r>
        <w:rPr>
          <w:rStyle w:val="NormalTok"/>
        </w:rPr>
        <w:t xml:space="preserve">PL_pred[,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PL_pred[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p>
    <w:bookmarkEnd w:id="40"/>
    <w:bookmarkStart w:id="41" w:name="imputation"/>
    <w:p>
      <w:pPr>
        <w:pStyle w:val="Heading2"/>
      </w:pPr>
      <w:r>
        <w:t xml:space="preserve">Imputation</w:t>
      </w:r>
    </w:p>
    <w:p>
      <w:pPr>
        <w:pStyle w:val="FirstParagraph"/>
      </w:pPr>
      <w:r>
        <w:t xml:space="preserve">As mentioned earlier, we will fix missing values by imputing per country since each country has a different currency and calculate in a different way (weekly, monthly, or annual).</w:t>
      </w:r>
    </w:p>
    <w:p>
      <w:pPr>
        <w:pStyle w:val="SourceCode"/>
      </w:pPr>
      <w:r>
        <w:rPr>
          <w:rStyle w:val="CommentTok"/>
        </w:rPr>
        <w:t xml:space="preserve"># Imputation for Portugal</w:t>
      </w:r>
      <w:r>
        <w:br/>
      </w:r>
      <w:r>
        <w:rPr>
          <w:rStyle w:val="FunctionTok"/>
        </w:rPr>
        <w:t xml:space="preserve">vis_miss</w:t>
      </w:r>
      <w:r>
        <w:rPr>
          <w:rStyle w:val="NormalTok"/>
        </w:rPr>
        <w:t xml:space="preserve">(PT_sub) </w:t>
      </w:r>
      <w:r>
        <w:rPr>
          <w:rStyle w:val="CommentTok"/>
        </w:rPr>
        <w:t xml:space="preserve"># Imputing m sets according to amount of percentage missing in income</w:t>
      </w:r>
    </w:p>
    <w:p>
      <w:pPr>
        <w:pStyle w:val="SourceCode"/>
      </w:pPr>
      <w:r>
        <w:rPr>
          <w:rStyle w:val="NormalTok"/>
        </w:rPr>
        <w:t xml:space="preserve">PT_imp </w:t>
      </w:r>
      <w:r>
        <w:rPr>
          <w:rStyle w:val="OtherTok"/>
        </w:rPr>
        <w:t xml:space="preserve">&lt;-</w:t>
      </w:r>
      <w:r>
        <w:rPr>
          <w:rStyle w:val="NormalTok"/>
        </w:rPr>
        <w:t xml:space="preserve"> </w:t>
      </w:r>
      <w:r>
        <w:rPr>
          <w:rStyle w:val="FunctionTok"/>
        </w:rPr>
        <w:t xml:space="preserve">mice</w:t>
      </w:r>
      <w:r>
        <w:rPr>
          <w:rStyle w:val="NormalTok"/>
        </w:rPr>
        <w:t xml:space="preserve">(PT_sub,</w:t>
      </w:r>
      <w:r>
        <w:br/>
      </w:r>
      <w:r>
        <w:rPr>
          <w:rStyle w:val="NormalTok"/>
        </w:rPr>
        <w:t xml:space="preserve">               </w:t>
      </w:r>
      <w:r>
        <w:rPr>
          <w:rStyle w:val="AttributeTok"/>
        </w:rPr>
        <w:t xml:space="preserve">m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PT_pred,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Poland</w:t>
      </w:r>
      <w:r>
        <w:br/>
      </w:r>
      <w:r>
        <w:rPr>
          <w:rStyle w:val="FunctionTok"/>
        </w:rPr>
        <w:t xml:space="preserve">vis_miss</w:t>
      </w:r>
      <w:r>
        <w:rPr>
          <w:rStyle w:val="NormalTok"/>
        </w:rPr>
        <w:t xml:space="preserve">(PL_sub) </w:t>
      </w:r>
      <w:r>
        <w:rPr>
          <w:rStyle w:val="CommentTok"/>
        </w:rPr>
        <w:t xml:space="preserve"># Imputing m sets according to amount of percentage missing in income</w:t>
      </w:r>
    </w:p>
    <w:p>
      <w:pPr>
        <w:pStyle w:val="SourceCode"/>
      </w:pPr>
      <w:r>
        <w:rPr>
          <w:rStyle w:val="NormalTok"/>
        </w:rPr>
        <w:t xml:space="preserve">PL_imp </w:t>
      </w:r>
      <w:r>
        <w:rPr>
          <w:rStyle w:val="OtherTok"/>
        </w:rPr>
        <w:t xml:space="preserve">&lt;-</w:t>
      </w:r>
      <w:r>
        <w:rPr>
          <w:rStyle w:val="NormalTok"/>
        </w:rPr>
        <w:t xml:space="preserve"> </w:t>
      </w:r>
      <w:r>
        <w:rPr>
          <w:rStyle w:val="FunctionTok"/>
        </w:rPr>
        <w:t xml:space="preserve">mice</w:t>
      </w:r>
      <w:r>
        <w:rPr>
          <w:rStyle w:val="NormalTok"/>
        </w:rPr>
        <w:t xml:space="preserve">(PL_sub,</w:t>
      </w:r>
      <w:r>
        <w:br/>
      </w:r>
      <w:r>
        <w:rPr>
          <w:rStyle w:val="NormalTok"/>
        </w:rPr>
        <w:t xml:space="preserve">               </w:t>
      </w:r>
      <w:r>
        <w:rPr>
          <w:rStyle w:val="AttributeTok"/>
        </w:rPr>
        <w:t xml:space="preserve">m =</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PL_pred,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Hungary</w:t>
      </w:r>
      <w:r>
        <w:br/>
      </w:r>
      <w:r>
        <w:rPr>
          <w:rStyle w:val="FunctionTok"/>
        </w:rPr>
        <w:t xml:space="preserve">vis_miss</w:t>
      </w:r>
      <w:r>
        <w:rPr>
          <w:rStyle w:val="NormalTok"/>
        </w:rPr>
        <w:t xml:space="preserve">(HU_sub) </w:t>
      </w:r>
      <w:r>
        <w:rPr>
          <w:rStyle w:val="CommentTok"/>
        </w:rPr>
        <w:t xml:space="preserve"># Imputing m sets according to amount of percentage missing in income</w:t>
      </w:r>
    </w:p>
    <w:p>
      <w:pPr>
        <w:pStyle w:val="SourceCode"/>
      </w:pPr>
      <w:r>
        <w:rPr>
          <w:rStyle w:val="NormalTok"/>
        </w:rPr>
        <w:t xml:space="preserve">HU_imp </w:t>
      </w:r>
      <w:r>
        <w:rPr>
          <w:rStyle w:val="OtherTok"/>
        </w:rPr>
        <w:t xml:space="preserve">&lt;-</w:t>
      </w:r>
      <w:r>
        <w:rPr>
          <w:rStyle w:val="NormalTok"/>
        </w:rPr>
        <w:t xml:space="preserve"> </w:t>
      </w:r>
      <w:r>
        <w:rPr>
          <w:rStyle w:val="FunctionTok"/>
        </w:rPr>
        <w:t xml:space="preserve">mice</w:t>
      </w:r>
      <w:r>
        <w:rPr>
          <w:rStyle w:val="NormalTok"/>
        </w:rPr>
        <w:t xml:space="preserve">(HU_sub,</w:t>
      </w:r>
      <w:r>
        <w:br/>
      </w:r>
      <w:r>
        <w:rPr>
          <w:rStyle w:val="NormalTok"/>
        </w:rPr>
        <w:t xml:space="preserve">               </w:t>
      </w:r>
      <w:r>
        <w:rPr>
          <w:rStyle w:val="AttributeTok"/>
        </w:rPr>
        <w:t xml:space="preserve">m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HU_pred,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Ireland</w:t>
      </w:r>
      <w:r>
        <w:br/>
      </w:r>
      <w:r>
        <w:rPr>
          <w:rStyle w:val="FunctionTok"/>
        </w:rPr>
        <w:t xml:space="preserve">vis_miss</w:t>
      </w:r>
      <w:r>
        <w:rPr>
          <w:rStyle w:val="NormalTok"/>
        </w:rPr>
        <w:t xml:space="preserve">(IE_sub) </w:t>
      </w:r>
      <w:r>
        <w:rPr>
          <w:rStyle w:val="CommentTok"/>
        </w:rPr>
        <w:t xml:space="preserve"># Imputing m sets according to amount of percentage missing in income</w:t>
      </w:r>
    </w:p>
    <w:p>
      <w:pPr>
        <w:pStyle w:val="SourceCode"/>
      </w:pPr>
      <w:r>
        <w:rPr>
          <w:rStyle w:val="NormalTok"/>
        </w:rPr>
        <w:t xml:space="preserve">IE_imp </w:t>
      </w:r>
      <w:r>
        <w:rPr>
          <w:rStyle w:val="OtherTok"/>
        </w:rPr>
        <w:t xml:space="preserve">&lt;-</w:t>
      </w:r>
      <w:r>
        <w:rPr>
          <w:rStyle w:val="NormalTok"/>
        </w:rPr>
        <w:t xml:space="preserve"> </w:t>
      </w:r>
      <w:r>
        <w:rPr>
          <w:rStyle w:val="FunctionTok"/>
        </w:rPr>
        <w:t xml:space="preserve">mice</w:t>
      </w:r>
      <w:r>
        <w:rPr>
          <w:rStyle w:val="NormalTok"/>
        </w:rPr>
        <w:t xml:space="preserve">(IE_sub,</w:t>
      </w:r>
      <w:r>
        <w:br/>
      </w:r>
      <w:r>
        <w:rPr>
          <w:rStyle w:val="NormalTok"/>
        </w:rPr>
        <w:t xml:space="preserve">               </w:t>
      </w:r>
      <w:r>
        <w:rPr>
          <w:rStyle w:val="AttributeTok"/>
        </w:rPr>
        <w:t xml:space="preserve">m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IE_pred,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Austria</w:t>
      </w:r>
      <w:r>
        <w:br/>
      </w:r>
      <w:r>
        <w:rPr>
          <w:rStyle w:val="FunctionTok"/>
        </w:rPr>
        <w:t xml:space="preserve">vis_miss</w:t>
      </w:r>
      <w:r>
        <w:rPr>
          <w:rStyle w:val="NormalTok"/>
        </w:rPr>
        <w:t xml:space="preserve">(AT_sub) </w:t>
      </w:r>
      <w:r>
        <w:rPr>
          <w:rStyle w:val="CommentTok"/>
        </w:rPr>
        <w:t xml:space="preserve"># Imputing m sets according to amount of percentage missing in income</w:t>
      </w:r>
    </w:p>
    <w:p>
      <w:pPr>
        <w:pStyle w:val="SourceCode"/>
      </w:pPr>
      <w:r>
        <w:rPr>
          <w:rStyle w:val="NormalTok"/>
        </w:rPr>
        <w:t xml:space="preserve">AT_imp </w:t>
      </w:r>
      <w:r>
        <w:rPr>
          <w:rStyle w:val="OtherTok"/>
        </w:rPr>
        <w:t xml:space="preserve">&lt;-</w:t>
      </w:r>
      <w:r>
        <w:rPr>
          <w:rStyle w:val="NormalTok"/>
        </w:rPr>
        <w:t xml:space="preserve"> </w:t>
      </w:r>
      <w:r>
        <w:rPr>
          <w:rStyle w:val="FunctionTok"/>
        </w:rPr>
        <w:t xml:space="preserve">mice</w:t>
      </w:r>
      <w:r>
        <w:rPr>
          <w:rStyle w:val="NormalTok"/>
        </w:rPr>
        <w:t xml:space="preserve">(AT_sub,</w:t>
      </w:r>
      <w:r>
        <w:br/>
      </w:r>
      <w:r>
        <w:rPr>
          <w:rStyle w:val="NormalTok"/>
        </w:rPr>
        <w:t xml:space="preserve">               </w:t>
      </w:r>
      <w:r>
        <w:rPr>
          <w:rStyle w:val="AttributeTok"/>
        </w:rPr>
        <w:t xml:space="preserve">m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AT_pred,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p>
    <w:bookmarkEnd w:id="41"/>
    <w:bookmarkStart w:id="72" w:name="checking-convergence"/>
    <w:p>
      <w:pPr>
        <w:pStyle w:val="Heading2"/>
      </w:pPr>
      <w:r>
        <w:t xml:space="preserve">Checking convergence</w:t>
      </w:r>
    </w:p>
    <w:p>
      <w:pPr>
        <w:pStyle w:val="SourceCode"/>
      </w:pPr>
      <w:r>
        <w:rPr>
          <w:rStyle w:val="CommentTok"/>
        </w:rPr>
        <w:t xml:space="preserve"># Checking convergence for Portugal</w:t>
      </w:r>
      <w:r>
        <w:br/>
      </w:r>
      <w:r>
        <w:rPr>
          <w:rStyle w:val="FunctionTok"/>
        </w:rPr>
        <w:t xml:space="preserve">plot</w:t>
      </w:r>
      <w:r>
        <w:rPr>
          <w:rStyle w:val="NormalTok"/>
        </w:rPr>
        <w:t xml:space="preserve">(PT_imp)</w:t>
      </w:r>
    </w:p>
    <w:p>
      <w:pPr>
        <w:pStyle w:val="SourceCode"/>
      </w:pPr>
      <w:r>
        <w:rPr>
          <w:rStyle w:val="FunctionTok"/>
        </w:rPr>
        <w:t xml:space="preserve">densityplot</w:t>
      </w:r>
      <w:r>
        <w:rPr>
          <w:rStyle w:val="NormalTok"/>
        </w:rPr>
        <w:t xml:space="preserve">(PT_imp)[</w:t>
      </w:r>
      <w:r>
        <w:rPr>
          <w:rStyle w:val="DecValTok"/>
        </w:rPr>
        <w:t xml:space="preserve">4</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inalreport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(PT_imp)[</w:t>
      </w:r>
      <w:r>
        <w:rPr>
          <w:rStyle w:val="DecValTok"/>
        </w:rPr>
        <w:t xml:space="preserve">8</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finalreport_files/figure-docx/unnamed-chunk-14-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PT_imp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13885</w:t>
      </w:r>
    </w:p>
    <w:p>
      <w:pPr>
        <w:pStyle w:val="SourceCode"/>
      </w:pPr>
      <w:r>
        <w:rPr>
          <w:rStyle w:val="CommentTok"/>
        </w:rPr>
        <w:t xml:space="preserve"># Checking convergence for Poland</w:t>
      </w:r>
      <w:r>
        <w:br/>
      </w:r>
      <w:r>
        <w:rPr>
          <w:rStyle w:val="FunctionTok"/>
        </w:rPr>
        <w:t xml:space="preserve">plot</w:t>
      </w:r>
      <w:r>
        <w:rPr>
          <w:rStyle w:val="NormalTok"/>
        </w:rPr>
        <w:t xml:space="preserve">(PL_imp)</w:t>
      </w:r>
    </w:p>
    <w:p>
      <w:pPr>
        <w:pStyle w:val="SourceCode"/>
      </w:pPr>
      <w:r>
        <w:rPr>
          <w:rStyle w:val="FunctionTok"/>
        </w:rPr>
        <w:t xml:space="preserve">densityplot</w:t>
      </w:r>
      <w:r>
        <w:rPr>
          <w:rStyle w:val="NormalTok"/>
        </w:rPr>
        <w:t xml:space="preserve">(PL_imp)[</w:t>
      </w:r>
      <w:r>
        <w:rPr>
          <w:rStyle w:val="DecValTok"/>
        </w:rPr>
        <w:t xml:space="preserve">4</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finalreport_files/figure-docx/unnamed-chunk-1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(PL_imp)[</w:t>
      </w:r>
      <w:r>
        <w:rPr>
          <w:rStyle w:val="DecValTok"/>
        </w:rPr>
        <w:t xml:space="preserve">8</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finalreport_files/figure-docx/unnamed-chunk-16-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PL_imp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3950.5</w:t>
      </w:r>
    </w:p>
    <w:p>
      <w:pPr>
        <w:pStyle w:val="SourceCode"/>
      </w:pPr>
      <w:r>
        <w:rPr>
          <w:rStyle w:val="CommentTok"/>
        </w:rPr>
        <w:t xml:space="preserve"># Checking convergence for Ireland</w:t>
      </w:r>
      <w:r>
        <w:br/>
      </w:r>
      <w:r>
        <w:rPr>
          <w:rStyle w:val="FunctionTok"/>
        </w:rPr>
        <w:t xml:space="preserve">plot</w:t>
      </w:r>
      <w:r>
        <w:rPr>
          <w:rStyle w:val="NormalTok"/>
        </w:rPr>
        <w:t xml:space="preserve">(IE_imp)</w:t>
      </w:r>
    </w:p>
    <w:p>
      <w:pPr>
        <w:pStyle w:val="SourceCode"/>
      </w:pPr>
      <w:r>
        <w:rPr>
          <w:rStyle w:val="FunctionTok"/>
        </w:rPr>
        <w:t xml:space="preserve">densityplot</w:t>
      </w:r>
      <w:r>
        <w:rPr>
          <w:rStyle w:val="NormalTok"/>
        </w:rPr>
        <w:t xml:space="preserve">(IE_imp)[</w:t>
      </w:r>
      <w:r>
        <w:rPr>
          <w:rStyle w:val="DecValTok"/>
        </w:rPr>
        <w:t xml:space="preserve">4</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finalreport_files/figure-docx/unnamed-chunk-1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(IE_imp)[</w:t>
      </w:r>
      <w:r>
        <w:rPr>
          <w:rStyle w:val="DecValTok"/>
        </w:rPr>
        <w:t xml:space="preserve">8</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report_files/figure-docx/unnamed-chunk-18-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IE_imp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572.5</w:t>
      </w:r>
    </w:p>
    <w:p>
      <w:pPr>
        <w:pStyle w:val="SourceCode"/>
      </w:pPr>
      <w:r>
        <w:rPr>
          <w:rStyle w:val="CommentTok"/>
        </w:rPr>
        <w:t xml:space="preserve"># Checking convergence for Hungary</w:t>
      </w:r>
      <w:r>
        <w:br/>
      </w:r>
      <w:r>
        <w:rPr>
          <w:rStyle w:val="FunctionTok"/>
        </w:rPr>
        <w:t xml:space="preserve">plot</w:t>
      </w:r>
      <w:r>
        <w:rPr>
          <w:rStyle w:val="NormalTok"/>
        </w:rPr>
        <w:t xml:space="preserve">(HU_imp)</w:t>
      </w:r>
    </w:p>
    <w:p>
      <w:pPr>
        <w:pStyle w:val="SourceCode"/>
      </w:pPr>
      <w:r>
        <w:rPr>
          <w:rStyle w:val="FunctionTok"/>
        </w:rPr>
        <w:t xml:space="preserve">densityplot</w:t>
      </w:r>
      <w:r>
        <w:rPr>
          <w:rStyle w:val="NormalTok"/>
        </w:rPr>
        <w:t xml:space="preserve">(HU_imp)[</w:t>
      </w:r>
      <w:r>
        <w:rPr>
          <w:rStyle w:val="DecValTok"/>
        </w:rPr>
        <w:t xml:space="preserve">4</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report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(HU_imp)[</w:t>
      </w:r>
      <w:r>
        <w:rPr>
          <w:rStyle w:val="DecValTok"/>
        </w:rPr>
        <w:t xml:space="preserve">8</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finalreport_files/figure-docx/unnamed-chunk-20-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HU_imp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214500</w:t>
      </w:r>
    </w:p>
    <w:p>
      <w:pPr>
        <w:pStyle w:val="SourceCode"/>
      </w:pPr>
      <w:r>
        <w:rPr>
          <w:rStyle w:val="CommentTok"/>
        </w:rPr>
        <w:t xml:space="preserve"># Checking convergence for Austria</w:t>
      </w:r>
      <w:r>
        <w:br/>
      </w:r>
      <w:r>
        <w:rPr>
          <w:rStyle w:val="FunctionTok"/>
        </w:rPr>
        <w:t xml:space="preserve">plot</w:t>
      </w:r>
      <w:r>
        <w:rPr>
          <w:rStyle w:val="NormalTok"/>
        </w:rPr>
        <w:t xml:space="preserve">(AT_imp)</w:t>
      </w:r>
    </w:p>
    <w:p>
      <w:pPr>
        <w:pStyle w:val="SourceCode"/>
      </w:pPr>
      <w:r>
        <w:rPr>
          <w:rStyle w:val="FunctionTok"/>
        </w:rPr>
        <w:t xml:space="preserve">densityplot</w:t>
      </w:r>
      <w:r>
        <w:rPr>
          <w:rStyle w:val="NormalTok"/>
        </w:rPr>
        <w:t xml:space="preserve">(AT_imp)[</w:t>
      </w:r>
      <w:r>
        <w:rPr>
          <w:rStyle w:val="DecValTok"/>
        </w:rPr>
        <w:t xml:space="preserve">4</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finalreport_files/figure-docx/unnamed-chunk-2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(AT_imp)[</w:t>
      </w:r>
      <w:r>
        <w:rPr>
          <w:rStyle w:val="DecValTok"/>
        </w:rPr>
        <w:t xml:space="preserve">8</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finalreport_files/figure-docx/unnamed-chunk-22-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AT_imp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34050</w:t>
      </w:r>
    </w:p>
    <w:bookmarkEnd w:id="72"/>
    <w:bookmarkEnd w:id="73"/>
    <w:bookmarkStart w:id="74" w:name="calculate-error"/>
    <w:p>
      <w:pPr>
        <w:pStyle w:val="Heading1"/>
      </w:pPr>
      <w:r>
        <w:t xml:space="preserve">Calculate Error</w:t>
      </w:r>
    </w:p>
    <w:p>
      <w:pPr>
        <w:pStyle w:val="FirstParagraph"/>
      </w:pPr>
      <w:r>
        <w:t xml:space="preserve">In order to calculate the standard error, we use the pool function. After imputing missing data by the mice function, we use with() function to fit the model of interest and then pool the estimates from each model into a single set of estimates and standard errors. For the regression linear function, we use weight as an independent variable and income as the outcome variable.</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(PL_imp,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5864.7552  369.2873 15.881281 636.2954 4.355790e-48</w:t>
      </w:r>
      <w:r>
        <w:br/>
      </w:r>
      <w:r>
        <w:rPr>
          <w:rStyle w:val="VerbatimChar"/>
        </w:rPr>
        <w:t xml:space="preserve">## 2    anweight -592.5019  170.0636 -3.484003 596.9010 5.301644e-04</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(PT_imp,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15302.520  748.2177 20.451963 674.9062 1.034115e-72</w:t>
      </w:r>
      <w:r>
        <w:br/>
      </w:r>
      <w:r>
        <w:rPr>
          <w:rStyle w:val="VerbatimChar"/>
        </w:rPr>
        <w:t xml:space="preserve">## 2    anweight  1379.523  792.5448  1.740625 499.4004 8.236521e-02</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(AT_imp,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30862.08  631.1236  48.90022 1024.521 3.795549e-270</w:t>
      </w:r>
      <w:r>
        <w:br/>
      </w:r>
      <w:r>
        <w:rPr>
          <w:rStyle w:val="VerbatimChar"/>
        </w:rPr>
        <w:t xml:space="preserve">## 2    anweight 21156.60 1616.1593  13.09067  628.514  8.490562e-35</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(HU_imp,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232802.05  9165.539 25.399710 346.5699 4.010471e-81</w:t>
      </w:r>
      <w:r>
        <w:br/>
      </w:r>
      <w:r>
        <w:rPr>
          <w:rStyle w:val="VerbatimChar"/>
        </w:rPr>
        <w:t xml:space="preserve">## 2    anweight -26019.27 18027.460 -1.443313 207.3716 1.504412e-01</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(IE_imp,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510.6636  20.60231 24.786712 481.0136 5.311063e-88</w:t>
      </w:r>
      <w:r>
        <w:br/>
      </w:r>
      <w:r>
        <w:rPr>
          <w:rStyle w:val="VerbatimChar"/>
        </w:rPr>
        <w:t xml:space="preserve">## 2    anweight 1081.3848 111.65880  9.684726 173.2394 5.336448e-18</w:t>
      </w:r>
    </w:p>
    <w:p>
      <w:pPr>
        <w:pStyle w:val="FirstParagraph"/>
      </w:pPr>
      <w:r>
        <w:t xml:space="preserve">From the above results, we can see that the standard error for estimation in Ireland is the smallest and the highest standard error is the estimation in Hungary. The other three countries have almost similar standard errors. It might happen due to the three countries use the same currency.</w:t>
      </w:r>
    </w:p>
    <w:bookmarkEnd w:id="74"/>
    <w:bookmarkStart w:id="75" w:name="conclusion"/>
    <w:p>
      <w:pPr>
        <w:pStyle w:val="Heading1"/>
      </w:pPr>
      <w:r>
        <w:t xml:space="preserve">Conclusion</w:t>
      </w:r>
    </w:p>
    <w:p>
      <w:pPr>
        <w:pStyle w:val="FirstParagraph"/>
      </w:pPr>
      <w:r>
        <w:t xml:space="preserve">The main purpose of this report is to impute missing values for household income from the European Social Survey. We are only interested to do an imputation for five countries. The selection process for the countries is not defined. Household income that will be imputed is from selected countries, which are Austria, Hungary, Ireland, Poland, and Portugal. We have a household income on an ordinal scale, grouped by deciles.</w:t>
      </w:r>
      <w:r>
        <w:t xml:space="preserve"> </w:t>
      </w:r>
      <w:r>
        <w:t xml:space="preserve">There are some methods used to impute missing values for ordinal data. However, we prefer to fix it by using midpoints from each group since by nature the scale of income is continuous. We would like to use the MICE package in R and use the PMM method for imputation. Missing objects in the five countries come from refusal and don’t know the answer, meaning it is not MAR but MNAR. In order to overcome bias then we can use PMM, and we use as many as possible the predictors. We will use ten predictor variables in addition to the use of weights and their interactions. The chosen variables were defined by previous studies.</w:t>
      </w:r>
      <w:r>
        <w:t xml:space="preserve"> </w:t>
      </w:r>
      <w:r>
        <w:t xml:space="preserve">With the maximum iteration of 10, we can see from the plot in the previous section that the imputation process for all countries is convergence. After imputation, the median value of household income for complete data in Portugal, Poland, Ireland, Hungary, and Austria are 13,885; 3,950; 572.5; 214,500; and 34,050 respectively. Referring to the documentation from the ESS, the median income is at the top of the fifth decile (category F). The top of the fifth decile in Portugal, Poland, Ireland, Hungary, and Austria respectively are 15,152; 4,300; 562; 259,000; and 37,100. The error rates from the imputation (difference values from imputation and true value divided by the true value) are around 8% for Poland, Portugal, and Austria, while Hungary has a 17% error rate and Ireland has 1.7%. The error rates are in line with the result of the standard error obtained by using the pool function.</w:t>
      </w:r>
    </w:p>
    <w:bookmarkEnd w:id="75"/>
    <w:bookmarkStart w:id="96" w:name="reference"/>
    <w:p>
      <w:pPr>
        <w:pStyle w:val="Heading1"/>
      </w:pPr>
      <w:r>
        <w:t xml:space="preserve">Reference</w:t>
      </w:r>
    </w:p>
    <w:p>
      <w:pPr>
        <w:pStyle w:val="FirstParagraph"/>
      </w:pPr>
      <w:r>
        <w:t xml:space="preserve">Andridge, R. R., &amp;Little, R.J. (2009). The Use of Sample Weights in Hot Deck Imputation. Journal of Official Statistics, 25(1), 21-36.</w:t>
      </w:r>
      <w:r>
        <w:t xml:space="preserve"> </w:t>
      </w:r>
      <w:hyperlink r:id="rId76">
        <w:r>
          <w:rPr>
            <w:rStyle w:val="Hyperlink"/>
          </w:rPr>
          <w:t xml:space="preserve">https://doi.org/https://www.ncbi.nlm.nih.gov/pmc/articles/PMC3117228/</w:t>
        </w:r>
      </w:hyperlink>
    </w:p>
    <w:p>
      <w:pPr>
        <w:pStyle w:val="BodyText"/>
      </w:pPr>
      <w:r>
        <w:t xml:space="preserve">Balcazar, J. (2019). Marriage and Income: Differences in marital status on outcomes of individual wealth. Preprints.</w:t>
      </w:r>
    </w:p>
    <w:p>
      <w:pPr>
        <w:pStyle w:val="BodyText"/>
      </w:pPr>
      <w:r>
        <w:t xml:space="preserve">Donnelly, M. J., &amp; Pop-Eleches, G. (2018). Income measures in cross-national surveys: problems and solutions. Political Science Research and Methods, 6(2), 355-363.</w:t>
      </w:r>
    </w:p>
    <w:p>
      <w:pPr>
        <w:pStyle w:val="BodyText"/>
      </w:pPr>
      <w:r>
        <w:t xml:space="preserve">Dorch, M. T., &amp; Maaraek, P. (2019). Democratization and the Conditional Dynamics of Income Distribution. American Political Science Review, 113(2), 385–404.</w:t>
      </w:r>
      <w:r>
        <w:t xml:space="preserve"> </w:t>
      </w:r>
      <w:hyperlink r:id="rId77">
        <w:r>
          <w:rPr>
            <w:rStyle w:val="Hyperlink"/>
          </w:rPr>
          <w:t xml:space="preserve">https://doi.org/10.1017/s0003055418000825</w:t>
        </w:r>
      </w:hyperlink>
      <w:r>
        <w:t xml:space="preserve">.</w:t>
      </w:r>
    </w:p>
    <w:p>
      <w:pPr>
        <w:pStyle w:val="BodyText"/>
      </w:pPr>
      <w:r>
        <w:t xml:space="preserve">Erler, N. (2020). Missing Values in Clinical Research: Multiple Imputation, Strategies for Using MICE.</w:t>
      </w:r>
      <w:r>
        <w:t xml:space="preserve"> </w:t>
      </w:r>
      <w:hyperlink r:id="rId78">
        <w:r>
          <w:rPr>
            <w:rStyle w:val="Hyperlink"/>
          </w:rPr>
          <w:t xml:space="preserve">https://nerler.github.io/EP16_Multiple_Imputation/slide/14_strategies.pdf</w:t>
        </w:r>
      </w:hyperlink>
    </w:p>
    <w:p>
      <w:pPr>
        <w:pStyle w:val="BodyText"/>
      </w:pPr>
      <w:r>
        <w:t xml:space="preserve">European Network Against Racism. (2018). Racism &amp; Discrimination in Employment in Europe 2013-2017.</w:t>
      </w:r>
      <w:r>
        <w:t xml:space="preserve"> </w:t>
      </w:r>
      <w:hyperlink r:id="rId79">
        <w:r>
          <w:rPr>
            <w:rStyle w:val="Hyperlink"/>
          </w:rPr>
          <w:t xml:space="preserve">https://ec.europa.eu/migrant-integration/sites/default/files/2018-07/ENAR_Shadowreport_2013_2017.pdf</w:t>
        </w:r>
      </w:hyperlink>
    </w:p>
    <w:p>
      <w:pPr>
        <w:pStyle w:val="BodyText"/>
      </w:pPr>
      <w:r>
        <w:t xml:space="preserve">Esposito, L., &amp; Theuerkauf, U. G. (2021). Economic Well-being and Self Placements on a Left-Right Scale: Evidence from Undergraduate Students in Seven Countries. Journal of Political Ideologies.</w:t>
      </w:r>
      <w:r>
        <w:t xml:space="preserve"> </w:t>
      </w:r>
      <w:hyperlink r:id="rId80">
        <w:r>
          <w:rPr>
            <w:rStyle w:val="Hyperlink"/>
          </w:rPr>
          <w:t xml:space="preserve">https://doi.org/10.1080/13569317.2021.2003974</w:t>
        </w:r>
      </w:hyperlink>
    </w:p>
    <w:p>
      <w:pPr>
        <w:pStyle w:val="BodyText"/>
      </w:pPr>
      <w:r>
        <w:t xml:space="preserve">Halanych, J. H., Safford, M. M., Shikany, J. M., Cuffee, Y., Person, S. D., Scarinci, I. C., Kiefe, C. I., &amp; Allison, J. J. (2011). The Association Between Income, Education, and Experiences of Discrimination in Older African American and European American Patients. Ethnicity &amp; disease, 21(2), 223.</w:t>
      </w:r>
      <w:r>
        <w:t xml:space="preserve"> </w:t>
      </w:r>
      <w:hyperlink r:id="rId81">
        <w:r>
          <w:rPr>
            <w:rStyle w:val="Hyperlink"/>
          </w:rPr>
          <w:t xml:space="preserve">https://doi.org/https://www.ncbi.nlm.nih.gov/pmc/articles/PMC6095474/</w:t>
        </w:r>
      </w:hyperlink>
    </w:p>
    <w:p>
      <w:pPr>
        <w:pStyle w:val="BodyText"/>
      </w:pPr>
      <w:r>
        <w:t xml:space="preserve">International Monetary Fund. (2015). Infographic: Gender and Income Inequality.</w:t>
      </w:r>
      <w:r>
        <w:t xml:space="preserve"> </w:t>
      </w:r>
      <w:hyperlink r:id="rId82">
        <w:r>
          <w:rPr>
            <w:rStyle w:val="Hyperlink"/>
          </w:rPr>
          <w:t xml:space="preserve">https://www.imf.org/external/pubs/ft/sdn/2015/sdn1520_info.pdf</w:t>
        </w:r>
      </w:hyperlink>
    </w:p>
    <w:p>
      <w:pPr>
        <w:pStyle w:val="BodyText"/>
      </w:pPr>
      <w:r>
        <w:t xml:space="preserve">Kim J. K., Michael Brick J., Fuller W. A., &amp; Kalton G. (2006), On the Bias of the Multiple-Imputation Variance Estimator in Survey Sampling. Journal of the Royal Statistical Society: Series B (Statistical Methodology), 68(3), 509–521.</w:t>
      </w:r>
      <w:r>
        <w:t xml:space="preserve"> </w:t>
      </w:r>
      <w:hyperlink r:id="rId83">
        <w:r>
          <w:rPr>
            <w:rStyle w:val="Hyperlink"/>
          </w:rPr>
          <w:t xml:space="preserve">https://doi.org/10.1111/j.1467-9868.2006.00546.x</w:t>
        </w:r>
      </w:hyperlink>
    </w:p>
    <w:p>
      <w:pPr>
        <w:pStyle w:val="BodyText"/>
      </w:pPr>
      <w:r>
        <w:t xml:space="preserve">Kolk, M. (2022). The Relationship Between Life-course Accumulated Income and Childbearing of Swedish Men and Women Born 1940–70. Population Studies.</w:t>
      </w:r>
      <w:r>
        <w:t xml:space="preserve"> </w:t>
      </w:r>
      <w:hyperlink r:id="rId84">
        <w:r>
          <w:rPr>
            <w:rStyle w:val="Hyperlink"/>
          </w:rPr>
          <w:t xml:space="preserve">https://doi.org/10.1080/00324728.2022.2134578</w:t>
        </w:r>
      </w:hyperlink>
    </w:p>
    <w:p>
      <w:pPr>
        <w:pStyle w:val="BodyText"/>
      </w:pPr>
      <w:r>
        <w:t xml:space="preserve">Landrum, M. B., &amp; Becker, M. P. (2001). A Multiple Imputation Strategy for Incomplete Longitudinal Data. Statistics in Medicine, 20(17–18), 2741–2760.</w:t>
      </w:r>
      <w:r>
        <w:t xml:space="preserve"> </w:t>
      </w:r>
      <w:hyperlink r:id="rId85">
        <w:r>
          <w:rPr>
            <w:rStyle w:val="Hyperlink"/>
          </w:rPr>
          <w:t xml:space="preserve">https://doi.org/10.1002/sim.740</w:t>
        </w:r>
      </w:hyperlink>
      <w:r>
        <w:t xml:space="preserve">.</w:t>
      </w:r>
    </w:p>
    <w:p>
      <w:pPr>
        <w:pStyle w:val="BodyText"/>
      </w:pPr>
      <w:r>
        <w:t xml:space="preserve">Plumpton, C. O., Morris, T., Hughes, D. A., &amp; White, I. R. (2016). Multiple Imputation of Multiple Multi-item Scales When a Full Imputation Model is Infeasible. BMC Research Notes, 9(1).</w:t>
      </w:r>
      <w:r>
        <w:t xml:space="preserve"> </w:t>
      </w:r>
      <w:hyperlink r:id="rId86">
        <w:r>
          <w:rPr>
            <w:rStyle w:val="Hyperlink"/>
          </w:rPr>
          <w:t xml:space="preserve">https://doi.org/10.1186/s13104-016-1853</w:t>
        </w:r>
      </w:hyperlink>
      <w:r>
        <w:t xml:space="preserve">.</w:t>
      </w:r>
    </w:p>
    <w:p>
      <w:pPr>
        <w:pStyle w:val="BodyText"/>
      </w:pPr>
      <w:r>
        <w:t xml:space="preserve">Quartagno, M., Carpenter, J. R., &amp; Goldstein, H. (2020). Multiple Imputation with Survey Weights: A Multilevel Approach. Journal of Survey Statistics and Methodology, 8(5), 965-989.</w:t>
      </w:r>
      <w:r>
        <w:t xml:space="preserve"> </w:t>
      </w:r>
      <w:hyperlink r:id="rId87">
        <w:r>
          <w:rPr>
            <w:rStyle w:val="Hyperlink"/>
          </w:rPr>
          <w:t xml:space="preserve">https://doi.org/10.1093/jssam/smz036</w:t>
        </w:r>
      </w:hyperlink>
    </w:p>
    <w:p>
      <w:pPr>
        <w:pStyle w:val="BodyText"/>
      </w:pPr>
      <w:r>
        <w:t xml:space="preserve">Quintero, M., &amp; Leboulluec, A. (2018). Missing Data Imputation for Ordinal Data. International Journal of Computer Applications, 181(5). 10-16.</w:t>
      </w:r>
      <w:r>
        <w:t xml:space="preserve"> </w:t>
      </w:r>
      <w:hyperlink r:id="rId88">
        <w:r>
          <w:rPr>
            <w:rStyle w:val="Hyperlink"/>
          </w:rPr>
          <w:t xml:space="preserve">https://doi.org/10.5120/ijca2018917522</w:t>
        </w:r>
      </w:hyperlink>
      <w:r>
        <w:t xml:space="preserve">.</w:t>
      </w:r>
    </w:p>
    <w:p>
      <w:pPr>
        <w:pStyle w:val="BodyText"/>
      </w:pPr>
      <w:r>
        <w:t xml:space="preserve">Ryder, A. B., Wilkinson, A. V., McHugh, M. K., Saunders, K., Kachroo, S., D’Amelio, A., Jr, Bondy, M., &amp; Etzel, C. J. (2011). The Advantage of Imputation of Missing Income Data to Evaluate the Association Between Income and Self-reported Health Status (SRH) in a Mexican American Cohort Study. Journal of Immigrant and Minority Health, 13(6), 1099–1109.</w:t>
      </w:r>
      <w:r>
        <w:t xml:space="preserve"> </w:t>
      </w:r>
      <w:hyperlink r:id="rId89">
        <w:r>
          <w:rPr>
            <w:rStyle w:val="Hyperlink"/>
          </w:rPr>
          <w:t xml:space="preserve">https://doi.org/10.1007/s10903-010-9415-8</w:t>
        </w:r>
      </w:hyperlink>
      <w:r>
        <w:t xml:space="preserve">.</w:t>
      </w:r>
    </w:p>
    <w:p>
      <w:pPr>
        <w:pStyle w:val="BodyText"/>
      </w:pPr>
      <w:r>
        <w:t xml:space="preserve">Seaman S. R. , White I. R., Copas A. J., &amp; Li L. (2012). Combining Multiple Imputation and Inverse-Probability Weighting. Biometrics, 68(1), 129–137.</w:t>
      </w:r>
      <w:r>
        <w:t xml:space="preserve"> </w:t>
      </w:r>
      <w:hyperlink r:id="rId90">
        <w:r>
          <w:rPr>
            <w:rStyle w:val="Hyperlink"/>
          </w:rPr>
          <w:t xml:space="preserve">https://doi.org/10.1111/j.1541-0420.2011.01666.x</w:t>
        </w:r>
      </w:hyperlink>
    </w:p>
    <w:p>
      <w:pPr>
        <w:pStyle w:val="BodyText"/>
      </w:pPr>
      <w:r>
        <w:t xml:space="preserve">Sintonen, S., Tarkiainen, A., Cadogan, J. W., Kuivalainen, O., Lee, N., &amp; Sundqvist, S. (2016). Cross-country Cross-survey Design in International Marketing Research. International Marketing Review, 33(3), 454–482.</w:t>
      </w:r>
      <w:r>
        <w:t xml:space="preserve"> </w:t>
      </w:r>
      <w:hyperlink r:id="rId91">
        <w:r>
          <w:rPr>
            <w:rStyle w:val="Hyperlink"/>
          </w:rPr>
          <w:t xml:space="preserve">https://doi.org/10.1108/imr-11-2014-0348</w:t>
        </w:r>
      </w:hyperlink>
      <w:r>
        <w:t xml:space="preserve">.</w:t>
      </w:r>
    </w:p>
    <w:p>
      <w:pPr>
        <w:pStyle w:val="BodyText"/>
      </w:pPr>
      <w:r>
        <w:t xml:space="preserve">Van Buuren, S. (2018). Flexible Imputation of Missing Data. Chapman&amp;Hall/ CRC Interdisciplinary Statistics. Taylor and Francis.</w:t>
      </w:r>
      <w:r>
        <w:t xml:space="preserve"> </w:t>
      </w:r>
      <w:hyperlink r:id="rId92">
        <w:r>
          <w:rPr>
            <w:rStyle w:val="Hyperlink"/>
          </w:rPr>
          <w:t xml:space="preserve">https://stefvanbuuren.name/fimd/sec-pmm.html</w:t>
        </w:r>
      </w:hyperlink>
    </w:p>
    <w:p>
      <w:pPr>
        <w:pStyle w:val="BodyText"/>
      </w:pPr>
      <w:r>
        <w:t xml:space="preserve">Weber, M., &amp; Denk, M. (2011). Avoid Filling Swiss Cheese with Whipped Cream: Imputation Techniques and Evaluation Procedures for Cross-Country Time Series. IMF Working Papers, 11(151), 1.</w:t>
      </w:r>
      <w:r>
        <w:t xml:space="preserve"> </w:t>
      </w:r>
      <w:hyperlink r:id="rId93">
        <w:r>
          <w:rPr>
            <w:rStyle w:val="Hyperlink"/>
          </w:rPr>
          <w:t xml:space="preserve">https://doi.org/10.5089/9781455270507.001</w:t>
        </w:r>
      </w:hyperlink>
      <w:r>
        <w:t xml:space="preserve">.</w:t>
      </w:r>
    </w:p>
    <w:p>
      <w:pPr>
        <w:pStyle w:val="BodyText"/>
      </w:pPr>
      <w:r>
        <w:t xml:space="preserve">Wędrowska, E., &amp; Muszyńska, J. (2022). Role of Age and Education as the Determinant of Income Inequality in Poland: Decomposition of the Mean Logarithmic Deviation. Entropy, 24(6).</w:t>
      </w:r>
      <w:r>
        <w:t xml:space="preserve"> </w:t>
      </w:r>
      <w:hyperlink r:id="rId94">
        <w:r>
          <w:rPr>
            <w:rStyle w:val="Hyperlink"/>
          </w:rPr>
          <w:t xml:space="preserve">https://doi.org/10.3390/e24060773</w:t>
        </w:r>
      </w:hyperlink>
      <w:r>
        <w:t xml:space="preserve">.</w:t>
      </w:r>
    </w:p>
    <w:p>
      <w:pPr>
        <w:pStyle w:val="BodyText"/>
      </w:pPr>
      <w:r>
        <w:t xml:space="preserve">Woofter, Jr., T. J. (1944). Size of Family in Relation to Family Income and Age of Family Head. American Sociological Review, 9(6), 678–684.</w:t>
      </w:r>
      <w:r>
        <w:t xml:space="preserve"> </w:t>
      </w:r>
      <w:hyperlink r:id="rId95">
        <w:r>
          <w:rPr>
            <w:rStyle w:val="Hyperlink"/>
          </w:rPr>
          <w:t xml:space="preserve">https://doi.org/10.2307/2085132</w:t>
        </w:r>
      </w:hyperlink>
      <w:r>
        <w:t xml:space="preserve">.</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85" Target="https://doi.org/10.1002/sim.740" TargetMode="External" /><Relationship Type="http://schemas.openxmlformats.org/officeDocument/2006/relationships/hyperlink" Id="rId89" Target="https://doi.org/10.1007/s10903-010-9415-8" TargetMode="External" /><Relationship Type="http://schemas.openxmlformats.org/officeDocument/2006/relationships/hyperlink" Id="rId77" Target="https://doi.org/10.1017/s0003055418000825" TargetMode="External" /><Relationship Type="http://schemas.openxmlformats.org/officeDocument/2006/relationships/hyperlink" Id="rId84" Target="https://doi.org/10.1080/00324728.2022.2134578" TargetMode="External" /><Relationship Type="http://schemas.openxmlformats.org/officeDocument/2006/relationships/hyperlink" Id="rId80" Target="https://doi.org/10.1080/13569317.2021.2003974" TargetMode="External" /><Relationship Type="http://schemas.openxmlformats.org/officeDocument/2006/relationships/hyperlink" Id="rId87" Target="https://doi.org/10.1093/jssam/smz036" TargetMode="External" /><Relationship Type="http://schemas.openxmlformats.org/officeDocument/2006/relationships/hyperlink" Id="rId91" Target="https://doi.org/10.1108/imr-11-2014-0348" TargetMode="External" /><Relationship Type="http://schemas.openxmlformats.org/officeDocument/2006/relationships/hyperlink" Id="rId83" Target="https://doi.org/10.1111/j.1467-9868.2006.00546.x" TargetMode="External" /><Relationship Type="http://schemas.openxmlformats.org/officeDocument/2006/relationships/hyperlink" Id="rId90" Target="https://doi.org/10.1111/j.1541-0420.2011.01666.x" TargetMode="External" /><Relationship Type="http://schemas.openxmlformats.org/officeDocument/2006/relationships/hyperlink" Id="rId86" Target="https://doi.org/10.1186/s13104-016-1853" TargetMode="External" /><Relationship Type="http://schemas.openxmlformats.org/officeDocument/2006/relationships/hyperlink" Id="rId95" Target="https://doi.org/10.2307/2085132" TargetMode="External" /><Relationship Type="http://schemas.openxmlformats.org/officeDocument/2006/relationships/hyperlink" Id="rId94" Target="https://doi.org/10.3390/e24060773" TargetMode="External" /><Relationship Type="http://schemas.openxmlformats.org/officeDocument/2006/relationships/hyperlink" Id="rId93" Target="https://doi.org/10.5089/9781455270507.001" TargetMode="External" /><Relationship Type="http://schemas.openxmlformats.org/officeDocument/2006/relationships/hyperlink" Id="rId88" Target="https://doi.org/10.5120/ijca2018917522" TargetMode="External" /><Relationship Type="http://schemas.openxmlformats.org/officeDocument/2006/relationships/hyperlink" Id="rId76" Target="https://doi.org/https://www.ncbi.nlm.nih.gov/pmc/articles/PMC3117228/" TargetMode="External" /><Relationship Type="http://schemas.openxmlformats.org/officeDocument/2006/relationships/hyperlink" Id="rId81" Target="https://doi.org/https://www.ncbi.nlm.nih.gov/pmc/articles/PMC6095474/" TargetMode="External" /><Relationship Type="http://schemas.openxmlformats.org/officeDocument/2006/relationships/hyperlink" Id="rId79" Target="https://ec.europa.eu/migrant-integration/sites/default/files/2018-07/ENAR_Shadowreport_2013_2017.pdf" TargetMode="External" /><Relationship Type="http://schemas.openxmlformats.org/officeDocument/2006/relationships/hyperlink" Id="rId78" Target="https://nerler.github.io/EP16_Multiple_Imputation/slide/14_strategies.pdf" TargetMode="External" /><Relationship Type="http://schemas.openxmlformats.org/officeDocument/2006/relationships/hyperlink" Id="rId92" Target="https://stefvanbuuren.name/fimd/sec-pmm.html" TargetMode="External" /><Relationship Type="http://schemas.openxmlformats.org/officeDocument/2006/relationships/hyperlink" Id="rId82" Target="https://www.imf.org/external/pubs/ft/sdn/2015/sdn1520_info.pdf"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2/sim.740" TargetMode="External" /><Relationship Type="http://schemas.openxmlformats.org/officeDocument/2006/relationships/hyperlink" Id="rId89" Target="https://doi.org/10.1007/s10903-010-9415-8" TargetMode="External" /><Relationship Type="http://schemas.openxmlformats.org/officeDocument/2006/relationships/hyperlink" Id="rId77" Target="https://doi.org/10.1017/s0003055418000825" TargetMode="External" /><Relationship Type="http://schemas.openxmlformats.org/officeDocument/2006/relationships/hyperlink" Id="rId84" Target="https://doi.org/10.1080/00324728.2022.2134578" TargetMode="External" /><Relationship Type="http://schemas.openxmlformats.org/officeDocument/2006/relationships/hyperlink" Id="rId80" Target="https://doi.org/10.1080/13569317.2021.2003974" TargetMode="External" /><Relationship Type="http://schemas.openxmlformats.org/officeDocument/2006/relationships/hyperlink" Id="rId87" Target="https://doi.org/10.1093/jssam/smz036" TargetMode="External" /><Relationship Type="http://schemas.openxmlformats.org/officeDocument/2006/relationships/hyperlink" Id="rId91" Target="https://doi.org/10.1108/imr-11-2014-0348" TargetMode="External" /><Relationship Type="http://schemas.openxmlformats.org/officeDocument/2006/relationships/hyperlink" Id="rId83" Target="https://doi.org/10.1111/j.1467-9868.2006.00546.x" TargetMode="External" /><Relationship Type="http://schemas.openxmlformats.org/officeDocument/2006/relationships/hyperlink" Id="rId90" Target="https://doi.org/10.1111/j.1541-0420.2011.01666.x" TargetMode="External" /><Relationship Type="http://schemas.openxmlformats.org/officeDocument/2006/relationships/hyperlink" Id="rId86" Target="https://doi.org/10.1186/s13104-016-1853" TargetMode="External" /><Relationship Type="http://schemas.openxmlformats.org/officeDocument/2006/relationships/hyperlink" Id="rId95" Target="https://doi.org/10.2307/2085132" TargetMode="External" /><Relationship Type="http://schemas.openxmlformats.org/officeDocument/2006/relationships/hyperlink" Id="rId94" Target="https://doi.org/10.3390/e24060773" TargetMode="External" /><Relationship Type="http://schemas.openxmlformats.org/officeDocument/2006/relationships/hyperlink" Id="rId93" Target="https://doi.org/10.5089/9781455270507.001" TargetMode="External" /><Relationship Type="http://schemas.openxmlformats.org/officeDocument/2006/relationships/hyperlink" Id="rId88" Target="https://doi.org/10.5120/ijca2018917522" TargetMode="External" /><Relationship Type="http://schemas.openxmlformats.org/officeDocument/2006/relationships/hyperlink" Id="rId76" Target="https://doi.org/https://www.ncbi.nlm.nih.gov/pmc/articles/PMC3117228/" TargetMode="External" /><Relationship Type="http://schemas.openxmlformats.org/officeDocument/2006/relationships/hyperlink" Id="rId81" Target="https://doi.org/https://www.ncbi.nlm.nih.gov/pmc/articles/PMC6095474/" TargetMode="External" /><Relationship Type="http://schemas.openxmlformats.org/officeDocument/2006/relationships/hyperlink" Id="rId79" Target="https://ec.europa.eu/migrant-integration/sites/default/files/2018-07/ENAR_Shadowreport_2013_2017.pdf" TargetMode="External" /><Relationship Type="http://schemas.openxmlformats.org/officeDocument/2006/relationships/hyperlink" Id="rId78" Target="https://nerler.github.io/EP16_Multiple_Imputation/slide/14_strategies.pdf" TargetMode="External" /><Relationship Type="http://schemas.openxmlformats.org/officeDocument/2006/relationships/hyperlink" Id="rId92" Target="https://stefvanbuuren.name/fimd/sec-pmm.html" TargetMode="External" /><Relationship Type="http://schemas.openxmlformats.org/officeDocument/2006/relationships/hyperlink" Id="rId82" Target="https://www.imf.org/external/pubs/ft/sdn/2015/sdn1520_inf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Values in the ESS</dc:title>
  <dc:creator/>
  <cp:keywords/>
  <dcterms:created xsi:type="dcterms:W3CDTF">2023-01-13T09:56:46Z</dcterms:created>
  <dcterms:modified xsi:type="dcterms:W3CDTF">2023-01-13T09:56:46Z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