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36"/>
        </w:rPr>
        <w:t>INTERNSHIP REMEDIATION ADDENDUM: QUANTITATIVE DATA QUALITY AUDIT &amp; RISK MANAGEMENT ENGINEERING</w:t>
      </w:r>
    </w:p>
    <w:p>
      <w:pPr>
        <w:spacing w:after="320"/>
      </w:pPr>
      <w:r>
        <w:rPr>
          <w:rFonts w:ascii="Arial" w:hAnsi="Arial"/>
          <w:i/>
          <w:color w:val="2C3E50"/>
          <w:sz w:val="22"/>
        </w:rPr>
        <w:t>Resolving Instructor Critique on Week 1 Submission with Worked Numerical Proofs, Empirical Inconsistency Audits, and Formal Risk Priority Number (RPN) Modeling</w:t>
      </w:r>
    </w:p>
    <w:tbl>
      <w:tblPr>
        <w:tblW w:type="auto" w:w="0"/>
        <w:jc w:val="center"/>
        <w:tblLook w:firstColumn="1" w:firstRow="1" w:lastColumn="0" w:lastRow="0" w:noHBand="0" w:noVBand="1" w:val="04A0"/>
      </w:tblPr>
      <w:tblGrid>
        <w:gridCol w:w="4680"/>
        <w:gridCol w:w="4680"/>
      </w:tblGrid>
      <w:tr>
        <w:tc>
          <w:tcPr>
            <w:tcW w:type="dxa" w:w="3168"/>
            <w:shd w:val="clear" w:color="auto" w:fill="F2F4F4"/>
            <w:tcMar>
              <w:top w:w="60" w:type="dxa"/>
              <w:bottom w:w="60" w:type="dxa"/>
              <w:left w:w="100" w:type="dxa"/>
              <w:right w:w="100" w:type="dxa"/>
            </w:tcMar>
          </w:tcPr>
          <w:p>
            <w:r>
              <w:rPr>
                <w:b/>
                <w:sz w:val="19"/>
              </w:rPr>
              <w:t>Student Name</w:t>
            </w:r>
          </w:p>
        </w:tc>
        <w:tc>
          <w:tcPr>
            <w:tcW w:type="dxa" w:w="6192"/>
            <w:tcMar>
              <w:top w:w="60" w:type="dxa"/>
              <w:bottom w:w="60" w:type="dxa"/>
              <w:left w:w="100" w:type="dxa"/>
              <w:right w:w="100" w:type="dxa"/>
            </w:tcMar>
          </w:tcPr>
          <w:p>
            <w:r>
              <w:rPr>
                <w:sz w:val="19"/>
              </w:rPr>
              <w:t>Akshita</w:t>
            </w:r>
          </w:p>
        </w:tc>
      </w:tr>
      <w:tr>
        <w:tc>
          <w:tcPr>
            <w:tcW w:type="dxa" w:w="3168"/>
            <w:shd w:val="clear" w:color="auto" w:fill="F2F4F4"/>
            <w:tcMar>
              <w:top w:w="60" w:type="dxa"/>
              <w:bottom w:w="60" w:type="dxa"/>
              <w:left w:w="100" w:type="dxa"/>
              <w:right w:w="100" w:type="dxa"/>
            </w:tcMar>
          </w:tcPr>
          <w:p>
            <w:r>
              <w:rPr>
                <w:b/>
                <w:sz w:val="19"/>
              </w:rPr>
              <w:t>Programme / Degree</w:t>
            </w:r>
          </w:p>
        </w:tc>
        <w:tc>
          <w:tcPr>
            <w:tcW w:type="dxa" w:w="6192"/>
            <w:tcMar>
              <w:top w:w="60" w:type="dxa"/>
              <w:bottom w:w="60" w:type="dxa"/>
              <w:left w:w="100" w:type="dxa"/>
              <w:right w:w="100" w:type="dxa"/>
            </w:tcMar>
          </w:tcPr>
          <w:p>
            <w:r>
              <w:rPr>
                <w:sz w:val="19"/>
              </w:rPr>
              <w:t>B.Tech Computer Science and Engineering (Amritsar Group of Colleges)</w:t>
            </w:r>
          </w:p>
        </w:tc>
      </w:tr>
      <w:tr>
        <w:tc>
          <w:tcPr>
            <w:tcW w:type="dxa" w:w="3168"/>
            <w:shd w:val="clear" w:color="auto" w:fill="F2F4F4"/>
            <w:tcMar>
              <w:top w:w="60" w:type="dxa"/>
              <w:bottom w:w="60" w:type="dxa"/>
              <w:left w:w="100" w:type="dxa"/>
              <w:right w:w="100" w:type="dxa"/>
            </w:tcMar>
          </w:tcPr>
          <w:p>
            <w:r>
              <w:rPr>
                <w:b/>
                <w:sz w:val="19"/>
              </w:rPr>
              <w:t>Project Module</w:t>
            </w:r>
          </w:p>
        </w:tc>
        <w:tc>
          <w:tcPr>
            <w:tcW w:type="dxa" w:w="6192"/>
            <w:tcMar>
              <w:top w:w="60" w:type="dxa"/>
              <w:bottom w:w="60" w:type="dxa"/>
              <w:left w:w="100" w:type="dxa"/>
              <w:right w:w="100" w:type="dxa"/>
            </w:tcMar>
          </w:tcPr>
          <w:p>
            <w:r>
              <w:rPr>
                <w:sz w:val="19"/>
              </w:rPr>
              <w:t>Yuva Internship - Tourism Data Science &amp; Analytics (Week 1 Addendum)</w:t>
            </w:r>
          </w:p>
        </w:tc>
      </w:tr>
      <w:tr>
        <w:tc>
          <w:tcPr>
            <w:tcW w:type="dxa" w:w="3168"/>
            <w:shd w:val="clear" w:color="auto" w:fill="F2F4F4"/>
            <w:tcMar>
              <w:top w:w="60" w:type="dxa"/>
              <w:bottom w:w="60" w:type="dxa"/>
              <w:left w:w="100" w:type="dxa"/>
              <w:right w:w="100" w:type="dxa"/>
            </w:tcMar>
          </w:tcPr>
          <w:p>
            <w:r>
              <w:rPr>
                <w:b/>
                <w:sz w:val="19"/>
              </w:rPr>
              <w:t>Instructor Feedback Addressed</w:t>
            </w:r>
          </w:p>
        </w:tc>
        <w:tc>
          <w:tcPr>
            <w:tcW w:type="dxa" w:w="6192"/>
            <w:tcMar>
              <w:top w:w="60" w:type="dxa"/>
              <w:bottom w:w="60" w:type="dxa"/>
              <w:left w:w="100" w:type="dxa"/>
              <w:right w:w="100" w:type="dxa"/>
            </w:tcMar>
          </w:tcPr>
          <w:p>
            <w:r>
              <w:rPr>
                <w:sz w:val="19"/>
              </w:rPr>
              <w:t>Score: 40.2/100 | Mandate: Add concrete numbers, worked examples, and deep analysis to Sections 14 &amp; 15</w:t>
            </w:r>
          </w:p>
        </w:tc>
      </w:tr>
    </w:tbl>
    <w:p>
      <w:pPr>
        <w:spacing w:after="240"/>
      </w:pPr>
    </w:p>
    <w:p>
      <w:pPr>
        <w:pStyle w:val="Heading1"/>
        <w:spacing w:before="280" w:after="120"/>
      </w:pPr>
      <w:r>
        <w:rPr>
          <w:rFonts w:ascii="Arial" w:hAnsi="Arial"/>
          <w:color w:val="1B365D"/>
        </w:rPr>
        <w:t>1. Executive Response to Instructor Feedback</w:t>
      </w:r>
    </w:p>
    <w:p>
      <w:pPr>
        <w:spacing w:after="160" w:line="276" w:lineRule="auto"/>
      </w:pPr>
      <w:r>
        <w:t xml:space="preserve">This addendum directly resolves the core weakness identified by the evaluator in the initial Week 1 report: </w:t>
      </w:r>
      <w:r>
        <w:rPr>
          <w:b/>
          <w:i/>
        </w:rPr>
        <w:t>"The report is well-structured and covers most of the required deliverables, but it lacks specific data, worked examples, and original analysis. The sections on data quality issues and risk mitigation are shallow and generic. Improve by providing concrete numbers, detailed examples, and more thorough analysis."</w:t>
        <w:br/>
      </w:r>
      <w:r>
        <w:t>While the initial submission accurately mapped the table architecture of Tourism_raw_data.pdf, the data quality analysis (Section 14) and project risk mitigation (Section 15) lacked empirical calculations and formal mathematical modeling. This document provides a comprehensive, worked mathematical audit of the raw data, proving the exact numerical consequences of data quality failures, quantifying accounting discrepancies in UN Tourism figures, and establishing an industry-grade Risk Priority Number (RPN) matrix backed by automated Python validation protocols.</w:t>
      </w:r>
    </w:p>
    <w:p>
      <w:pPr>
        <w:pStyle w:val="Heading1"/>
        <w:spacing w:before="320" w:after="120"/>
      </w:pPr>
      <w:r>
        <w:rPr>
          <w:rFonts w:ascii="Arial" w:hAnsi="Arial"/>
          <w:color w:val="1B365D"/>
        </w:rPr>
        <w:t>2. Upgraded Section 14: Comprehensive Quantitative Data Quality Audit</w:t>
      </w:r>
    </w:p>
    <w:p>
      <w:pPr>
        <w:pStyle w:val="Heading2"/>
      </w:pPr>
      <w:r>
        <w:rPr>
          <w:rFonts w:ascii="Arial" w:hAnsi="Arial"/>
          <w:color w:val="2C3E50"/>
        </w:rPr>
        <w:t>14.1 Definition Divergence Trap: Quantifying the Distortion of FTAs vs NRIs vs ITAs</w:t>
      </w:r>
    </w:p>
    <w:p>
      <w:pPr>
        <w:spacing w:line="276" w:lineRule="auto"/>
      </w:pPr>
      <w:r>
        <w:t>In tourism analytics, terminology conflation is the single largest source of policy error. The Ministry of Tourism records three distinct inbound metrics: Foreign Tourist Arrivals (FTAs, foreign passport holders), Non-Resident Indians (NRIs, Indian passport holders residing overseas), and International Tourist Arrivals (ITAs = FTAs + NRIs). Table A1 presents the empirical 10-year series from PDF Table 2.1.1.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Pr>
          <w:p>
            <w:r>
              <w:rPr>
                <w:b/>
                <w:color w:val="FFFFFF"/>
                <w:sz w:val="18"/>
              </w:rPr>
              <w:t>Year</w:t>
            </w:r>
          </w:p>
        </w:tc>
        <w:tc>
          <w:tcPr>
            <w:tcW w:type="dxa" w:w="1872"/>
            <w:shd w:val="clear" w:color="auto" w:fill="1B365D"/>
          </w:tcPr>
          <w:p>
            <w:r>
              <w:rPr>
                <w:b/>
                <w:color w:val="FFFFFF"/>
                <w:sz w:val="18"/>
              </w:rPr>
              <w:t>FTAs (Million)</w:t>
            </w:r>
          </w:p>
        </w:tc>
        <w:tc>
          <w:tcPr>
            <w:tcW w:type="dxa" w:w="1872"/>
            <w:shd w:val="clear" w:color="auto" w:fill="1B365D"/>
          </w:tcPr>
          <w:p>
            <w:r>
              <w:rPr>
                <w:b/>
                <w:color w:val="FFFFFF"/>
                <w:sz w:val="18"/>
              </w:rPr>
              <w:t>NRIs (Million)</w:t>
            </w:r>
          </w:p>
        </w:tc>
        <w:tc>
          <w:tcPr>
            <w:tcW w:type="dxa" w:w="1872"/>
            <w:shd w:val="clear" w:color="auto" w:fill="1B365D"/>
          </w:tcPr>
          <w:p>
            <w:r>
              <w:rPr>
                <w:b/>
                <w:color w:val="FFFFFF"/>
                <w:sz w:val="18"/>
              </w:rPr>
              <w:t>ITAs (Million)</w:t>
            </w:r>
          </w:p>
        </w:tc>
        <w:tc>
          <w:tcPr>
            <w:tcW w:type="dxa" w:w="1872"/>
            <w:shd w:val="clear" w:color="auto" w:fill="1B365D"/>
          </w:tcPr>
          <w:p>
            <w:r>
              <w:rPr>
                <w:b/>
                <w:color w:val="FFFFFF"/>
                <w:sz w:val="18"/>
              </w:rPr>
              <w:t>NRI Share of ITAs (%)</w:t>
            </w:r>
          </w:p>
        </w:tc>
      </w:tr>
      <w:tr>
        <w:tc>
          <w:tcPr>
            <w:tcW w:type="dxa" w:w="1872"/>
            <w:tcMar>
              <w:top w:w="50" w:type="dxa"/>
              <w:bottom w:w="50" w:type="dxa"/>
              <w:left w:w="80" w:type="dxa"/>
              <w:right w:w="80" w:type="dxa"/>
            </w:tcMar>
          </w:tcPr>
          <w:p>
            <w:r>
              <w:rPr>
                <w:sz w:val="18"/>
              </w:rPr>
              <w:t>2014 (Series Start)</w:t>
            </w:r>
          </w:p>
        </w:tc>
        <w:tc>
          <w:tcPr>
            <w:tcW w:type="dxa" w:w="1872"/>
            <w:tcMar>
              <w:top w:w="50" w:type="dxa"/>
              <w:bottom w:w="50" w:type="dxa"/>
              <w:left w:w="80" w:type="dxa"/>
              <w:right w:w="80" w:type="dxa"/>
            </w:tcMar>
          </w:tcPr>
          <w:p>
            <w:r>
              <w:rPr>
                <w:sz w:val="18"/>
              </w:rPr>
              <w:t>7.68</w:t>
            </w:r>
          </w:p>
        </w:tc>
        <w:tc>
          <w:tcPr>
            <w:tcW w:type="dxa" w:w="1872"/>
            <w:tcMar>
              <w:top w:w="50" w:type="dxa"/>
              <w:bottom w:w="50" w:type="dxa"/>
              <w:left w:w="80" w:type="dxa"/>
              <w:right w:w="80" w:type="dxa"/>
            </w:tcMar>
          </w:tcPr>
          <w:p>
            <w:r>
              <w:rPr>
                <w:sz w:val="18"/>
              </w:rPr>
              <w:t>5.43</w:t>
            </w:r>
          </w:p>
        </w:tc>
        <w:tc>
          <w:tcPr>
            <w:tcW w:type="dxa" w:w="1872"/>
            <w:tcMar>
              <w:top w:w="50" w:type="dxa"/>
              <w:bottom w:w="50" w:type="dxa"/>
              <w:left w:w="80" w:type="dxa"/>
              <w:right w:w="80" w:type="dxa"/>
            </w:tcMar>
          </w:tcPr>
          <w:p>
            <w:r>
              <w:rPr>
                <w:sz w:val="18"/>
              </w:rPr>
              <w:t>13.11</w:t>
            </w:r>
          </w:p>
        </w:tc>
        <w:tc>
          <w:tcPr>
            <w:tcW w:type="dxa" w:w="1872"/>
            <w:tcMar>
              <w:top w:w="50" w:type="dxa"/>
              <w:bottom w:w="50" w:type="dxa"/>
              <w:left w:w="80" w:type="dxa"/>
              <w:right w:w="80" w:type="dxa"/>
            </w:tcMar>
          </w:tcPr>
          <w:p>
            <w:r>
              <w:rPr>
                <w:sz w:val="18"/>
              </w:rPr>
              <w:t>41.43%</w:t>
            </w:r>
          </w:p>
        </w:tc>
      </w:tr>
      <w:tr>
        <w:tc>
          <w:tcPr>
            <w:tcW w:type="dxa" w:w="1872"/>
            <w:tcMar>
              <w:top w:w="50" w:type="dxa"/>
              <w:bottom w:w="50" w:type="dxa"/>
              <w:left w:w="80" w:type="dxa"/>
              <w:right w:w="80" w:type="dxa"/>
            </w:tcMar>
            <w:shd w:val="clear" w:color="auto" w:fill="F8F9F9"/>
          </w:tcPr>
          <w:p>
            <w:r>
              <w:rPr>
                <w:sz w:val="18"/>
              </w:rPr>
              <w:t>2019 (Pre-Pandemic)</w:t>
            </w:r>
          </w:p>
        </w:tc>
        <w:tc>
          <w:tcPr>
            <w:tcW w:type="dxa" w:w="1872"/>
            <w:tcMar>
              <w:top w:w="50" w:type="dxa"/>
              <w:bottom w:w="50" w:type="dxa"/>
              <w:left w:w="80" w:type="dxa"/>
              <w:right w:w="80" w:type="dxa"/>
            </w:tcMar>
            <w:shd w:val="clear" w:color="auto" w:fill="F8F9F9"/>
          </w:tcPr>
          <w:p>
            <w:r>
              <w:rPr>
                <w:sz w:val="18"/>
              </w:rPr>
              <w:t>10.93</w:t>
            </w:r>
          </w:p>
        </w:tc>
        <w:tc>
          <w:tcPr>
            <w:tcW w:type="dxa" w:w="1872"/>
            <w:tcMar>
              <w:top w:w="50" w:type="dxa"/>
              <w:bottom w:w="50" w:type="dxa"/>
              <w:left w:w="80" w:type="dxa"/>
              <w:right w:w="80" w:type="dxa"/>
            </w:tcMar>
            <w:shd w:val="clear" w:color="auto" w:fill="F8F9F9"/>
          </w:tcPr>
          <w:p>
            <w:r>
              <w:rPr>
                <w:sz w:val="18"/>
              </w:rPr>
              <w:t>6.98</w:t>
            </w:r>
          </w:p>
        </w:tc>
        <w:tc>
          <w:tcPr>
            <w:tcW w:type="dxa" w:w="1872"/>
            <w:tcMar>
              <w:top w:w="50" w:type="dxa"/>
              <w:bottom w:w="50" w:type="dxa"/>
              <w:left w:w="80" w:type="dxa"/>
              <w:right w:w="80" w:type="dxa"/>
            </w:tcMar>
            <w:shd w:val="clear" w:color="auto" w:fill="F8F9F9"/>
          </w:tcPr>
          <w:p>
            <w:r>
              <w:rPr>
                <w:sz w:val="18"/>
              </w:rPr>
              <w:t>17.91</w:t>
            </w:r>
          </w:p>
        </w:tc>
        <w:tc>
          <w:tcPr>
            <w:tcW w:type="dxa" w:w="1872"/>
            <w:tcMar>
              <w:top w:w="50" w:type="dxa"/>
              <w:bottom w:w="50" w:type="dxa"/>
              <w:left w:w="80" w:type="dxa"/>
              <w:right w:w="80" w:type="dxa"/>
            </w:tcMar>
            <w:shd w:val="clear" w:color="auto" w:fill="F9EBEA"/>
          </w:tcPr>
          <w:p>
            <w:r>
              <w:rPr>
                <w:sz w:val="18"/>
              </w:rPr>
              <w:t>38.98%</w:t>
            </w:r>
          </w:p>
        </w:tc>
      </w:tr>
      <w:tr>
        <w:tc>
          <w:tcPr>
            <w:tcW w:type="dxa" w:w="1872"/>
            <w:tcMar>
              <w:top w:w="50" w:type="dxa"/>
              <w:bottom w:w="50" w:type="dxa"/>
              <w:left w:w="80" w:type="dxa"/>
              <w:right w:w="80" w:type="dxa"/>
            </w:tcMar>
          </w:tcPr>
          <w:p>
            <w:r>
              <w:rPr>
                <w:sz w:val="18"/>
              </w:rPr>
              <w:t>2020 (Pandemic Shock)</w:t>
            </w:r>
          </w:p>
        </w:tc>
        <w:tc>
          <w:tcPr>
            <w:tcW w:type="dxa" w:w="1872"/>
            <w:tcMar>
              <w:top w:w="50" w:type="dxa"/>
              <w:bottom w:w="50" w:type="dxa"/>
              <w:left w:w="80" w:type="dxa"/>
              <w:right w:w="80" w:type="dxa"/>
            </w:tcMar>
          </w:tcPr>
          <w:p>
            <w:r>
              <w:rPr>
                <w:sz w:val="18"/>
              </w:rPr>
              <w:t>2.74</w:t>
            </w:r>
          </w:p>
        </w:tc>
        <w:tc>
          <w:tcPr>
            <w:tcW w:type="dxa" w:w="1872"/>
            <w:tcMar>
              <w:top w:w="50" w:type="dxa"/>
              <w:bottom w:w="50" w:type="dxa"/>
              <w:left w:w="80" w:type="dxa"/>
              <w:right w:w="80" w:type="dxa"/>
            </w:tcMar>
          </w:tcPr>
          <w:p>
            <w:r>
              <w:rPr>
                <w:sz w:val="18"/>
              </w:rPr>
              <w:t>3.59</w:t>
            </w:r>
          </w:p>
        </w:tc>
        <w:tc>
          <w:tcPr>
            <w:tcW w:type="dxa" w:w="1872"/>
            <w:tcMar>
              <w:top w:w="50" w:type="dxa"/>
              <w:bottom w:w="50" w:type="dxa"/>
              <w:left w:w="80" w:type="dxa"/>
              <w:right w:w="80" w:type="dxa"/>
            </w:tcMar>
          </w:tcPr>
          <w:p>
            <w:r>
              <w:rPr>
                <w:sz w:val="18"/>
              </w:rPr>
              <w:t>6.33</w:t>
            </w:r>
          </w:p>
        </w:tc>
        <w:tc>
          <w:tcPr>
            <w:tcW w:type="dxa" w:w="1872"/>
            <w:tcMar>
              <w:top w:w="50" w:type="dxa"/>
              <w:bottom w:w="50" w:type="dxa"/>
              <w:left w:w="80" w:type="dxa"/>
              <w:right w:w="80" w:type="dxa"/>
            </w:tcMar>
          </w:tcPr>
          <w:p>
            <w:r>
              <w:rPr>
                <w:sz w:val="18"/>
              </w:rPr>
              <w:t>56.68%</w:t>
            </w:r>
          </w:p>
        </w:tc>
      </w:tr>
      <w:tr>
        <w:tc>
          <w:tcPr>
            <w:tcW w:type="dxa" w:w="1872"/>
            <w:tcMar>
              <w:top w:w="50" w:type="dxa"/>
              <w:bottom w:w="50" w:type="dxa"/>
              <w:left w:w="80" w:type="dxa"/>
              <w:right w:w="80" w:type="dxa"/>
            </w:tcMar>
            <w:shd w:val="clear" w:color="auto" w:fill="F8F9F9"/>
          </w:tcPr>
          <w:p>
            <w:r>
              <w:rPr>
                <w:sz w:val="18"/>
              </w:rPr>
              <w:t>2023 (Reopening)</w:t>
            </w:r>
          </w:p>
        </w:tc>
        <w:tc>
          <w:tcPr>
            <w:tcW w:type="dxa" w:w="1872"/>
            <w:tcMar>
              <w:top w:w="50" w:type="dxa"/>
              <w:bottom w:w="50" w:type="dxa"/>
              <w:left w:w="80" w:type="dxa"/>
              <w:right w:w="80" w:type="dxa"/>
            </w:tcMar>
            <w:shd w:val="clear" w:color="auto" w:fill="F8F9F9"/>
          </w:tcPr>
          <w:p>
            <w:r>
              <w:rPr>
                <w:sz w:val="18"/>
              </w:rPr>
              <w:t>9.51</w:t>
            </w:r>
          </w:p>
        </w:tc>
        <w:tc>
          <w:tcPr>
            <w:tcW w:type="dxa" w:w="1872"/>
            <w:tcMar>
              <w:top w:w="50" w:type="dxa"/>
              <w:bottom w:w="50" w:type="dxa"/>
              <w:left w:w="80" w:type="dxa"/>
              <w:right w:w="80" w:type="dxa"/>
            </w:tcMar>
            <w:shd w:val="clear" w:color="auto" w:fill="F8F9F9"/>
          </w:tcPr>
          <w:p>
            <w:r>
              <w:rPr>
                <w:sz w:val="18"/>
              </w:rPr>
              <w:t>9.38</w:t>
            </w:r>
          </w:p>
        </w:tc>
        <w:tc>
          <w:tcPr>
            <w:tcW w:type="dxa" w:w="1872"/>
            <w:tcMar>
              <w:top w:w="50" w:type="dxa"/>
              <w:bottom w:w="50" w:type="dxa"/>
              <w:left w:w="80" w:type="dxa"/>
              <w:right w:w="80" w:type="dxa"/>
            </w:tcMar>
            <w:shd w:val="clear" w:color="auto" w:fill="F8F9F9"/>
          </w:tcPr>
          <w:p>
            <w:r>
              <w:rPr>
                <w:sz w:val="18"/>
              </w:rPr>
              <w:t>18.89</w:t>
            </w:r>
          </w:p>
        </w:tc>
        <w:tc>
          <w:tcPr>
            <w:tcW w:type="dxa" w:w="1872"/>
            <w:tcMar>
              <w:top w:w="50" w:type="dxa"/>
              <w:bottom w:w="50" w:type="dxa"/>
              <w:left w:w="80" w:type="dxa"/>
              <w:right w:w="80" w:type="dxa"/>
            </w:tcMar>
            <w:shd w:val="clear" w:color="auto" w:fill="F9EBEA"/>
          </w:tcPr>
          <w:p>
            <w:r>
              <w:rPr>
                <w:sz w:val="18"/>
              </w:rPr>
              <w:t>49.66%</w:t>
            </w:r>
          </w:p>
        </w:tc>
      </w:tr>
      <w:tr>
        <w:tc>
          <w:tcPr>
            <w:tcW w:type="dxa" w:w="1872"/>
            <w:tcMar>
              <w:top w:w="50" w:type="dxa"/>
              <w:bottom w:w="50" w:type="dxa"/>
              <w:left w:w="80" w:type="dxa"/>
              <w:right w:w="80" w:type="dxa"/>
            </w:tcMar>
          </w:tcPr>
          <w:p>
            <w:r>
              <w:rPr>
                <w:sz w:val="18"/>
              </w:rPr>
              <w:t>2024 (Current P)</w:t>
            </w:r>
          </w:p>
        </w:tc>
        <w:tc>
          <w:tcPr>
            <w:tcW w:type="dxa" w:w="1872"/>
            <w:tcMar>
              <w:top w:w="50" w:type="dxa"/>
              <w:bottom w:w="50" w:type="dxa"/>
              <w:left w:w="80" w:type="dxa"/>
              <w:right w:w="80" w:type="dxa"/>
            </w:tcMar>
          </w:tcPr>
          <w:p>
            <w:r>
              <w:rPr>
                <w:sz w:val="18"/>
              </w:rPr>
              <w:t>9.95</w:t>
            </w:r>
          </w:p>
        </w:tc>
        <w:tc>
          <w:tcPr>
            <w:tcW w:type="dxa" w:w="1872"/>
            <w:tcMar>
              <w:top w:w="50" w:type="dxa"/>
              <w:bottom w:w="50" w:type="dxa"/>
              <w:left w:w="80" w:type="dxa"/>
              <w:right w:w="80" w:type="dxa"/>
            </w:tcMar>
          </w:tcPr>
          <w:p>
            <w:r>
              <w:rPr>
                <w:sz w:val="18"/>
              </w:rPr>
              <w:t>10.62</w:t>
            </w:r>
          </w:p>
        </w:tc>
        <w:tc>
          <w:tcPr>
            <w:tcW w:type="dxa" w:w="1872"/>
            <w:tcMar>
              <w:top w:w="50" w:type="dxa"/>
              <w:bottom w:w="50" w:type="dxa"/>
              <w:left w:w="80" w:type="dxa"/>
              <w:right w:w="80" w:type="dxa"/>
            </w:tcMar>
          </w:tcPr>
          <w:p>
            <w:r>
              <w:rPr>
                <w:sz w:val="18"/>
              </w:rPr>
              <w:t>20.57</w:t>
            </w:r>
          </w:p>
        </w:tc>
        <w:tc>
          <w:tcPr>
            <w:tcW w:type="dxa" w:w="1872"/>
            <w:tcMar>
              <w:top w:w="50" w:type="dxa"/>
              <w:bottom w:w="50" w:type="dxa"/>
              <w:left w:w="80" w:type="dxa"/>
              <w:right w:w="80" w:type="dxa"/>
            </w:tcMar>
          </w:tcPr>
          <w:p>
            <w:r>
              <w:rPr>
                <w:sz w:val="18"/>
              </w:rPr>
              <w:t>51.62%</w:t>
            </w:r>
          </w:p>
        </w:tc>
      </w:tr>
    </w:tbl>
    <w:p>
      <w:pPr>
        <w:spacing w:after="120"/>
      </w:pPr>
    </w:p>
    <w:p>
      <w:pPr>
        <w:spacing w:line="276" w:lineRule="auto"/>
      </w:pPr>
      <w:r>
        <w:rPr>
          <w:b/>
        </w:rPr>
        <w:t>Worked Mathematical Example of Policy Distortion:</w:t>
        <w:br/>
      </w:r>
      <w:r>
        <w:t>Suppose an econometrician calculates the post-pandemic recovery of Indian tourism in 2024 relative to the 2019 baseline. If they naively select the 'International Tourist Arrivals' (ITA) column (as published in PDF Table 1.1.2):</w:t>
        <w:br/>
      </w:r>
      <w:r>
        <w:rPr>
          <w:b/>
        </w:rPr>
        <w:t xml:space="preserve">   • Naive ITA Recovery Ratio = (20,568,622 / 17,913,514) × 100 = 114.82%  [An apparent expansion of +14.82%]</w:t>
        <w:br/>
      </w:r>
      <w:r>
        <w:t>However, evaluating actual Foreign Tourist Arrivals (FTAs, foreign citizens) yields:</w:t>
        <w:br/>
      </w:r>
      <w:r>
        <w:rPr>
          <w:b/>
        </w:rPr>
        <w:t xml:space="preserve">   • Actual FTA Recovery Ratio = (9,951,722 / 10,930,355) × 100 = 91.05%  [A lingering contraction of -8.95%]</w:t>
        <w:br/>
      </w:r>
      <w:r>
        <w:rPr>
          <w:color w:val="C0392B"/>
        </w:rPr>
        <w:t xml:space="preserve">   • Quantitative Error Magnitude = 114.82% - 91.05% = +23.77 percentage points!</w:t>
        <w:br/>
      </w:r>
      <w:r>
        <w:t>Policy Hazard: If the Ministry of Tourism or hospitality developers base infrastructure planning on the 114.8% figure, they conclude foreign leisure tourism has boomed, when in reality there is an active deficit of 978,633 foreign tourists that is entirely masked by a +52.0% surge in overseas diaspora visits (10.62M NRIs).</w:t>
      </w:r>
    </w:p>
    <w:p>
      <w:pPr>
        <w:pStyle w:val="Heading2"/>
      </w:pPr>
      <w:r>
        <w:rPr>
          <w:rFonts w:ascii="Arial" w:hAnsi="Arial"/>
          <w:color w:val="2C3E50"/>
        </w:rPr>
        <w:t>14.2 Global Receipts Accounting Discrepancy: The $7.50 Billion Surplus in Table 1.2.1</w:t>
      </w:r>
    </w:p>
    <w:p>
      <w:pPr>
        <w:spacing w:line="276" w:lineRule="auto"/>
      </w:pPr>
      <w:r>
        <w:t>In PDF Table 1.2.1 (UN Tourism Receipts by Region), summing the individual continental totals reveals an unexplained accounting discrepancy when evaluated against the printed World Total: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b/>
                <w:color w:val="FFFFFF"/>
                <w:sz w:val="18"/>
              </w:rPr>
              <w:t>Region / Sub-Region</w:t>
            </w:r>
          </w:p>
        </w:tc>
        <w:tc>
          <w:tcPr>
            <w:tcW w:type="dxa" w:w="2340"/>
            <w:shd w:val="clear" w:color="auto" w:fill="1B365D"/>
          </w:tcPr>
          <w:p>
            <w:r>
              <w:rPr>
                <w:b/>
                <w:color w:val="FFFFFF"/>
                <w:sz w:val="18"/>
              </w:rPr>
              <w:t>Receipts 2019 (USD B)</w:t>
            </w:r>
          </w:p>
        </w:tc>
        <w:tc>
          <w:tcPr>
            <w:tcW w:type="dxa" w:w="2340"/>
            <w:shd w:val="clear" w:color="auto" w:fill="1B365D"/>
          </w:tcPr>
          <w:p>
            <w:r>
              <w:rPr>
                <w:b/>
                <w:color w:val="FFFFFF"/>
                <w:sz w:val="18"/>
              </w:rPr>
              <w:t>Receipts 2023 (USD B)</w:t>
            </w:r>
          </w:p>
        </w:tc>
        <w:tc>
          <w:tcPr>
            <w:tcW w:type="dxa" w:w="2340"/>
            <w:shd w:val="clear" w:color="auto" w:fill="1B365D"/>
          </w:tcPr>
          <w:p>
            <w:r>
              <w:rPr>
                <w:b/>
                <w:color w:val="FFFFFF"/>
                <w:sz w:val="18"/>
              </w:rPr>
              <w:t>Receipts 2024* (USD B)</w:t>
            </w:r>
          </w:p>
        </w:tc>
      </w:tr>
      <w:tr>
        <w:tc>
          <w:tcPr>
            <w:tcW w:type="dxa" w:w="2340"/>
            <w:tcMar>
              <w:top w:w="45" w:type="dxa"/>
              <w:bottom w:w="45" w:type="dxa"/>
              <w:left w:w="70" w:type="dxa"/>
              <w:right w:w="70" w:type="dxa"/>
            </w:tcMar>
          </w:tcPr>
          <w:p>
            <w:r>
              <w:rPr>
                <w:sz w:val="18"/>
              </w:rPr>
              <w:t>Europe</w:t>
            </w:r>
          </w:p>
        </w:tc>
        <w:tc>
          <w:tcPr>
            <w:tcW w:type="dxa" w:w="2340"/>
            <w:tcMar>
              <w:top w:w="45" w:type="dxa"/>
              <w:bottom w:w="45" w:type="dxa"/>
              <w:left w:w="70" w:type="dxa"/>
              <w:right w:w="70" w:type="dxa"/>
            </w:tcMar>
          </w:tcPr>
          <w:p>
            <w:r>
              <w:rPr>
                <w:sz w:val="18"/>
              </w:rPr>
              <w:t>585.40</w:t>
            </w:r>
          </w:p>
        </w:tc>
        <w:tc>
          <w:tcPr>
            <w:tcW w:type="dxa" w:w="2340"/>
            <w:tcMar>
              <w:top w:w="45" w:type="dxa"/>
              <w:bottom w:w="45" w:type="dxa"/>
              <w:left w:w="70" w:type="dxa"/>
              <w:right w:w="70" w:type="dxa"/>
            </w:tcMar>
          </w:tcPr>
          <w:p>
            <w:r>
              <w:rPr>
                <w:sz w:val="18"/>
              </w:rPr>
              <w:t>666.60</w:t>
            </w:r>
          </w:p>
        </w:tc>
        <w:tc>
          <w:tcPr>
            <w:tcW w:type="dxa" w:w="2340"/>
            <w:tcMar>
              <w:top w:w="45" w:type="dxa"/>
              <w:bottom w:w="45" w:type="dxa"/>
              <w:left w:w="70" w:type="dxa"/>
              <w:right w:w="70" w:type="dxa"/>
            </w:tcMar>
          </w:tcPr>
          <w:p>
            <w:r>
              <w:rPr>
                <w:sz w:val="18"/>
              </w:rPr>
              <w:t>732.50</w:t>
            </w:r>
          </w:p>
        </w:tc>
      </w:tr>
      <w:tr>
        <w:tc>
          <w:tcPr>
            <w:tcW w:type="dxa" w:w="2340"/>
            <w:tcMar>
              <w:top w:w="45" w:type="dxa"/>
              <w:bottom w:w="45" w:type="dxa"/>
              <w:left w:w="70" w:type="dxa"/>
              <w:right w:w="70" w:type="dxa"/>
            </w:tcMar>
          </w:tcPr>
          <w:p>
            <w:r>
              <w:rPr>
                <w:sz w:val="18"/>
              </w:rPr>
              <w:t>Asia and the Pacific</w:t>
            </w:r>
          </w:p>
        </w:tc>
        <w:tc>
          <w:tcPr>
            <w:tcW w:type="dxa" w:w="2340"/>
            <w:tcMar>
              <w:top w:w="45" w:type="dxa"/>
              <w:bottom w:w="45" w:type="dxa"/>
              <w:left w:w="70" w:type="dxa"/>
              <w:right w:w="70" w:type="dxa"/>
            </w:tcMar>
          </w:tcPr>
          <w:p>
            <w:r>
              <w:rPr>
                <w:sz w:val="18"/>
              </w:rPr>
              <w:t>447.10</w:t>
            </w:r>
          </w:p>
        </w:tc>
        <w:tc>
          <w:tcPr>
            <w:tcW w:type="dxa" w:w="2340"/>
            <w:tcMar>
              <w:top w:w="45" w:type="dxa"/>
              <w:bottom w:w="45" w:type="dxa"/>
              <w:left w:w="70" w:type="dxa"/>
              <w:right w:w="70" w:type="dxa"/>
            </w:tcMar>
          </w:tcPr>
          <w:p>
            <w:r>
              <w:rPr>
                <w:sz w:val="18"/>
              </w:rPr>
              <w:t>342.50</w:t>
            </w:r>
          </w:p>
        </w:tc>
        <w:tc>
          <w:tcPr>
            <w:tcW w:type="dxa" w:w="2340"/>
            <w:tcMar>
              <w:top w:w="45" w:type="dxa"/>
              <w:bottom w:w="45" w:type="dxa"/>
              <w:left w:w="70" w:type="dxa"/>
              <w:right w:w="70" w:type="dxa"/>
            </w:tcMar>
          </w:tcPr>
          <w:p>
            <w:r>
              <w:rPr>
                <w:sz w:val="18"/>
              </w:rPr>
              <w:t>415.90</w:t>
            </w:r>
          </w:p>
        </w:tc>
      </w:tr>
      <w:tr>
        <w:tc>
          <w:tcPr>
            <w:tcW w:type="dxa" w:w="2340"/>
            <w:tcMar>
              <w:top w:w="45" w:type="dxa"/>
              <w:bottom w:w="45" w:type="dxa"/>
              <w:left w:w="70" w:type="dxa"/>
              <w:right w:w="70" w:type="dxa"/>
            </w:tcMar>
          </w:tcPr>
          <w:p>
            <w:r>
              <w:rPr>
                <w:sz w:val="18"/>
              </w:rPr>
              <w:t>Americas</w:t>
            </w:r>
          </w:p>
        </w:tc>
        <w:tc>
          <w:tcPr>
            <w:tcW w:type="dxa" w:w="2340"/>
            <w:tcMar>
              <w:top w:w="45" w:type="dxa"/>
              <w:bottom w:w="45" w:type="dxa"/>
              <w:left w:w="70" w:type="dxa"/>
              <w:right w:w="70" w:type="dxa"/>
            </w:tcMar>
          </w:tcPr>
          <w:p>
            <w:r>
              <w:rPr>
                <w:sz w:val="18"/>
              </w:rPr>
              <w:t>331.00</w:t>
            </w:r>
          </w:p>
        </w:tc>
        <w:tc>
          <w:tcPr>
            <w:tcW w:type="dxa" w:w="2340"/>
            <w:tcMar>
              <w:top w:w="45" w:type="dxa"/>
              <w:bottom w:w="45" w:type="dxa"/>
              <w:left w:w="70" w:type="dxa"/>
              <w:right w:w="70" w:type="dxa"/>
            </w:tcMar>
          </w:tcPr>
          <w:p>
            <w:r>
              <w:rPr>
                <w:sz w:val="18"/>
              </w:rPr>
              <w:t>353.50</w:t>
            </w:r>
          </w:p>
        </w:tc>
        <w:tc>
          <w:tcPr>
            <w:tcW w:type="dxa" w:w="2340"/>
            <w:tcMar>
              <w:top w:w="45" w:type="dxa"/>
              <w:bottom w:w="45" w:type="dxa"/>
              <w:left w:w="70" w:type="dxa"/>
              <w:right w:w="70" w:type="dxa"/>
            </w:tcMar>
          </w:tcPr>
          <w:p>
            <w:r>
              <w:rPr>
                <w:sz w:val="18"/>
              </w:rPr>
              <w:t>392.30</w:t>
            </w:r>
          </w:p>
        </w:tc>
      </w:tr>
      <w:tr>
        <w:tc>
          <w:tcPr>
            <w:tcW w:type="dxa" w:w="2340"/>
            <w:tcMar>
              <w:top w:w="45" w:type="dxa"/>
              <w:bottom w:w="45" w:type="dxa"/>
              <w:left w:w="70" w:type="dxa"/>
              <w:right w:w="70" w:type="dxa"/>
            </w:tcMar>
          </w:tcPr>
          <w:p>
            <w:r>
              <w:rPr>
                <w:sz w:val="18"/>
              </w:rPr>
              <w:t>Middle East</w:t>
            </w:r>
          </w:p>
        </w:tc>
        <w:tc>
          <w:tcPr>
            <w:tcW w:type="dxa" w:w="2340"/>
            <w:tcMar>
              <w:top w:w="45" w:type="dxa"/>
              <w:bottom w:w="45" w:type="dxa"/>
              <w:left w:w="70" w:type="dxa"/>
              <w:right w:w="70" w:type="dxa"/>
            </w:tcMar>
          </w:tcPr>
          <w:p>
            <w:r>
              <w:rPr>
                <w:sz w:val="18"/>
              </w:rPr>
              <w:t>90.30</w:t>
            </w:r>
          </w:p>
        </w:tc>
        <w:tc>
          <w:tcPr>
            <w:tcW w:type="dxa" w:w="2340"/>
            <w:tcMar>
              <w:top w:w="45" w:type="dxa"/>
              <w:bottom w:w="45" w:type="dxa"/>
              <w:left w:w="70" w:type="dxa"/>
              <w:right w:w="70" w:type="dxa"/>
            </w:tcMar>
          </w:tcPr>
          <w:p>
            <w:r>
              <w:rPr>
                <w:sz w:val="18"/>
              </w:rPr>
              <w:t>136.80</w:t>
            </w:r>
          </w:p>
        </w:tc>
        <w:tc>
          <w:tcPr>
            <w:tcW w:type="dxa" w:w="2340"/>
            <w:tcMar>
              <w:top w:w="45" w:type="dxa"/>
              <w:bottom w:w="45" w:type="dxa"/>
              <w:left w:w="70" w:type="dxa"/>
              <w:right w:w="70" w:type="dxa"/>
            </w:tcMar>
          </w:tcPr>
          <w:p>
            <w:r>
              <w:rPr>
                <w:sz w:val="18"/>
              </w:rPr>
              <w:t>147.60</w:t>
            </w:r>
          </w:p>
        </w:tc>
      </w:tr>
      <w:tr>
        <w:tc>
          <w:tcPr>
            <w:tcW w:type="dxa" w:w="2340"/>
            <w:tcMar>
              <w:top w:w="45" w:type="dxa"/>
              <w:bottom w:w="45" w:type="dxa"/>
              <w:left w:w="70" w:type="dxa"/>
              <w:right w:w="70" w:type="dxa"/>
            </w:tcMar>
          </w:tcPr>
          <w:p>
            <w:r>
              <w:rPr>
                <w:sz w:val="18"/>
              </w:rPr>
              <w:t>Africa</w:t>
            </w:r>
          </w:p>
        </w:tc>
        <w:tc>
          <w:tcPr>
            <w:tcW w:type="dxa" w:w="2340"/>
            <w:tcMar>
              <w:top w:w="45" w:type="dxa"/>
              <w:bottom w:w="45" w:type="dxa"/>
              <w:left w:w="70" w:type="dxa"/>
              <w:right w:w="70" w:type="dxa"/>
            </w:tcMar>
          </w:tcPr>
          <w:p>
            <w:r>
              <w:rPr>
                <w:sz w:val="18"/>
              </w:rPr>
              <w:t>48.50</w:t>
            </w:r>
          </w:p>
        </w:tc>
        <w:tc>
          <w:tcPr>
            <w:tcW w:type="dxa" w:w="2340"/>
            <w:tcMar>
              <w:top w:w="45" w:type="dxa"/>
              <w:bottom w:w="45" w:type="dxa"/>
              <w:left w:w="70" w:type="dxa"/>
              <w:right w:w="70" w:type="dxa"/>
            </w:tcMar>
          </w:tcPr>
          <w:p>
            <w:r>
              <w:rPr>
                <w:sz w:val="18"/>
              </w:rPr>
              <w:t>45.50</w:t>
            </w:r>
          </w:p>
        </w:tc>
        <w:tc>
          <w:tcPr>
            <w:tcW w:type="dxa" w:w="2340"/>
            <w:tcMar>
              <w:top w:w="45" w:type="dxa"/>
              <w:bottom w:w="45" w:type="dxa"/>
              <w:left w:w="70" w:type="dxa"/>
              <w:right w:w="70" w:type="dxa"/>
            </w:tcMar>
          </w:tcPr>
          <w:p>
            <w:r>
              <w:rPr>
                <w:sz w:val="18"/>
              </w:rPr>
              <w:t>50.20</w:t>
            </w:r>
          </w:p>
        </w:tc>
      </w:tr>
      <w:tr>
        <w:tc>
          <w:tcPr>
            <w:tcW w:type="dxa" w:w="2340"/>
            <w:tcMar>
              <w:top w:w="45" w:type="dxa"/>
              <w:bottom w:w="45" w:type="dxa"/>
              <w:left w:w="70" w:type="dxa"/>
              <w:right w:w="70" w:type="dxa"/>
            </w:tcMar>
            <w:shd w:val="clear" w:color="auto" w:fill="E8F8F5"/>
          </w:tcPr>
          <w:p>
            <w:r>
              <w:rPr>
                <w:b/>
                <w:sz w:val="18"/>
              </w:rPr>
              <w:t>Calculated Continental Sum</w:t>
            </w:r>
          </w:p>
        </w:tc>
        <w:tc>
          <w:tcPr>
            <w:tcW w:type="dxa" w:w="2340"/>
            <w:tcMar>
              <w:top w:w="45" w:type="dxa"/>
              <w:bottom w:w="45" w:type="dxa"/>
              <w:left w:w="70" w:type="dxa"/>
              <w:right w:w="70" w:type="dxa"/>
            </w:tcMar>
            <w:shd w:val="clear" w:color="auto" w:fill="E8F8F5"/>
          </w:tcPr>
          <w:p>
            <w:r>
              <w:rPr>
                <w:b/>
                <w:sz w:val="18"/>
              </w:rPr>
              <w:t>1,502.30</w:t>
            </w:r>
          </w:p>
        </w:tc>
        <w:tc>
          <w:tcPr>
            <w:tcW w:type="dxa" w:w="2340"/>
            <w:tcMar>
              <w:top w:w="45" w:type="dxa"/>
              <w:bottom w:w="45" w:type="dxa"/>
              <w:left w:w="70" w:type="dxa"/>
              <w:right w:w="70" w:type="dxa"/>
            </w:tcMar>
            <w:shd w:val="clear" w:color="auto" w:fill="E8F8F5"/>
          </w:tcPr>
          <w:p>
            <w:r>
              <w:rPr>
                <w:b/>
                <w:sz w:val="18"/>
              </w:rPr>
              <w:t>1,544.90</w:t>
            </w:r>
          </w:p>
        </w:tc>
        <w:tc>
          <w:tcPr>
            <w:tcW w:type="dxa" w:w="2340"/>
            <w:tcMar>
              <w:top w:w="45" w:type="dxa"/>
              <w:bottom w:w="45" w:type="dxa"/>
              <w:left w:w="70" w:type="dxa"/>
              <w:right w:w="70" w:type="dxa"/>
            </w:tcMar>
            <w:shd w:val="clear" w:color="auto" w:fill="E8F8F5"/>
          </w:tcPr>
          <w:p>
            <w:r>
              <w:rPr>
                <w:b/>
                <w:sz w:val="18"/>
              </w:rPr>
              <w:t>1,738.50</w:t>
            </w:r>
          </w:p>
        </w:tc>
      </w:tr>
      <w:tr>
        <w:tc>
          <w:tcPr>
            <w:tcW w:type="dxa" w:w="2340"/>
            <w:tcMar>
              <w:top w:w="45" w:type="dxa"/>
              <w:bottom w:w="45" w:type="dxa"/>
              <w:left w:w="70" w:type="dxa"/>
              <w:right w:w="70" w:type="dxa"/>
            </w:tcMar>
            <w:shd w:val="clear" w:color="auto" w:fill="FADBD8"/>
          </w:tcPr>
          <w:p>
            <w:r>
              <w:rPr>
                <w:b/>
                <w:sz w:val="18"/>
              </w:rPr>
              <w:t>Reported World Total in PDF</w:t>
            </w:r>
          </w:p>
        </w:tc>
        <w:tc>
          <w:tcPr>
            <w:tcW w:type="dxa" w:w="2340"/>
            <w:tcMar>
              <w:top w:w="45" w:type="dxa"/>
              <w:bottom w:w="45" w:type="dxa"/>
              <w:left w:w="70" w:type="dxa"/>
              <w:right w:w="70" w:type="dxa"/>
            </w:tcMar>
            <w:shd w:val="clear" w:color="auto" w:fill="FADBD8"/>
          </w:tcPr>
          <w:p>
            <w:r>
              <w:rPr>
                <w:b/>
                <w:sz w:val="18"/>
              </w:rPr>
              <w:t>1,487.00</w:t>
            </w:r>
          </w:p>
        </w:tc>
        <w:tc>
          <w:tcPr>
            <w:tcW w:type="dxa" w:w="2340"/>
            <w:tcMar>
              <w:top w:w="45" w:type="dxa"/>
              <w:bottom w:w="45" w:type="dxa"/>
              <w:left w:w="70" w:type="dxa"/>
              <w:right w:w="70" w:type="dxa"/>
            </w:tcMar>
            <w:shd w:val="clear" w:color="auto" w:fill="FADBD8"/>
          </w:tcPr>
          <w:p>
            <w:r>
              <w:rPr>
                <w:b/>
                <w:sz w:val="18"/>
              </w:rPr>
              <w:t>1,536.00</w:t>
            </w:r>
          </w:p>
        </w:tc>
        <w:tc>
          <w:tcPr>
            <w:tcW w:type="dxa" w:w="2340"/>
            <w:tcMar>
              <w:top w:w="45" w:type="dxa"/>
              <w:bottom w:w="45" w:type="dxa"/>
              <w:left w:w="70" w:type="dxa"/>
              <w:right w:w="70" w:type="dxa"/>
            </w:tcMar>
            <w:shd w:val="clear" w:color="auto" w:fill="FADBD8"/>
          </w:tcPr>
          <w:p>
            <w:r>
              <w:rPr>
                <w:b/>
                <w:sz w:val="18"/>
              </w:rPr>
              <w:t>1,731.00</w:t>
            </w:r>
          </w:p>
        </w:tc>
      </w:tr>
    </w:tbl>
    <w:p>
      <w:pPr>
        <w:spacing w:after="120"/>
      </w:pPr>
    </w:p>
    <w:p>
      <w:pPr>
        <w:spacing w:line="276" w:lineRule="auto"/>
      </w:pPr>
      <w:r>
        <w:rPr>
          <w:b/>
        </w:rPr>
        <w:t>Quantitative Audit:</w:t>
        <w:br/>
      </w:r>
      <w:r>
        <w:t xml:space="preserve">   • 2024 Discrepancy: $1,738.50B - $1,731.00B = +$7.50 Billion USD (+0.43% unexplained variance)</w:t>
        <w:br/>
      </w:r>
      <w:r>
        <w:t xml:space="preserve">   • 2023 Discrepancy: $1,544.90B - $1,536.00B = +$8.90 Billion USD (+0.58% unexplained variance)</w:t>
        <w:br/>
      </w:r>
      <w:r>
        <w:t xml:space="preserve">   • 2019 Discrepancy: $1,502.30B - $1,487.00B = +$15.30 Billion USD (+1.03% unexplained variance)</w:t>
        <w:br/>
      </w:r>
      <w:r>
        <w:t>Root Cause &amp; Mitigation: Sub-regional figures within each continent sum with 100.0% precision to the continental total (e.g. Northern + Western + Central/Eastern + Southern Europe = 732.50B). The macro discrepancy arises because UN Tourism compiles national totals using different reporting systems (visitor surveys vs central bank balance of payments) and applies top-level global revisions that are not back-propagated into regional line items. Mitigation: When computing regional market shares, the calculated sum ($1,738.5B) must be used as the denominator to guarantee additive closure.</w:t>
      </w:r>
    </w:p>
    <w:p>
      <w:pPr>
        <w:pStyle w:val="Heading2"/>
      </w:pPr>
      <w:r>
        <w:rPr>
          <w:rFonts w:ascii="Arial" w:hAnsi="Arial"/>
          <w:color w:val="2C3E50"/>
        </w:rPr>
        <w:t>14.3 Cross-Table Inconsistencies and Typographical Parsing Hazards</w:t>
      </w:r>
    </w:p>
    <w:p>
      <w:pPr>
        <w:spacing w:line="276" w:lineRule="auto"/>
      </w:pPr>
      <w:r>
        <w:t>A programmatic audit of the PDF tables revealed multiple concrete discrepancies that break automated ETL pipelines:</w:t>
        <w:br/>
      </w:r>
      <w:r>
        <w:t>1. Four-Passenger Inconsistency in 2023 Totals: PDF Table 2.1.3 (Top 15 Source Markets) reports total 2023 arrivals as 9,520,928, whereas PDF Table 2.1.5 (Selected Countries) reports 9,520,924 (Delta = 4 arrivals). While negligible in magnitude, this discrepancy causes database relational constraints to fail if primary key checksums are enforced.</w:t>
        <w:br/>
      </w:r>
      <w:r>
        <w:t>2. The China Zero-Imputation Bias: In PDF Table 1.1.3, China's arrivals are reported as '-' for 2023 and 2024. If a standard pandas fillna(0) function is run, it records 0 Chinese tourists, falsely implying complete market extinction. Cross-referencing PDF Table 2.1.5 shows India received 30,585 Chinese arrivals in 2023 and 38,960 in 2024 (-88.52% vs 2019 baseline of 339,442). Imputing zero introduces a 38,960-unit measurement error.</w:t>
        <w:br/>
      </w:r>
      <w:r>
        <w:t>3. 1,000x Monetary Typo in PDF Table 2.9.1: The 2021 Foreign Exchange Earnings in US$ terms is printed as '86,51' instead of 8,651 Million US$. A standard string parser converting commas to decimals parses this as $86.51M rather than $8,651.0M—a catastrophic 100-fold error that invalidates economic growth models.</w:t>
        <w:br/>
      </w:r>
      <w:r>
        <w:t>4. Percentage Typo in PDF Table 2.4.4: In the port distribution table, the North East regional share in the Grand Total row is printed as '160' instead of 1.60%, introducing an obvious decimal omission.</w:t>
      </w:r>
    </w:p>
    <w:p>
      <w:pPr>
        <w:pStyle w:val="Heading1"/>
        <w:spacing w:before="320" w:after="120"/>
      </w:pPr>
      <w:r>
        <w:rPr>
          <w:rFonts w:ascii="Arial" w:hAnsi="Arial"/>
          <w:color w:val="1B365D"/>
        </w:rPr>
        <w:t>3. Upgraded Section 15: Quantitative Risk Priority Number (RPN) Matrix &amp; Mitigation Engineering</w:t>
      </w:r>
    </w:p>
    <w:p>
      <w:pPr>
        <w:spacing w:line="276" w:lineRule="auto"/>
      </w:pPr>
      <w:r>
        <w:t>To replace generic risk descriptions with formal data engineering standards, we deploy the Failure Mode and Effects Analysis (FMEA) framework. Each risk is evaluated across three dimensions scored from 1 (lowest) to 5 (highest):</w:t>
        <w:br/>
      </w:r>
      <w:r>
        <w:t xml:space="preserve">   • Severity (S): The severity of analytical distortion or policy misdirection if the failure occurs.</w:t>
        <w:br/>
      </w:r>
      <w:r>
        <w:t xml:space="preserve">   • Likelihood (L): The empirical probability of encountering the failure in the raw dataset.</w:t>
        <w:br/>
      </w:r>
      <w:r>
        <w:t xml:space="preserve">   • Detectability (D): How difficult the issue is to detect (1 = trivial to spot; 5 = silent, deeply buried flaw).</w:t>
        <w:br/>
      </w:r>
      <w:r>
        <w:rPr>
          <w:b/>
        </w:rPr>
        <w:t xml:space="preserve">   • Risk Priority Number: RPN = S × L × D (Range: 1 to 125. Action Threshold: RPN ≥ 30 requires automated architectural guardrails).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Pr>
          <w:p>
            <w:r>
              <w:rPr>
                <w:b/>
                <w:color w:val="FFFFFF"/>
                <w:sz w:val="17"/>
              </w:rPr>
              <w:t>Risk ID</w:t>
            </w:r>
          </w:p>
        </w:tc>
        <w:tc>
          <w:tcPr>
            <w:tcW w:type="dxa" w:w="1337"/>
            <w:shd w:val="clear" w:color="auto" w:fill="1B365D"/>
          </w:tcPr>
          <w:p>
            <w:r>
              <w:rPr>
                <w:b/>
                <w:color w:val="FFFFFF"/>
                <w:sz w:val="17"/>
              </w:rPr>
              <w:t>Failure Mode / Risk</w:t>
            </w:r>
          </w:p>
        </w:tc>
        <w:tc>
          <w:tcPr>
            <w:tcW w:type="dxa" w:w="1337"/>
            <w:shd w:val="clear" w:color="auto" w:fill="1B365D"/>
          </w:tcPr>
          <w:p>
            <w:r>
              <w:rPr>
                <w:b/>
                <w:color w:val="FFFFFF"/>
                <w:sz w:val="17"/>
              </w:rPr>
              <w:t>S</w:t>
            </w:r>
          </w:p>
        </w:tc>
        <w:tc>
          <w:tcPr>
            <w:tcW w:type="dxa" w:w="1337"/>
            <w:shd w:val="clear" w:color="auto" w:fill="1B365D"/>
          </w:tcPr>
          <w:p>
            <w:r>
              <w:rPr>
                <w:b/>
                <w:color w:val="FFFFFF"/>
                <w:sz w:val="17"/>
              </w:rPr>
              <w:t>L</w:t>
            </w:r>
          </w:p>
        </w:tc>
        <w:tc>
          <w:tcPr>
            <w:tcW w:type="dxa" w:w="1337"/>
            <w:shd w:val="clear" w:color="auto" w:fill="1B365D"/>
          </w:tcPr>
          <w:p>
            <w:r>
              <w:rPr>
                <w:b/>
                <w:color w:val="FFFFFF"/>
                <w:sz w:val="17"/>
              </w:rPr>
              <w:t>D</w:t>
            </w:r>
          </w:p>
        </w:tc>
        <w:tc>
          <w:tcPr>
            <w:tcW w:type="dxa" w:w="1337"/>
            <w:shd w:val="clear" w:color="auto" w:fill="1B365D"/>
          </w:tcPr>
          <w:p>
            <w:r>
              <w:rPr>
                <w:b/>
                <w:color w:val="FFFFFF"/>
                <w:sz w:val="17"/>
              </w:rPr>
              <w:t>RPN</w:t>
            </w:r>
          </w:p>
        </w:tc>
        <w:tc>
          <w:tcPr>
            <w:tcW w:type="dxa" w:w="1337"/>
            <w:shd w:val="clear" w:color="auto" w:fill="1B365D"/>
          </w:tcPr>
          <w:p>
            <w:r>
              <w:rPr>
                <w:b/>
                <w:color w:val="FFFFFF"/>
                <w:sz w:val="17"/>
              </w:rPr>
              <w:t>Engineered Programmatic Mitigation</w:t>
            </w:r>
          </w:p>
        </w:tc>
      </w:tr>
      <w:tr>
        <w:tc>
          <w:tcPr>
            <w:tcW w:type="dxa" w:w="1337"/>
            <w:tcMar>
              <w:top w:w="40" w:type="dxa"/>
              <w:bottom w:w="40" w:type="dxa"/>
              <w:left w:w="50" w:type="dxa"/>
              <w:right w:w="50" w:type="dxa"/>
            </w:tcMar>
          </w:tcPr>
          <w:p>
            <w:r>
              <w:rPr>
                <w:sz w:val="16"/>
              </w:rPr>
              <w:t>R-01</w:t>
            </w:r>
          </w:p>
        </w:tc>
        <w:tc>
          <w:tcPr>
            <w:tcW w:type="dxa" w:w="1337"/>
            <w:tcMar>
              <w:top w:w="40" w:type="dxa"/>
              <w:bottom w:w="40" w:type="dxa"/>
              <w:left w:w="50" w:type="dxa"/>
              <w:right w:w="50" w:type="dxa"/>
            </w:tcMar>
          </w:tcPr>
          <w:p>
            <w:r>
              <w:rPr>
                <w:sz w:val="16"/>
              </w:rPr>
              <w:t>FTA vs ITA Metric Splicing (2014 break)</w:t>
            </w:r>
          </w:p>
        </w:tc>
        <w:tc>
          <w:tcPr>
            <w:tcW w:type="dxa" w:w="1337"/>
            <w:tcMar>
              <w:top w:w="40" w:type="dxa"/>
              <w:bottom w:w="40" w:type="dxa"/>
              <w:left w:w="50" w:type="dxa"/>
              <w:right w:w="50" w:type="dxa"/>
            </w:tcMar>
          </w:tcPr>
          <w:p>
            <w:r>
              <w:rPr>
                <w:sz w:val="16"/>
              </w:rPr>
              <w:t>5</w:t>
            </w:r>
          </w:p>
        </w:tc>
        <w:tc>
          <w:tcPr>
            <w:tcW w:type="dxa" w:w="1337"/>
            <w:tcMar>
              <w:top w:w="40" w:type="dxa"/>
              <w:bottom w:w="40" w:type="dxa"/>
              <w:left w:w="50" w:type="dxa"/>
              <w:right w:w="50" w:type="dxa"/>
            </w:tcMar>
          </w:tcPr>
          <w:p>
            <w:r>
              <w:rPr>
                <w:sz w:val="16"/>
              </w:rPr>
              <w:t>5</w:t>
            </w:r>
          </w:p>
        </w:tc>
        <w:tc>
          <w:tcPr>
            <w:tcW w:type="dxa" w:w="1337"/>
            <w:tcMar>
              <w:top w:w="40" w:type="dxa"/>
              <w:bottom w:w="40" w:type="dxa"/>
              <w:left w:w="50" w:type="dxa"/>
              <w:right w:w="50" w:type="dxa"/>
            </w:tcMar>
          </w:tcPr>
          <w:p>
            <w:r>
              <w:rPr>
                <w:sz w:val="16"/>
              </w:rPr>
              <w:t>2</w:t>
            </w:r>
          </w:p>
        </w:tc>
        <w:tc>
          <w:tcPr>
            <w:tcW w:type="dxa" w:w="1337"/>
            <w:tcMar>
              <w:top w:w="40" w:type="dxa"/>
              <w:bottom w:w="40" w:type="dxa"/>
              <w:left w:w="50" w:type="dxa"/>
              <w:right w:w="50" w:type="dxa"/>
            </w:tcMar>
            <w:shd w:val="clear" w:color="auto" w:fill="FADBD8"/>
          </w:tcPr>
          <w:p>
            <w:r>
              <w:rPr>
                <w:b/>
                <w:color w:val="922B21"/>
                <w:sz w:val="16"/>
              </w:rPr>
              <w:t>50</w:t>
            </w:r>
          </w:p>
        </w:tc>
        <w:tc>
          <w:tcPr>
            <w:tcW w:type="dxa" w:w="1337"/>
            <w:tcMar>
              <w:top w:w="40" w:type="dxa"/>
              <w:bottom w:w="40" w:type="dxa"/>
              <w:left w:w="50" w:type="dxa"/>
              <w:right w:w="50" w:type="dxa"/>
            </w:tcMar>
          </w:tcPr>
          <w:p>
            <w:r>
              <w:rPr>
                <w:sz w:val="16"/>
              </w:rPr>
              <w:t>Enforce strict Pydantic schema validation: schema rejects any calculation joining pre-2014 FTA with post-2014 ITA without explicit user override.</w:t>
            </w:r>
          </w:p>
        </w:tc>
      </w:tr>
      <w:tr>
        <w:tc>
          <w:tcPr>
            <w:tcW w:type="dxa" w:w="1337"/>
            <w:tcMar>
              <w:top w:w="40" w:type="dxa"/>
              <w:bottom w:w="40" w:type="dxa"/>
              <w:left w:w="50" w:type="dxa"/>
              <w:right w:w="50" w:type="dxa"/>
            </w:tcMar>
          </w:tcPr>
          <w:p>
            <w:r>
              <w:rPr>
                <w:sz w:val="16"/>
              </w:rPr>
              <w:t>R-02</w:t>
            </w:r>
          </w:p>
        </w:tc>
        <w:tc>
          <w:tcPr>
            <w:tcW w:type="dxa" w:w="1337"/>
            <w:tcMar>
              <w:top w:w="40" w:type="dxa"/>
              <w:bottom w:w="40" w:type="dxa"/>
              <w:left w:w="50" w:type="dxa"/>
              <w:right w:w="50" w:type="dxa"/>
            </w:tcMar>
          </w:tcPr>
          <w:p>
            <w:r>
              <w:rPr>
                <w:sz w:val="16"/>
              </w:rPr>
              <w:t>Global Receipts Continental Sum Mismatch</w:t>
            </w:r>
          </w:p>
        </w:tc>
        <w:tc>
          <w:tcPr>
            <w:tcW w:type="dxa" w:w="1337"/>
            <w:tcMar>
              <w:top w:w="40" w:type="dxa"/>
              <w:bottom w:w="40" w:type="dxa"/>
              <w:left w:w="50" w:type="dxa"/>
              <w:right w:w="50" w:type="dxa"/>
            </w:tcMar>
          </w:tcPr>
          <w:p>
            <w:r>
              <w:rPr>
                <w:sz w:val="16"/>
              </w:rPr>
              <w:t>3</w:t>
            </w:r>
          </w:p>
        </w:tc>
        <w:tc>
          <w:tcPr>
            <w:tcW w:type="dxa" w:w="1337"/>
            <w:tcMar>
              <w:top w:w="40" w:type="dxa"/>
              <w:bottom w:w="40" w:type="dxa"/>
              <w:left w:w="50" w:type="dxa"/>
              <w:right w:w="50" w:type="dxa"/>
            </w:tcMar>
          </w:tcPr>
          <w:p>
            <w:r>
              <w:rPr>
                <w:sz w:val="16"/>
              </w:rPr>
              <w:t>4</w:t>
            </w:r>
          </w:p>
        </w:tc>
        <w:tc>
          <w:tcPr>
            <w:tcW w:type="dxa" w:w="1337"/>
            <w:tcMar>
              <w:top w:w="40" w:type="dxa"/>
              <w:bottom w:w="40" w:type="dxa"/>
              <w:left w:w="50" w:type="dxa"/>
              <w:right w:w="50" w:type="dxa"/>
            </w:tcMar>
          </w:tcPr>
          <w:p>
            <w:r>
              <w:rPr>
                <w:sz w:val="16"/>
              </w:rPr>
              <w:t>3</w:t>
            </w:r>
          </w:p>
        </w:tc>
        <w:tc>
          <w:tcPr>
            <w:tcW w:type="dxa" w:w="1337"/>
            <w:tcMar>
              <w:top w:w="40" w:type="dxa"/>
              <w:bottom w:w="40" w:type="dxa"/>
              <w:left w:w="50" w:type="dxa"/>
              <w:right w:w="50" w:type="dxa"/>
            </w:tcMar>
            <w:shd w:val="clear" w:color="auto" w:fill="FADBD8"/>
          </w:tcPr>
          <w:p>
            <w:r>
              <w:rPr>
                <w:b/>
                <w:color w:val="922B21"/>
                <w:sz w:val="16"/>
              </w:rPr>
              <w:t>36</w:t>
            </w:r>
          </w:p>
        </w:tc>
        <w:tc>
          <w:tcPr>
            <w:tcW w:type="dxa" w:w="1337"/>
            <w:tcMar>
              <w:top w:w="40" w:type="dxa"/>
              <w:bottom w:w="40" w:type="dxa"/>
              <w:left w:w="50" w:type="dxa"/>
              <w:right w:w="50" w:type="dxa"/>
            </w:tcMar>
          </w:tcPr>
          <w:p>
            <w:r>
              <w:rPr>
                <w:sz w:val="16"/>
              </w:rPr>
              <w:t>Implement additive reconciliation layer: re-normalize regional shares against computed regional sum ($1,738.5B) rather than printed world total.</w:t>
            </w:r>
          </w:p>
        </w:tc>
      </w:tr>
      <w:tr>
        <w:tc>
          <w:tcPr>
            <w:tcW w:type="dxa" w:w="1337"/>
            <w:tcMar>
              <w:top w:w="40" w:type="dxa"/>
              <w:bottom w:w="40" w:type="dxa"/>
              <w:left w:w="50" w:type="dxa"/>
              <w:right w:w="50" w:type="dxa"/>
            </w:tcMar>
          </w:tcPr>
          <w:p>
            <w:r>
              <w:rPr>
                <w:sz w:val="16"/>
              </w:rPr>
              <w:t>R-03</w:t>
            </w:r>
          </w:p>
        </w:tc>
        <w:tc>
          <w:tcPr>
            <w:tcW w:type="dxa" w:w="1337"/>
            <w:tcMar>
              <w:top w:w="40" w:type="dxa"/>
              <w:bottom w:w="40" w:type="dxa"/>
              <w:left w:w="50" w:type="dxa"/>
              <w:right w:w="50" w:type="dxa"/>
            </w:tcMar>
          </w:tcPr>
          <w:p>
            <w:r>
              <w:rPr>
                <w:sz w:val="16"/>
              </w:rPr>
              <w:t>Missing Values Imputed as Zero (e.g. China)</w:t>
            </w:r>
          </w:p>
        </w:tc>
        <w:tc>
          <w:tcPr>
            <w:tcW w:type="dxa" w:w="1337"/>
            <w:tcMar>
              <w:top w:w="40" w:type="dxa"/>
              <w:bottom w:w="40" w:type="dxa"/>
              <w:left w:w="50" w:type="dxa"/>
              <w:right w:w="50" w:type="dxa"/>
            </w:tcMar>
          </w:tcPr>
          <w:p>
            <w:r>
              <w:rPr>
                <w:sz w:val="16"/>
              </w:rPr>
              <w:t>4</w:t>
            </w:r>
          </w:p>
        </w:tc>
        <w:tc>
          <w:tcPr>
            <w:tcW w:type="dxa" w:w="1337"/>
            <w:tcMar>
              <w:top w:w="40" w:type="dxa"/>
              <w:bottom w:w="40" w:type="dxa"/>
              <w:left w:w="50" w:type="dxa"/>
              <w:right w:w="50" w:type="dxa"/>
            </w:tcMar>
          </w:tcPr>
          <w:p>
            <w:r>
              <w:rPr>
                <w:sz w:val="16"/>
              </w:rPr>
              <w:t>4</w:t>
            </w:r>
          </w:p>
        </w:tc>
        <w:tc>
          <w:tcPr>
            <w:tcW w:type="dxa" w:w="1337"/>
            <w:tcMar>
              <w:top w:w="40" w:type="dxa"/>
              <w:bottom w:w="40" w:type="dxa"/>
              <w:left w:w="50" w:type="dxa"/>
              <w:right w:w="50" w:type="dxa"/>
            </w:tcMar>
          </w:tcPr>
          <w:p>
            <w:r>
              <w:rPr>
                <w:sz w:val="16"/>
              </w:rPr>
              <w:t>2</w:t>
            </w:r>
          </w:p>
        </w:tc>
        <w:tc>
          <w:tcPr>
            <w:tcW w:type="dxa" w:w="1337"/>
            <w:tcMar>
              <w:top w:w="40" w:type="dxa"/>
              <w:bottom w:w="40" w:type="dxa"/>
              <w:left w:w="50" w:type="dxa"/>
              <w:right w:w="50" w:type="dxa"/>
            </w:tcMar>
            <w:shd w:val="clear" w:color="auto" w:fill="FADBD8"/>
          </w:tcPr>
          <w:p>
            <w:r>
              <w:rPr>
                <w:b/>
                <w:color w:val="922B21"/>
                <w:sz w:val="16"/>
              </w:rPr>
              <w:t>32</w:t>
            </w:r>
          </w:p>
        </w:tc>
        <w:tc>
          <w:tcPr>
            <w:tcW w:type="dxa" w:w="1337"/>
            <w:tcMar>
              <w:top w:w="40" w:type="dxa"/>
              <w:bottom w:w="40" w:type="dxa"/>
              <w:left w:w="50" w:type="dxa"/>
              <w:right w:w="50" w:type="dxa"/>
            </w:tcMar>
          </w:tcPr>
          <w:p>
            <w:r>
              <w:rPr>
                <w:sz w:val="16"/>
              </w:rPr>
              <w:t>Deploy three-valued logic: distinguish explicitly between NaN (unrecorded), NULL (inapplicable), and 0 (true zero count); log automated warning.</w:t>
            </w:r>
          </w:p>
        </w:tc>
      </w:tr>
      <w:tr>
        <w:tc>
          <w:tcPr>
            <w:tcW w:type="dxa" w:w="1337"/>
            <w:tcMar>
              <w:top w:w="40" w:type="dxa"/>
              <w:bottom w:w="40" w:type="dxa"/>
              <w:left w:w="50" w:type="dxa"/>
              <w:right w:w="50" w:type="dxa"/>
            </w:tcMar>
          </w:tcPr>
          <w:p>
            <w:r>
              <w:rPr>
                <w:sz w:val="16"/>
              </w:rPr>
              <w:t>R-04</w:t>
            </w:r>
          </w:p>
        </w:tc>
        <w:tc>
          <w:tcPr>
            <w:tcW w:type="dxa" w:w="1337"/>
            <w:tcMar>
              <w:top w:w="40" w:type="dxa"/>
              <w:bottom w:w="40" w:type="dxa"/>
              <w:left w:w="50" w:type="dxa"/>
              <w:right w:w="50" w:type="dxa"/>
            </w:tcMar>
          </w:tcPr>
          <w:p>
            <w:r>
              <w:rPr>
                <w:sz w:val="16"/>
              </w:rPr>
              <w:t>Typographical Parsing Errors (86,51 FEE typo)</w:t>
            </w:r>
          </w:p>
        </w:tc>
        <w:tc>
          <w:tcPr>
            <w:tcW w:type="dxa" w:w="1337"/>
            <w:tcMar>
              <w:top w:w="40" w:type="dxa"/>
              <w:bottom w:w="40" w:type="dxa"/>
              <w:left w:w="50" w:type="dxa"/>
              <w:right w:w="50" w:type="dxa"/>
            </w:tcMar>
          </w:tcPr>
          <w:p>
            <w:r>
              <w:rPr>
                <w:sz w:val="16"/>
              </w:rPr>
              <w:t>4</w:t>
            </w:r>
          </w:p>
        </w:tc>
        <w:tc>
          <w:tcPr>
            <w:tcW w:type="dxa" w:w="1337"/>
            <w:tcMar>
              <w:top w:w="40" w:type="dxa"/>
              <w:bottom w:w="40" w:type="dxa"/>
              <w:left w:w="50" w:type="dxa"/>
              <w:right w:w="50" w:type="dxa"/>
            </w:tcMar>
          </w:tcPr>
          <w:p>
            <w:r>
              <w:rPr>
                <w:sz w:val="16"/>
              </w:rPr>
              <w:t>3</w:t>
            </w:r>
          </w:p>
        </w:tc>
        <w:tc>
          <w:tcPr>
            <w:tcW w:type="dxa" w:w="1337"/>
            <w:tcMar>
              <w:top w:w="40" w:type="dxa"/>
              <w:bottom w:w="40" w:type="dxa"/>
              <w:left w:w="50" w:type="dxa"/>
              <w:right w:w="50" w:type="dxa"/>
            </w:tcMar>
          </w:tcPr>
          <w:p>
            <w:r>
              <w:rPr>
                <w:sz w:val="16"/>
              </w:rPr>
              <w:t>1</w:t>
            </w:r>
          </w:p>
        </w:tc>
        <w:tc>
          <w:tcPr>
            <w:tcW w:type="dxa" w:w="1337"/>
            <w:tcMar>
              <w:top w:w="40" w:type="dxa"/>
              <w:bottom w:w="40" w:type="dxa"/>
              <w:left w:w="50" w:type="dxa"/>
              <w:right w:w="50" w:type="dxa"/>
            </w:tcMar>
            <w:shd w:val="clear" w:color="auto" w:fill="EAFAF1"/>
          </w:tcPr>
          <w:p>
            <w:r>
              <w:rPr>
                <w:b/>
                <w:sz w:val="16"/>
              </w:rPr>
              <w:t>12</w:t>
            </w:r>
          </w:p>
        </w:tc>
        <w:tc>
          <w:tcPr>
            <w:tcW w:type="dxa" w:w="1337"/>
            <w:tcMar>
              <w:top w:w="40" w:type="dxa"/>
              <w:bottom w:w="40" w:type="dxa"/>
              <w:left w:w="50" w:type="dxa"/>
              <w:right w:w="50" w:type="dxa"/>
            </w:tcMar>
          </w:tcPr>
          <w:p>
            <w:r>
              <w:rPr>
                <w:sz w:val="16"/>
              </w:rPr>
              <w:t>Implement automated regex sanitization: re.sub(r'(\d+),(\d{2})$', r'\1\2', val) and cross-validate against YoY percentage change formula.</w:t>
            </w:r>
          </w:p>
        </w:tc>
      </w:tr>
      <w:tr>
        <w:tc>
          <w:tcPr>
            <w:tcW w:type="dxa" w:w="1337"/>
            <w:tcMar>
              <w:top w:w="40" w:type="dxa"/>
              <w:bottom w:w="40" w:type="dxa"/>
              <w:left w:w="50" w:type="dxa"/>
              <w:right w:w="50" w:type="dxa"/>
            </w:tcMar>
          </w:tcPr>
          <w:p>
            <w:r>
              <w:rPr>
                <w:sz w:val="16"/>
              </w:rPr>
              <w:t>R-05</w:t>
            </w:r>
          </w:p>
        </w:tc>
        <w:tc>
          <w:tcPr>
            <w:tcW w:type="dxa" w:w="1337"/>
            <w:tcMar>
              <w:top w:w="40" w:type="dxa"/>
              <w:bottom w:w="40" w:type="dxa"/>
              <w:left w:w="50" w:type="dxa"/>
              <w:right w:w="50" w:type="dxa"/>
            </w:tcMar>
          </w:tcPr>
          <w:p>
            <w:r>
              <w:rPr>
                <w:sz w:val="16"/>
              </w:rPr>
              <w:t>Cross-Table Record Discrepancies (Table 2.1.3 vs 2.1.5)</w:t>
            </w:r>
          </w:p>
        </w:tc>
        <w:tc>
          <w:tcPr>
            <w:tcW w:type="dxa" w:w="1337"/>
            <w:tcMar>
              <w:top w:w="40" w:type="dxa"/>
              <w:bottom w:w="40" w:type="dxa"/>
              <w:left w:w="50" w:type="dxa"/>
              <w:right w:w="50" w:type="dxa"/>
            </w:tcMar>
          </w:tcPr>
          <w:p>
            <w:r>
              <w:rPr>
                <w:sz w:val="16"/>
              </w:rPr>
              <w:t>2</w:t>
            </w:r>
          </w:p>
        </w:tc>
        <w:tc>
          <w:tcPr>
            <w:tcW w:type="dxa" w:w="1337"/>
            <w:tcMar>
              <w:top w:w="40" w:type="dxa"/>
              <w:bottom w:w="40" w:type="dxa"/>
              <w:left w:w="50" w:type="dxa"/>
              <w:right w:w="50" w:type="dxa"/>
            </w:tcMar>
          </w:tcPr>
          <w:p>
            <w:r>
              <w:rPr>
                <w:sz w:val="16"/>
              </w:rPr>
              <w:t>4</w:t>
            </w:r>
          </w:p>
        </w:tc>
        <w:tc>
          <w:tcPr>
            <w:tcW w:type="dxa" w:w="1337"/>
            <w:tcMar>
              <w:top w:w="40" w:type="dxa"/>
              <w:bottom w:w="40" w:type="dxa"/>
              <w:left w:w="50" w:type="dxa"/>
              <w:right w:w="50" w:type="dxa"/>
            </w:tcMar>
          </w:tcPr>
          <w:p>
            <w:r>
              <w:rPr>
                <w:sz w:val="16"/>
              </w:rPr>
              <w:t>2</w:t>
            </w:r>
          </w:p>
        </w:tc>
        <w:tc>
          <w:tcPr>
            <w:tcW w:type="dxa" w:w="1337"/>
            <w:tcMar>
              <w:top w:w="40" w:type="dxa"/>
              <w:bottom w:w="40" w:type="dxa"/>
              <w:left w:w="50" w:type="dxa"/>
              <w:right w:w="50" w:type="dxa"/>
            </w:tcMar>
            <w:shd w:val="clear" w:color="auto" w:fill="EAFAF1"/>
          </w:tcPr>
          <w:p>
            <w:r>
              <w:rPr>
                <w:b/>
                <w:sz w:val="16"/>
              </w:rPr>
              <w:t>16</w:t>
            </w:r>
          </w:p>
        </w:tc>
        <w:tc>
          <w:tcPr>
            <w:tcW w:type="dxa" w:w="1337"/>
            <w:tcMar>
              <w:top w:w="40" w:type="dxa"/>
              <w:bottom w:w="40" w:type="dxa"/>
              <w:left w:w="50" w:type="dxa"/>
              <w:right w:w="50" w:type="dxa"/>
            </w:tcMar>
          </w:tcPr>
          <w:p>
            <w:r>
              <w:rPr>
                <w:sz w:val="16"/>
              </w:rPr>
              <w:t>Design single-source-of-truth hierarchy: prioritize detailed country table 2.1.6 as canonical master dataset; flag delta variances in audit logs.</w:t>
            </w:r>
          </w:p>
        </w:tc>
      </w:tr>
      <w:tr>
        <w:tc>
          <w:tcPr>
            <w:tcW w:type="dxa" w:w="1337"/>
            <w:tcMar>
              <w:top w:w="40" w:type="dxa"/>
              <w:bottom w:w="40" w:type="dxa"/>
              <w:left w:w="50" w:type="dxa"/>
              <w:right w:w="50" w:type="dxa"/>
            </w:tcMar>
          </w:tcPr>
          <w:p>
            <w:r>
              <w:rPr>
                <w:sz w:val="16"/>
              </w:rPr>
              <w:t>R-06</w:t>
            </w:r>
          </w:p>
        </w:tc>
        <w:tc>
          <w:tcPr>
            <w:tcW w:type="dxa" w:w="1337"/>
            <w:tcMar>
              <w:top w:w="40" w:type="dxa"/>
              <w:bottom w:w="40" w:type="dxa"/>
              <w:left w:w="50" w:type="dxa"/>
              <w:right w:w="50" w:type="dxa"/>
            </w:tcMar>
          </w:tcPr>
          <w:p>
            <w:r>
              <w:rPr>
                <w:sz w:val="16"/>
              </w:rPr>
              <w:t>Extreme Covid Shock Skewing Time-Series Models</w:t>
            </w:r>
          </w:p>
        </w:tc>
        <w:tc>
          <w:tcPr>
            <w:tcW w:type="dxa" w:w="1337"/>
            <w:tcMar>
              <w:top w:w="40" w:type="dxa"/>
              <w:bottom w:w="40" w:type="dxa"/>
              <w:left w:w="50" w:type="dxa"/>
              <w:right w:w="50" w:type="dxa"/>
            </w:tcMar>
          </w:tcPr>
          <w:p>
            <w:r>
              <w:rPr>
                <w:sz w:val="16"/>
              </w:rPr>
              <w:t>5</w:t>
            </w:r>
          </w:p>
        </w:tc>
        <w:tc>
          <w:tcPr>
            <w:tcW w:type="dxa" w:w="1337"/>
            <w:tcMar>
              <w:top w:w="40" w:type="dxa"/>
              <w:bottom w:w="40" w:type="dxa"/>
              <w:left w:w="50" w:type="dxa"/>
              <w:right w:w="50" w:type="dxa"/>
            </w:tcMar>
          </w:tcPr>
          <w:p>
            <w:r>
              <w:rPr>
                <w:sz w:val="16"/>
              </w:rPr>
              <w:t>5</w:t>
            </w:r>
          </w:p>
        </w:tc>
        <w:tc>
          <w:tcPr>
            <w:tcW w:type="dxa" w:w="1337"/>
            <w:tcMar>
              <w:top w:w="40" w:type="dxa"/>
              <w:bottom w:w="40" w:type="dxa"/>
              <w:left w:w="50" w:type="dxa"/>
              <w:right w:w="50" w:type="dxa"/>
            </w:tcMar>
          </w:tcPr>
          <w:p>
            <w:r>
              <w:rPr>
                <w:sz w:val="16"/>
              </w:rPr>
              <w:t>1</w:t>
            </w:r>
          </w:p>
        </w:tc>
        <w:tc>
          <w:tcPr>
            <w:tcW w:type="dxa" w:w="1337"/>
            <w:tcMar>
              <w:top w:w="40" w:type="dxa"/>
              <w:bottom w:w="40" w:type="dxa"/>
              <w:left w:w="50" w:type="dxa"/>
              <w:right w:w="50" w:type="dxa"/>
            </w:tcMar>
            <w:shd w:val="clear" w:color="auto" w:fill="EAFAF1"/>
          </w:tcPr>
          <w:p>
            <w:r>
              <w:rPr>
                <w:b/>
                <w:sz w:val="16"/>
              </w:rPr>
              <w:t>25</w:t>
            </w:r>
          </w:p>
        </w:tc>
        <w:tc>
          <w:tcPr>
            <w:tcW w:type="dxa" w:w="1337"/>
            <w:tcMar>
              <w:top w:w="40" w:type="dxa"/>
              <w:bottom w:w="40" w:type="dxa"/>
              <w:left w:w="50" w:type="dxa"/>
              <w:right w:w="50" w:type="dxa"/>
            </w:tcMar>
          </w:tcPr>
          <w:p>
            <w:r>
              <w:rPr>
                <w:sz w:val="16"/>
              </w:rPr>
              <w:t>Dummy variable intervention: in Week 3 ARIMA/SARIMA models, encode 2020-2021 with step-intervention impulse variables to prevent forecast bias.</w:t>
            </w:r>
          </w:p>
        </w:tc>
      </w:tr>
    </w:tbl>
    <w:p>
      <w:pPr>
        <w:spacing w:after="160"/>
      </w:pPr>
    </w:p>
    <w:p>
      <w:pPr>
        <w:spacing w:line="276" w:lineRule="auto"/>
      </w:pPr>
      <w:r>
        <w:rPr>
          <w:b/>
        </w:rPr>
        <w:t>Automated Verification Code Implementation:</w:t>
        <w:br/>
      </w:r>
      <w:r>
        <w:t>To ensure these mitigations are not purely theoretical, the following automated assertion suite is embedded in the data ingestion pipeline:</w:t>
        <w:br/>
      </w:r>
    </w:p>
    <w:p>
      <w:pPr>
        <w:spacing w:before="80" w:after="160" w:line="240" w:lineRule="auto"/>
      </w:pPr>
      <w:r>
        <w:rPr>
          <w:rFonts w:ascii="Consolas" w:hAnsi="Consolas"/>
          <w:color w:val="1A5276"/>
          <w:sz w:val="17"/>
        </w:rPr>
        <w:t>def validate_inbound_integrity(df_monthly, df_inbound):</w:t>
        <w:br/>
        <w:t xml:space="preserve">    # 1. Additive ITA identity test across all 12 months</w:t>
        <w:br/>
        <w:t xml:space="preserve">    monthly_sum = df_monthly['FTAs_2024'] + df_monthly['NRIs_2024']</w:t>
        <w:br/>
        <w:t xml:space="preserve">    assert (monthly_sum == df_monthly['ITAs_2024']).all(), "CRITICAL: ITA Additive Identity Failed!"</w:t>
        <w:br/>
        <w:t xml:space="preserve">    </w:t>
        <w:br/>
        <w:t xml:space="preserve">    # 2. Reconcile monthly sum to annual total</w:t>
        <w:br/>
        <w:t xml:space="preserve">    assert df_monthly['FTAs_2024'].sum() == 9951722, "CRITICAL: Annual FTA checksum failed!"</w:t>
        <w:br/>
        <w:t xml:space="preserve">    </w:t>
        <w:br/>
        <w:t xml:space="preserve">    # 3. Detect and correct monetary typographical anomalies</w:t>
        <w:br/>
        <w:t xml:space="preserve">    clean_fee_2021 = int(str(df_inbound.loc[df_inbound['Year']==2021, 'FEE_USD_Million'].values[0]).replace(',', ''))</w:t>
        <w:br/>
        <w:t xml:space="preserve">    assert clean_fee_2021 == 8651, "CRITICAL: FEE 2021 Typo detected!"</w:t>
        <w:br/>
        <w:t xml:space="preserve">    </w:t>
        <w:br/>
        <w:t xml:space="preserve">    print("All Automated Data Quality Audits Passed (100% Integrity)")</w:t>
      </w:r>
    </w:p>
    <w:tbl>
      <w:tblPr>
        <w:tblW w:type="auto" w:w="0"/>
        <w:tblLook w:firstColumn="1" w:firstRow="1" w:lastColumn="0" w:lastRow="0" w:noHBand="0" w:noVBand="1" w:val="04A0"/>
      </w:tblPr>
      <w:tblGrid>
        <w:gridCol w:w="9360"/>
      </w:tblGrid>
      <w:tr>
        <w:tc>
          <w:tcPr>
            <w:tcW w:type="dxa" w:w="9360"/>
            <w:shd w:val="clear" w:color="auto" w:fill="F4F6F7"/>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