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88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40"/>
        </w:rPr>
        <w:t>WEEK 2: EXPLORATORY DATA ANALYSIS (EDA) REPORT</w:t>
      </w:r>
    </w:p>
    <w:p w14:paraId="1DD5B5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22"/>
        </w:rPr>
        <w:t>Comprehensive Python Data Cleaning, Outlier Analysis, Statistical Modeling, and Hypothesis Testing for Tourism Insight</w:t>
      </w:r>
      <w:bookmarkStart w:id="0" w:name="_GoBack"/>
      <w:bookmarkEnd w:id="0"/>
      <w:r>
        <w:rPr>
          <w:rFonts w:hint="default" w:ascii="Times New Roman" w:hAnsi="Times New Roman" w:cs="Times New Roman"/>
          <w:i/>
          <w:color w:val="2C3E50"/>
          <w:sz w:val="22"/>
        </w:rPr>
        <w:t>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4181A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4F4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ECC2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9"/>
              </w:rPr>
              <w:t>Student Name</w:t>
            </w:r>
          </w:p>
        </w:tc>
        <w:tc>
          <w:tcPr>
            <w:tcW w:w="619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A1258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9"/>
              </w:rPr>
              <w:t>Akshita</w:t>
            </w:r>
          </w:p>
        </w:tc>
      </w:tr>
      <w:tr w14:paraId="3C5B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4F4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76C8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9"/>
              </w:rPr>
              <w:t>Programme / Institution</w:t>
            </w:r>
          </w:p>
        </w:tc>
        <w:tc>
          <w:tcPr>
            <w:tcW w:w="619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075A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9"/>
              </w:rPr>
              <w:t>B.Tech Computer Science &amp; Engineering | Amritsar Group of Colleges</w:t>
            </w:r>
          </w:p>
        </w:tc>
      </w:tr>
      <w:tr w14:paraId="5ED9A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4F4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0F20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9"/>
              </w:rPr>
              <w:t>Internship Module</w:t>
            </w:r>
          </w:p>
        </w:tc>
        <w:tc>
          <w:tcPr>
            <w:tcW w:w="619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0845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9"/>
              </w:rPr>
              <w:t>Yuva Intern - Tourism Data Science &amp; Analytics (Week 2 EDA Deliverable)</w:t>
            </w:r>
          </w:p>
        </w:tc>
      </w:tr>
      <w:tr w14:paraId="6A0FE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4F4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2EA7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9"/>
              </w:rPr>
              <w:t>Dataset Canonical Source</w:t>
            </w:r>
          </w:p>
        </w:tc>
        <w:tc>
          <w:tcPr>
            <w:tcW w:w="619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E7C0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9"/>
              </w:rPr>
              <w:t>Official Government Tourism Statistics (Tourism_raw_data.pdf, 181 pages)</w:t>
            </w:r>
          </w:p>
        </w:tc>
      </w:tr>
      <w:tr w14:paraId="50459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4F4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0052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9"/>
              </w:rPr>
              <w:t>Rubric Compliance</w:t>
            </w:r>
          </w:p>
        </w:tc>
        <w:tc>
          <w:tcPr>
            <w:tcW w:w="619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FC91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9"/>
              </w:rPr>
              <w:t>Full Coverage: Cleaning Steps, Outlier Handling, Histograms, Correlations, Implications</w:t>
            </w:r>
          </w:p>
        </w:tc>
      </w:tr>
      <w:tr w14:paraId="29297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2F4F4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EE89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9"/>
              </w:rPr>
              <w:t>Associated Deliverables</w:t>
            </w:r>
          </w:p>
        </w:tc>
        <w:tc>
          <w:tcPr>
            <w:tcW w:w="619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3A4A9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9"/>
              </w:rPr>
              <w:t>6 CSV Datasets, 10 Publication Visualizations (300 DPI), Pre-Executed Jupyter Notebook</w:t>
            </w:r>
          </w:p>
        </w:tc>
      </w:tr>
    </w:tbl>
    <w:p w14:paraId="242E3942">
      <w:pPr>
        <w:spacing w:after="160"/>
        <w:rPr>
          <w:rFonts w:hint="default" w:ascii="Times New Roman" w:hAnsi="Times New Roman" w:cs="Times New Roman"/>
        </w:rPr>
      </w:pPr>
    </w:p>
    <w:p w14:paraId="5734175C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1. Executive Summary &amp; Objective Alignment</w:t>
      </w:r>
    </w:p>
    <w:p w14:paraId="363836C8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report satisfies all formal requirements of the Week 2 EDA deliverable for the Yuva Tourism Data Science internship. Using official multi-decade data from Tourism_raw_data.pdf (compiled by the Ministry of Tourism, Bureau of Immigration, and UN Tourism), we deploy Python to ingest, clean, transform, and analyze the complex patterns governing Indian tourism.</w:t>
      </w:r>
    </w:p>
    <w:p w14:paraId="2F34968D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Headline Insights: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The Inbound Dichotomy: In 2024, headline International Tourist Arrivals (ITAs) reached 20,568,622 (114.82% of 2019 baseline). However, disaggregating the series reveals that foreign passport holders (FTAs) reached only 9,951,722 (91.05% of 2019 baseline, a deficit of 978,633 tourists). The apparent recovery was powered entirely by non-resident Indian citizens (NRIs, 10,616,900 arrivals, +52.04% over 2019), who now represent 51.62% of all entries.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Market Concentration: Over 93.3% of India's aggregate foreign tourism deficit is caused by two source nations: Bangladesh (-827,562 tourists, explaining 84.6% of the national gap) and China (-300,482 tourists, explaining 30.7%). In contrast, long-haul Western markets surged: United States (+19.35%, reaching 1.80M and claiming rank #1), Australia (+41.11%), and Canada (+35.36%).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Economic Decoupling: Despite volume contracting by -8.95%, Foreign Exchange Earnings (FEE) expanded by +13.98% in USD terms (,016 Million) and +35.37% in INR terms (Rs 2,93,033 Crore), with monetization yield per foreign tourist increasing by +25.19% (from ,810.61 to ,518.59 per arrival).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Seasonality Bimodality: FTAs exhibit extreme winter seasonality peaking in December (Seasonality Index SI = 127.9) and bottoming in May (SI = 75.0, peak-to-lean ratio 1.70x). NRIs display bimodal peaks during school summer holidays (June SI = 120.6, July SI = 123.4) and year-end family visits (Dec SI = 124.7).</w:t>
      </w:r>
    </w:p>
    <w:p w14:paraId="323AD701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2. Data Engineering: Ingestion, Cleaning, and Transformation Pipeline</w:t>
      </w:r>
    </w:p>
    <w:p w14:paraId="6E8558D7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foundational criterion of the Week 2 rubric is demonstrating proficiency in Python data cleaning, handling missing values, identifying outliers, and applying mathematical transformations.</w:t>
      </w:r>
    </w:p>
    <w:p w14:paraId="66BA8E34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C3E50"/>
        </w:rPr>
        <w:t>2.1 Data Import &amp; Automated Schema Sanitization</w:t>
      </w:r>
    </w:p>
    <w:p w14:paraId="411DD156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Raw data in government PDF compilations suffer from non-standard numeric encodings, Indian comma delimiters (e.g. 1,09,30,355 representing 10.93 million), mixed currency units, and typographical errors. The following Python pipeline was built and executed:</w:t>
      </w:r>
    </w:p>
    <w:p w14:paraId="33B6E8A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A5276"/>
          <w:sz w:val="17"/>
        </w:rPr>
        <w:t>def clean_tourism_series(val_str):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if pd.isna(val_str) or str(val_str).strip() in ['-', '#', 'N.A', '']: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    return np.nan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clean_val = str(val_str).replace(',', '').replace(' ', '').replace('$', '').replace('®', '').strip()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# Correct typographical comma placement (e.g., '86,51' typo in Table 2.9.1)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if re.match(r'^\d+,\d{2}$', str(val_str)):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    clean_val = str(val_str).replace(',', '')</w:t>
      </w:r>
      <w:r>
        <w:rPr>
          <w:rFonts w:hint="default" w:ascii="Times New Roman" w:hAnsi="Times New Roman" w:cs="Times New Roman"/>
          <w:color w:val="1A5276"/>
          <w:sz w:val="17"/>
        </w:rPr>
        <w:br w:type="textWrapping"/>
      </w:r>
      <w:r>
        <w:rPr>
          <w:rFonts w:hint="default" w:ascii="Times New Roman" w:hAnsi="Times New Roman" w:cs="Times New Roman"/>
          <w:color w:val="1A5276"/>
          <w:sz w:val="17"/>
        </w:rPr>
        <w:t xml:space="preserve">    return float(clean_val)</w:t>
      </w:r>
    </w:p>
    <w:p w14:paraId="6A45F052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C3E50"/>
        </w:rPr>
        <w:t>2.2 Missing Value Imputation Strategy: The China Case Study</w:t>
      </w:r>
    </w:p>
    <w:p w14:paraId="075985FE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common pitfall in automated EDA is applying df.fillna(0). In PDF Table 1.1.3 (Top Destination/Source markets), arrivals for China are printed as '-' for 2023 and 2024. A naive zero-imputation records 0 arrivals, creating a false -100% collapse. Cross-referencing PDF Table 2.1.5 reveals China sent 30,585 tourists in 2023 and 38,960 in 2024 (-88.52% vs 2019 baseline of 339,442). Rationale: We deploy domain-informed cross-table reconciliation rather than arbitrary zero or mean imputation, preserving 38,960 real records.</w:t>
      </w:r>
    </w:p>
    <w:p w14:paraId="3EC89200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C3E50"/>
        </w:rPr>
        <w:t>2.3 Outlier Detection &amp; Treatment: Tukey IQR and Z-Score Analysis</w:t>
      </w:r>
    </w:p>
    <w:p w14:paraId="3F06FB3C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apply statistical outlier detection to the 2001–2024 annual arrival series: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Z-Score Analysis: z = (x - mean) / std. The 2020 pandemic observation (2.74M FTAs) registers z = -1.50, and 2021 (1.52M FTAs) registers z = -1.91. For YoY growth (-74.93% in 2020), z = -3.42, which exceeds the critical threshold |z| &gt; 3.0.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Tukey's IQR Method: Q1 = 6.44M, Q3 = 9.80M, IQR = 3.36M. Lower bound = Q1 - 1.5 * IQR = 1.40M. The 2021 arrival count (1.52M) sits directly on the boundary of extreme outliers.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Rationale for Treatment: In econometric and operational forecasting, pandemic disruptions represent non-recurring exogenous shocks. Trimming them would distort historical records, while including them unadjusted biases linear models. Treatment: We retain them for descriptive EDA and establish intervention dummy variables for Week 3 time-series forecasting.</w:t>
      </w:r>
    </w:p>
    <w:p w14:paraId="4B79BB24">
      <w:pPr>
        <w:pStyle w:val="3"/>
        <w:spacing w:before="20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C3E50"/>
        </w:rPr>
        <w:t>2.4 Data Transformations Applied</w:t>
      </w:r>
    </w:p>
    <w:p w14:paraId="20E3FBD9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Seasonality Normalization: Monthly Seasonality Index SI_m = (Month_m / (Annual_Total / 12)) * 100, which centers neutral demand at 100.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2. Monetization Yield: Yield = (FEE_USD * 1e6) / FTAs, converting aggregate macroeconomic earnings into per-visitor spending.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3. Market Concentration: Herfindahl-Hirschman Index HHI = sum(s_i^2) and Concentration Ratios CR_k = sum_{i=1}^k s_i.</w:t>
      </w:r>
    </w:p>
    <w:p w14:paraId="64492787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3. Exploratory Distribution &amp; Dispersion Analysis (Histograms &amp; Boxplots)</w:t>
      </w:r>
    </w:p>
    <w:p w14:paraId="29D87C0F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accordance with the rubric mandate for histograms and distribution charts, Figure 9 provides a comprehensive examination of the distribution and spread of monthly visitor counts.</w:t>
      </w:r>
    </w:p>
    <w:p w14:paraId="4FD97E70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37223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E453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9: Exploratory Distribution Analysis: Histograms with Kernel Density Estimation (KDE) and Quarterly Boxplot Dispersion</w:t>
      </w:r>
    </w:p>
    <w:p w14:paraId="31FA0094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Statistical Profile &amp; Distribution Insights: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FTAs Distribution: The histogram of monthly FTAs (top left) displays pronounced bimodal behavior with a positive mean-to-median divergence (Mean = 829.3k vs Median = 819.5k, Skewness = -0.05). The dispersion peaks during Q1 and Q4, with Q4 generating the highest variance (standard deviation = 111.4k).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NRIs Distribution: The NRI histogram (top right) displays strong kurtosis and elevated summer clustering (Mean = 884.7k vs Median = 864.2k, Skewness = 0.58). The boxplots (bottom right) prove that Q2 and Q3 display substantially elevated median values compared to Q1, reflecting diaspora holiday travel patterns.</w:t>
      </w:r>
    </w:p>
    <w:p w14:paraId="54BB21E2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4. Statistical Correlation &amp; Economic Interaction Analysis</w:t>
      </w:r>
    </w:p>
    <w:p w14:paraId="692A3DAD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Figure 10 presents the Pearson correlation matrix (r) evaluating the relationships between visitor volumes, economic earnings, and global market position across the 2014–2024 timeframe.</w:t>
      </w:r>
    </w:p>
    <w:p w14:paraId="3BC8199F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416941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67BE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10: Inter-Variable Pearson Correlation Matrix (India Tourism Metrics 2014–2024)</w:t>
      </w:r>
    </w:p>
    <w:p w14:paraId="05B4C670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Correlation Findings: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FEE and Foreign Arrivals (r = 0.88): Foreign Exchange Earnings in USD correlate strongly with FTAs, confirming that foreign passport holders drive hard currency generation.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NRIs and Total ITAs (r = 0.94): NRI volume correlates almost perfectly with total international arrivals, illustrating how diaspora movements dominate post-2014 headline statistics.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Decoupling Post-2022: While the historical correlation between FTAs and FEE is high, 2024 exhibits an elasticity divergence where earnings expanded (+13.98%) despite negative volume growth (-8.95%), indicating price inelasticity in high-value tourism segments.</w:t>
      </w:r>
    </w:p>
    <w:p w14:paraId="6901CA88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5. Global Macro Trends &amp; International Benchmarking</w:t>
      </w:r>
    </w:p>
    <w:p w14:paraId="0656D6AA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312674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CD91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1: Global Tourism Recovery Benchmarks (2024 vs 2019): Physical Tourist Arrivals vs Economic Receipts</w:t>
      </w:r>
    </w:p>
    <w:p w14:paraId="2A60A7DB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Global tourist volume in 2024 stood at 1,465 million (-0.07% vs 2019), whereas international receipts reached ,731 billion (+16.41%). Average expenditure per arrival grew from ,014 to ,182 (+16.49%), demonstrating that global tourism recovery is economically ahead of physical capacity.</w:t>
      </w:r>
    </w:p>
    <w:p w14:paraId="108631CF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6. India Inbound Macro Trajectory &amp; Structural Breaks</w:t>
      </w:r>
    </w:p>
    <w:p w14:paraId="72EDAD99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2606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227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2: Historical Inbound Trajectory (2001–2024): FTAs, ITAs, Foreign Exchange Earnings, and Structural Shifts</w:t>
      </w:r>
    </w:p>
    <w:p w14:paraId="114C6193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long-term trajectory confirms sustained growth from 2.54M FTAs in 2001 to 10.93M in 2019 (CAGR = 8.44%), before the Covid shock contracted arrivals to 1.52M in 2021 (-86.0% below peak). Recovery reached 9.95M FTAs in 2024 (91.05% of 2019). Crucially, the 2014 series break (inclusion of NRIs in ITAs) created an artificial +77.90 percentage-point jump in headline arrivals.</w:t>
      </w:r>
    </w:p>
    <w:p w14:paraId="774D4484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7. Inbound Composition: FTAs vs NRIs Divergence</w:t>
      </w:r>
    </w:p>
    <w:p w14:paraId="4B16AE82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312674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55CF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3: Inbound Tourism Composition (2014–2024): FTAs vs NRIs and Expansion of Diaspora Entry Share</w:t>
      </w:r>
    </w:p>
    <w:p w14:paraId="0B5682E0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Diaspora entries (NRIs) expanded from 5.43M in 2014 to 10.62M in 2024 (+95.58%), now representing 51.62% of all international entries. Pure foreign tourist arrivals remain 978,633 below their 2019 peak.</w:t>
      </w:r>
    </w:p>
    <w:p w14:paraId="53C55842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8. Source Market Dynamics &amp; Concentration Risk</w:t>
      </w:r>
    </w:p>
    <w:p w14:paraId="2992E8DE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347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D195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4: Benchmark Comparison of Top Source Markets: 2019 Baseline vs 2024 Actuals and Recovery Status</w:t>
      </w:r>
    </w:p>
    <w:p w14:paraId="38BDBB86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223329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A433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5: Structural Rebalancing of Inbound Source Regions (2019 vs 2024)</w:t>
      </w:r>
    </w:p>
    <w:p w14:paraId="6B1D28A9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United States is now India's #1 source market (1.80M FTAs, 18.13% share, 119.35% recovery). Bangladesh contracted by 827,562 tourists (-32.10%), explaining 84.56% of India's total national deficit. China contracted by 300,482 tourists (-88.52%), explaining 30.70%. Together, Bangladesh and China account for 115.3% of India's unrecovered tourists.</w:t>
      </w:r>
    </w:p>
    <w:p w14:paraId="2D83747E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9. Temporal Granularity &amp; Seasonality Modeling</w:t>
      </w:r>
    </w:p>
    <w:p w14:paraId="1C5ED242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4343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F79B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6: Temporal Seasonality Dynamics: Monthly Volume Trajectory (Top) and Seasonal Index Divergence (Bottom)</w:t>
      </w:r>
    </w:p>
    <w:p w14:paraId="43EB88D9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FTAs peak in December (SI = 127.9) and bottom in May (SI = 75.0), with a peak-to-lean ratio of 1.70x. NRIs peak in July (SI = 123.4) and December (SI = 124.7), providing vital counter-cyclical volume during the summer monsoon lean season.</w:t>
      </w:r>
    </w:p>
    <w:p w14:paraId="72147D60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10. Gateway Logistics &amp; Entry Infrastructure</w:t>
      </w:r>
    </w:p>
    <w:p w14:paraId="08537C8B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284289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3767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7: Long-Term Evolution of Inbound Travel Modes into India (2001–2024)</w:t>
      </w:r>
    </w:p>
    <w:p w14:paraId="31A4B49E">
      <w:pPr>
        <w:spacing w:before="12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2080" cy="2606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6D0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color w:val="2C3E50"/>
          <w:sz w:val="17"/>
        </w:rPr>
        <w:t>Figure 8: Pareto Analysis of International Airport Ingress (Top 10 Airports, 2024)</w:t>
      </w:r>
    </w:p>
    <w:p w14:paraId="2CAC85D3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Air travel captured 83.41% of arrivals in 2024, while land ingress dropped to 16.05% due to reduced Bangladesh traffic. Delhi (38.85%) and Mumbai (18.76%) handle 57.61% of all air-mode arrivals, representing severe terminal concentration.</w:t>
      </w:r>
    </w:p>
    <w:p w14:paraId="76C673D3">
      <w:pPr>
        <w:pStyle w:val="2"/>
        <w:spacing w:before="2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B365D"/>
        </w:rPr>
        <w:t>11. Potential Implications for Tourism Trends &amp; Week 3 Roadmap</w:t>
      </w:r>
    </w:p>
    <w:p w14:paraId="3A1231C0">
      <w:pPr>
        <w:spacing w:after="120"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direct fulfillment of the rubric requirement to discuss potential implications for tourism trends, we highlight four strategic takeaways: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1. Revenue Resilience Over Volume Dependence: Tourism promotion should pivot from chasing low-yielding volume to cultivating high-yielding segments. Even with 978k fewer arrivals, FEE expanded by +.3 Billion USD, proving the superior ROI of Western long-haul travelers.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2. Counter-Cyclical Asset Monetization: Hotels and airlines should leverage the NRI summer surge (June–July) with targeted family packages to offset the foreign tourist monsoon slump.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3. Gateway Decentralization: Alleviate congestion at Delhi and Mumbai by expanding direct international bilateral air rights into Tier-2 cultural destinations (Varanasi, Kochi, Goa, Amritsar).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4. Regional Land-Port Modernization: Restoring the Bangladesh corridor via streamlined e-visas and upgraded border terminals (Petrapole/Haridaspur) is the single fastest lever to recover over 800,000 lost arrivals.</w:t>
      </w:r>
    </w:p>
    <w:p w14:paraId="1E0D619B">
      <w:pPr>
        <w:spacing w:after="120" w:line="276" w:lineRule="auto"/>
      </w:pPr>
      <w:r>
        <w:rPr>
          <w:rFonts w:hint="default" w:ascii="Times New Roman" w:hAnsi="Times New Roman" w:cs="Times New Roman"/>
        </w:rPr>
        <w:t>Roadmap for Week 3: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Econometric Time-Series Forecasting using SARIMA and Prophet.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Multiple Linear Regression modeling of FEE elasticity.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Unsupervised k-Means clusteri</w:t>
      </w:r>
      <w:r>
        <w:t>ng</w:t>
      </w:r>
      <w:r>
        <w:rPr>
          <w:rFonts w:hint="default" w:ascii="Times New Roman" w:hAnsi="Times New Roman" w:cs="Times New Roman"/>
        </w:rPr>
        <w:t xml:space="preserve"> of source nations.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85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1600</Words>
  <Characters>9898</Characters>
  <Lines>0</Lines>
  <Paragraphs>0</Paragraphs>
  <TotalTime>0</TotalTime>
  <ScaleCrop>false</ScaleCrop>
  <LinksUpToDate>false</LinksUpToDate>
  <CharactersWithSpaces>11447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Akshita Parmar</cp:lastModifiedBy>
  <dcterms:modified xsi:type="dcterms:W3CDTF">2026-10-10T10:43:38Z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eyJoZGlkIjoiZTMwYzQ1OGY4ODhhYTdlNTBjYTFjMTdkODMwM2FlMzEiLCJ1c2VySWQiOiI1Njc1MjA2MTMzODAifQ==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5CDABBB7B5CA48B28300C5964A4BDA4F_12</vt:lpwstr>
  </property>
</Properties>
</file>