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rFonts w:ascii="Liberation Sans" w:hAnsi="Liberation Sans"/>
        </w:rPr>
      </w:pPr>
      <w:r>
        <w:rPr>
          <w:rFonts w:ascii="Liberation Sans" w:hAnsi="Liberation Sans"/>
        </w:rPr>
        <w:t>Knowledge of Capital Markets</w:t>
      </w:r>
    </w:p>
    <w:p>
      <w:pPr>
        <w:pStyle w:val="Normal"/>
        <w:bidi w:val="0"/>
        <w:jc w:val="left"/>
        <w:rPr>
          <w:rFonts w:ascii="Liberation Sans" w:hAnsi="Liberation Sans"/>
          <w:b w:val="false"/>
          <w:b w:val="false"/>
          <w:bCs w:val="false"/>
          <w:sz w:val="24"/>
        </w:rPr>
      </w:pPr>
      <w:r>
        <w:rPr>
          <w:rFonts w:ascii="Liberation Sans" w:hAnsi="Liberation Sans"/>
          <w:b w:val="false"/>
          <w:bCs w:val="false"/>
          <w:sz w:val="24"/>
        </w:rPr>
        <w:t>Types of Markets:</w:t>
      </w:r>
    </w:p>
    <w:p>
      <w:pPr>
        <w:pStyle w:val="Normal"/>
        <w:bidi w:val="0"/>
        <w:jc w:val="left"/>
        <w:rPr>
          <w:rFonts w:ascii="Liberation Sans" w:hAnsi="Liberation Sans"/>
          <w:b w:val="false"/>
          <w:b w:val="false"/>
          <w:bCs w:val="false"/>
          <w:sz w:val="16"/>
        </w:rPr>
      </w:pPr>
      <w:r>
        <w:rPr>
          <w:rFonts w:ascii="Liberation Sans" w:hAnsi="Liberation Sans"/>
          <w:b/>
          <w:bCs/>
          <w:sz w:val="16"/>
        </w:rPr>
        <w:t xml:space="preserve">Primary </w:t>
      </w:r>
      <w:r>
        <w:rPr>
          <w:rFonts w:ascii="Liberation Sans" w:hAnsi="Liberation Sans"/>
          <w:b w:val="false"/>
          <w:bCs w:val="false"/>
          <w:sz w:val="16"/>
        </w:rPr>
        <w:t>– issuers sell securities to raise capital</w:t>
      </w:r>
    </w:p>
    <w:p>
      <w:pPr>
        <w:pStyle w:val="Normal"/>
        <w:bidi w:val="0"/>
        <w:jc w:val="left"/>
        <w:rPr>
          <w:rFonts w:ascii="Liberation Sans" w:hAnsi="Liberation Sans"/>
          <w:b w:val="false"/>
          <w:b w:val="false"/>
          <w:bCs w:val="false"/>
          <w:sz w:val="16"/>
        </w:rPr>
      </w:pPr>
      <w:r>
        <w:rPr>
          <w:rFonts w:ascii="Liberation Sans" w:hAnsi="Liberation Sans"/>
          <w:b/>
          <w:bCs/>
          <w:sz w:val="16"/>
        </w:rPr>
        <w:t xml:space="preserve">Secondary </w:t>
      </w:r>
      <w:r>
        <w:rPr>
          <w:rFonts w:ascii="Liberation Sans" w:hAnsi="Liberation Sans"/>
          <w:b w:val="false"/>
          <w:bCs w:val="false"/>
          <w:sz w:val="16"/>
        </w:rPr>
        <w:t>– transactions between investors:</w:t>
      </w:r>
    </w:p>
    <w:p>
      <w:pPr>
        <w:pStyle w:val="Normal"/>
        <w:bidi w:val="0"/>
        <w:jc w:val="left"/>
        <w:rPr>
          <w:rFonts w:ascii="Liberation Sans" w:hAnsi="Liberation Sans"/>
          <w:b w:val="false"/>
          <w:b w:val="false"/>
          <w:bCs w:val="false"/>
          <w:sz w:val="16"/>
        </w:rPr>
      </w:pPr>
      <w:r>
        <w:rPr>
          <w:rFonts w:ascii="Liberation Sans" w:hAnsi="Liberation Sans"/>
          <w:b w:val="false"/>
          <w:bCs w:val="false"/>
          <w:sz w:val="16"/>
        </w:rPr>
        <w:t xml:space="preserve">Recall: A primary offering is one in which the proceeds raised go to the issuing corporation, municipality, or government. For example, a corporation's senior management chooses to </w:t>
      </w:r>
      <w:r>
        <w:rPr>
          <w:rFonts w:ascii="Liberation Sans" w:hAnsi="Liberation Sans"/>
          <w:b w:val="false"/>
          <w:bCs w:val="false"/>
          <w:i/>
          <w:iCs/>
          <w:sz w:val="16"/>
        </w:rPr>
        <w:t>issue</w:t>
      </w:r>
      <w:r>
        <w:rPr>
          <w:rFonts w:ascii="Liberation Sans" w:hAnsi="Liberation Sans"/>
          <w:b w:val="false"/>
          <w:bCs w:val="false"/>
          <w:sz w:val="16"/>
        </w:rPr>
        <w:t xml:space="preserve"> additional bonds to the general public. This corp. looks to increase its liquid capital by offering bonds. Primary offerings of bonds may be made by an issuer publicly, as is the case, or privately.</w:t>
      </w:r>
    </w:p>
    <w:p>
      <w:pPr>
        <w:pStyle w:val="Normal"/>
        <w:bidi w:val="0"/>
        <w:jc w:val="left"/>
        <w:rPr>
          <w:rFonts w:ascii="Liberation Sans" w:hAnsi="Liberation Sans"/>
          <w:b w:val="false"/>
          <w:b w:val="false"/>
          <w:bCs w:val="false"/>
          <w:sz w:val="16"/>
        </w:rPr>
      </w:pPr>
      <w:r>
        <w:rPr>
          <w:rFonts w:ascii="Liberation Sans" w:hAnsi="Liberation Sans"/>
          <w:b w:val="false"/>
          <w:bCs w:val="false"/>
          <w:sz w:val="16"/>
        </w:rPr>
        <w:t>**</w:t>
      </w:r>
      <w:r>
        <w:rPr>
          <w:rFonts w:ascii="Liberation Sans" w:hAnsi="Liberation Sans"/>
          <w:b w:val="false"/>
          <w:bCs w:val="false"/>
          <w:sz w:val="16"/>
        </w:rPr>
        <w:t xml:space="preserve">Look for the key word – </w:t>
      </w:r>
      <w:r>
        <w:rPr>
          <w:rFonts w:ascii="Liberation Sans" w:hAnsi="Liberation Sans"/>
          <w:b w:val="false"/>
          <w:bCs w:val="false"/>
          <w:i/>
          <w:iCs/>
          <w:sz w:val="16"/>
        </w:rPr>
        <w:t xml:space="preserve">issue </w:t>
      </w:r>
    </w:p>
    <w:p>
      <w:pPr>
        <w:pStyle w:val="Normal"/>
        <w:bidi w:val="0"/>
        <w:jc w:val="left"/>
        <w:rPr>
          <w:rFonts w:ascii="Liberation Sans" w:hAnsi="Liberation Sans"/>
          <w:b w:val="false"/>
          <w:b w:val="false"/>
          <w:bCs w:val="false"/>
          <w:sz w:val="16"/>
        </w:rPr>
      </w:pPr>
      <w:r>
        <w:rPr>
          <w:rFonts w:ascii="Liberation Sans" w:hAnsi="Liberation Sans"/>
          <w:b w:val="false"/>
          <w:bCs w:val="false"/>
          <w:i w:val="false"/>
          <w:iCs w:val="false"/>
          <w:sz w:val="16"/>
        </w:rPr>
        <w:t>I</w:t>
      </w:r>
      <w:r>
        <w:rPr>
          <w:rFonts w:ascii="Liberation Sans" w:hAnsi="Liberation Sans"/>
          <w:b w:val="false"/>
          <w:bCs w:val="false"/>
          <w:i w:val="false"/>
          <w:iCs w:val="false"/>
          <w:sz w:val="16"/>
        </w:rPr>
        <w:t xml:space="preserve">nvestors purchasing secs from </w:t>
      </w:r>
      <w:r>
        <w:rPr>
          <w:rFonts w:ascii="Liberation Sans" w:hAnsi="Liberation Sans"/>
          <w:b w:val="false"/>
          <w:bCs w:val="false"/>
          <w:i/>
          <w:iCs/>
          <w:sz w:val="16"/>
        </w:rPr>
        <w:t>issuer</w:t>
      </w:r>
      <w:r>
        <w:rPr>
          <w:rFonts w:ascii="Liberation Sans" w:hAnsi="Liberation Sans"/>
          <w:b w:val="false"/>
          <w:bCs w:val="false"/>
          <w:i w:val="false"/>
          <w:iCs w:val="false"/>
          <w:sz w:val="16"/>
        </w:rPr>
        <w:t xml:space="preserve"> - primary</w:t>
      </w:r>
    </w:p>
    <w:p>
      <w:pPr>
        <w:pStyle w:val="Normal"/>
        <w:bidi w:val="0"/>
        <w:jc w:val="left"/>
        <w:rPr>
          <w:rFonts w:ascii="Liberation Sans" w:hAnsi="Liberation Sans"/>
          <w:b w:val="false"/>
          <w:b w:val="false"/>
          <w:bCs w:val="false"/>
          <w:sz w:val="16"/>
        </w:rPr>
      </w:pPr>
      <w:r>
        <w:rPr>
          <w:rFonts w:ascii="Liberation Sans" w:hAnsi="Liberation Sans"/>
          <w:b w:val="false"/>
          <w:bCs w:val="false"/>
          <w:sz w:val="16"/>
        </w:rPr>
        <w:t>Investors purchasing secs from anyone else - 2ndary</w:t>
      </w:r>
    </w:p>
    <w:p>
      <w:pPr>
        <w:pStyle w:val="Normal"/>
        <w:bidi w:val="0"/>
        <w:jc w:val="left"/>
        <w:rPr>
          <w:rFonts w:ascii="Liberation Sans" w:hAnsi="Liberation Sans"/>
          <w:b w:val="false"/>
          <w:b w:val="false"/>
          <w:bCs w:val="false"/>
          <w:sz w:val="20"/>
        </w:rPr>
      </w:pPr>
      <w:r>
        <w:rPr>
          <w:rFonts w:ascii="Liberation Sans" w:hAnsi="Liberation Sans"/>
          <w:b w:val="false"/>
          <w:bCs w:val="false"/>
          <w:sz w:val="20"/>
        </w:rPr>
        <w:t>Market Centers:</w:t>
      </w:r>
    </w:p>
    <w:p>
      <w:pPr>
        <w:pStyle w:val="Normal"/>
        <w:bidi w:val="0"/>
        <w:jc w:val="left"/>
        <w:rPr>
          <w:rFonts w:ascii="Liberation Sans" w:hAnsi="Liberation Sans"/>
          <w:b w:val="false"/>
          <w:b w:val="false"/>
          <w:bCs w:val="false"/>
          <w:sz w:val="16"/>
        </w:rPr>
      </w:pPr>
      <w:r>
        <w:rPr>
          <w:rFonts w:ascii="Liberation Sans" w:hAnsi="Liberation Sans"/>
          <w:b/>
          <w:bCs/>
          <w:sz w:val="16"/>
        </w:rPr>
        <w:t xml:space="preserve">Exchanges </w:t>
      </w:r>
      <w:r>
        <w:rPr>
          <w:rFonts w:ascii="Liberation Sans" w:hAnsi="Liberation Sans"/>
          <w:b w:val="false"/>
          <w:bCs w:val="false"/>
          <w:sz w:val="16"/>
        </w:rPr>
        <w:t>– physical location, an auction market with designated market makers, listed secs</w:t>
      </w:r>
    </w:p>
    <w:p>
      <w:pPr>
        <w:pStyle w:val="Normal"/>
        <w:bidi w:val="0"/>
        <w:jc w:val="left"/>
        <w:rPr>
          <w:rFonts w:ascii="Liberation Sans" w:hAnsi="Liberation Sans"/>
          <w:b w:val="false"/>
          <w:b w:val="false"/>
          <w:bCs w:val="false"/>
          <w:sz w:val="16"/>
        </w:rPr>
      </w:pPr>
      <w:r>
        <w:rPr>
          <w:rFonts w:ascii="Liberation Sans" w:hAnsi="Liberation Sans"/>
          <w:b/>
          <w:bCs/>
          <w:sz w:val="16"/>
        </w:rPr>
        <w:t>OTC</w:t>
      </w:r>
      <w:r>
        <w:rPr>
          <w:rFonts w:ascii="Liberation Sans" w:hAnsi="Liberation Sans"/>
          <w:b w:val="false"/>
          <w:bCs w:val="false"/>
          <w:sz w:val="16"/>
        </w:rPr>
        <w:t xml:space="preserve"> – decentralized trades between dealers/market makers</w:t>
      </w:r>
    </w:p>
    <w:p>
      <w:pPr>
        <w:pStyle w:val="Normal"/>
        <w:bidi w:val="0"/>
        <w:jc w:val="left"/>
        <w:rPr>
          <w:rFonts w:ascii="Liberation Sans" w:hAnsi="Liberation Sans"/>
          <w:b w:val="false"/>
          <w:b w:val="false"/>
          <w:bCs w:val="false"/>
          <w:sz w:val="16"/>
        </w:rPr>
      </w:pPr>
      <w:r>
        <w:rPr>
          <w:rFonts w:ascii="Liberation Sans" w:hAnsi="Liberation Sans"/>
          <w:b/>
          <w:bCs/>
          <w:sz w:val="16"/>
        </w:rPr>
        <w:t xml:space="preserve">Third Market </w:t>
      </w:r>
      <w:r>
        <w:rPr>
          <w:rFonts w:ascii="Liberation Sans" w:hAnsi="Liberation Sans"/>
          <w:b w:val="false"/>
          <w:bCs w:val="false"/>
          <w:sz w:val="16"/>
        </w:rPr>
        <w:t>– exch.listed secs trading OTC</w:t>
      </w:r>
    </w:p>
    <w:p>
      <w:pPr>
        <w:pStyle w:val="Normal"/>
        <w:bidi w:val="0"/>
        <w:jc w:val="left"/>
        <w:rPr>
          <w:rFonts w:ascii="Liberation Sans" w:hAnsi="Liberation Sans"/>
          <w:b w:val="false"/>
          <w:b w:val="false"/>
          <w:bCs w:val="false"/>
          <w:sz w:val="16"/>
        </w:rPr>
      </w:pPr>
      <w:r>
        <w:rPr>
          <w:rFonts w:ascii="Liberation Sans" w:hAnsi="Liberation Sans"/>
          <w:b/>
          <w:bCs/>
          <w:sz w:val="16"/>
        </w:rPr>
        <w:t>Fourth Market</w:t>
      </w:r>
      <w:r>
        <w:rPr>
          <w:rFonts w:ascii="Liberation Sans" w:hAnsi="Liberation Sans"/>
          <w:b w:val="false"/>
          <w:bCs w:val="false"/>
          <w:sz w:val="16"/>
        </w:rPr>
        <w:t xml:space="preserve"> – trading between inst. Via ECNs</w:t>
      </w:r>
    </w:p>
    <w:p>
      <w:pPr>
        <w:pStyle w:val="Normal"/>
        <w:bidi w:val="0"/>
        <w:jc w:val="left"/>
        <w:rPr>
          <w:rFonts w:ascii="Liberation Sans" w:hAnsi="Liberation Sans"/>
        </w:rPr>
      </w:pPr>
      <w:r>
        <w:rPr>
          <w:rFonts w:ascii="Liberation Sans" w:hAnsi="Liberation Sans"/>
        </w:rPr>
        <w:t>UW Commitments:</w:t>
      </w:r>
    </w:p>
    <w:p>
      <w:pPr>
        <w:pStyle w:val="Normal"/>
        <w:bidi w:val="0"/>
        <w:jc w:val="left"/>
        <w:rPr>
          <w:rFonts w:ascii="Liberation Sans" w:hAnsi="Liberation Sans"/>
          <w:b/>
          <w:b/>
          <w:bCs/>
          <w:sz w:val="16"/>
        </w:rPr>
      </w:pPr>
      <w:r>
        <w:rPr>
          <w:rFonts w:ascii="Liberation Sans" w:hAnsi="Liberation Sans"/>
          <w:b/>
          <w:bCs/>
          <w:sz w:val="16"/>
        </w:rPr>
        <w:t>Best Efforts (As Agent, Broker)</w:t>
      </w:r>
    </w:p>
    <w:p>
      <w:pPr>
        <w:pStyle w:val="Normal"/>
        <w:numPr>
          <w:ilvl w:val="0"/>
          <w:numId w:val="14"/>
        </w:numPr>
        <w:bidi w:val="0"/>
        <w:jc w:val="left"/>
        <w:rPr>
          <w:rFonts w:ascii="Liberation Sans" w:hAnsi="Liberation Sans"/>
          <w:sz w:val="16"/>
        </w:rPr>
      </w:pPr>
      <w:r>
        <w:rPr>
          <w:rFonts w:ascii="Liberation Sans" w:hAnsi="Liberation Sans"/>
          <w:sz w:val="16"/>
        </w:rPr>
        <w:t>All or None (AON) – all or cancel the UW</w:t>
      </w:r>
    </w:p>
    <w:p>
      <w:pPr>
        <w:pStyle w:val="Normal"/>
        <w:numPr>
          <w:ilvl w:val="0"/>
          <w:numId w:val="14"/>
        </w:numPr>
        <w:bidi w:val="0"/>
        <w:jc w:val="left"/>
        <w:rPr>
          <w:rFonts w:ascii="Liberation Sans" w:hAnsi="Liberation Sans"/>
          <w:sz w:val="16"/>
        </w:rPr>
      </w:pPr>
      <w:r>
        <w:rPr>
          <w:rFonts w:ascii="Liberation Sans" w:hAnsi="Liberation Sans"/>
          <w:sz w:val="16"/>
        </w:rPr>
        <w:t>Mini Max – UW sells between a min and max set by Issuer</w:t>
      </w:r>
    </w:p>
    <w:p>
      <w:pPr>
        <w:pStyle w:val="Normal"/>
        <w:bidi w:val="0"/>
        <w:jc w:val="left"/>
        <w:rPr>
          <w:rFonts w:ascii="Liberation Sans" w:hAnsi="Liberation Sans"/>
          <w:b/>
          <w:b/>
          <w:bCs/>
          <w:sz w:val="16"/>
        </w:rPr>
      </w:pPr>
      <w:r>
        <w:rPr>
          <w:rFonts w:ascii="Liberation Sans" w:hAnsi="Liberation Sans"/>
          <w:b/>
          <w:bCs/>
          <w:sz w:val="16"/>
        </w:rPr>
        <w:t>Firm Commitment (As Principal, Dealer, Market Maker)</w:t>
      </w:r>
    </w:p>
    <w:p>
      <w:pPr>
        <w:pStyle w:val="Normal"/>
        <w:bidi w:val="0"/>
        <w:jc w:val="left"/>
        <w:rPr>
          <w:rFonts w:ascii="Liberation Sans" w:hAnsi="Liberation Sans"/>
          <w:b/>
          <w:b/>
          <w:bCs/>
          <w:sz w:val="16"/>
        </w:rPr>
      </w:pPr>
      <w:r>
        <w:rPr>
          <w:rFonts w:ascii="Liberation Sans" w:hAnsi="Liberation Sans"/>
          <w:b/>
          <w:bCs/>
          <w:sz w:val="16"/>
        </w:rPr>
      </w:r>
    </w:p>
    <w:p>
      <w:pPr>
        <w:pStyle w:val="Normal"/>
        <w:bidi w:val="0"/>
        <w:jc w:val="left"/>
        <w:rPr>
          <w:rFonts w:ascii="Liberation Sans" w:hAnsi="Liberation Sans"/>
          <w:b w:val="false"/>
          <w:b w:val="false"/>
          <w:bCs w:val="false"/>
          <w:sz w:val="24"/>
        </w:rPr>
      </w:pPr>
      <w:r>
        <w:rPr>
          <w:rFonts w:ascii="Liberation Sans" w:hAnsi="Liberation Sans"/>
          <w:b w:val="false"/>
          <w:bCs w:val="false"/>
          <w:sz w:val="24"/>
        </w:rPr>
        <w:t>Investors</w:t>
      </w:r>
      <w:r>
        <w:rPr>
          <w:rFonts w:ascii="Liberation Sans" w:hAnsi="Liberation Sans"/>
          <w:b w:val="false"/>
          <w:bCs w:val="false"/>
          <w:sz w:val="24"/>
        </w:rPr>
        <w:t>:</w:t>
      </w:r>
    </w:p>
    <w:p>
      <w:pPr>
        <w:pStyle w:val="Normal"/>
        <w:bidi w:val="0"/>
        <w:jc w:val="left"/>
        <w:rPr>
          <w:rFonts w:ascii="Liberation Sans" w:hAnsi="Liberation Sans"/>
          <w:b w:val="false"/>
          <w:b w:val="false"/>
          <w:bCs w:val="false"/>
          <w:sz w:val="16"/>
        </w:rPr>
      </w:pPr>
      <w:r>
        <w:rPr>
          <w:rFonts w:ascii="Liberation Sans" w:hAnsi="Liberation Sans"/>
          <w:b w:val="false"/>
          <w:bCs w:val="false"/>
          <w:sz w:val="16"/>
        </w:rPr>
        <w:t>Institutional – QIB, min of $100mm</w:t>
      </w:r>
    </w:p>
    <w:p>
      <w:pPr>
        <w:pStyle w:val="Normal"/>
        <w:bidi w:val="0"/>
        <w:jc w:val="left"/>
        <w:rPr>
          <w:rFonts w:ascii="Liberation Sans" w:hAnsi="Liberation Sans"/>
          <w:b w:val="false"/>
          <w:b w:val="false"/>
          <w:bCs w:val="false"/>
          <w:sz w:val="16"/>
        </w:rPr>
      </w:pPr>
      <w:r>
        <w:rPr>
          <w:rFonts w:ascii="Liberation Sans" w:hAnsi="Liberation Sans"/>
          <w:b w:val="false"/>
          <w:bCs w:val="false"/>
          <w:sz w:val="16"/>
        </w:rPr>
        <w:t>Retail</w:t>
      </w:r>
    </w:p>
    <w:p>
      <w:pPr>
        <w:pStyle w:val="Normal"/>
        <w:bidi w:val="0"/>
        <w:jc w:val="left"/>
        <w:rPr>
          <w:rFonts w:ascii="Liberation Sans" w:hAnsi="Liberation Sans"/>
          <w:b w:val="false"/>
          <w:b w:val="false"/>
          <w:bCs w:val="false"/>
          <w:sz w:val="16"/>
        </w:rPr>
      </w:pPr>
      <w:r>
        <w:rPr>
          <w:rFonts w:ascii="Liberation Sans" w:hAnsi="Liberation Sans"/>
          <w:b w:val="false"/>
          <w:bCs w:val="false"/>
          <w:sz w:val="16"/>
        </w:rPr>
        <w:t xml:space="preserve">Accredited </w:t>
      </w:r>
      <w:r>
        <w:rPr>
          <w:rFonts w:ascii="Liberation Sans" w:hAnsi="Liberation Sans"/>
          <w:b w:val="false"/>
          <w:bCs w:val="false"/>
          <w:i/>
          <w:iCs/>
          <w:sz w:val="16"/>
        </w:rPr>
        <w:t>(Rule 501 Reg D, 1933 act)</w:t>
      </w:r>
    </w:p>
    <w:p>
      <w:pPr>
        <w:pStyle w:val="Normal"/>
        <w:numPr>
          <w:ilvl w:val="0"/>
          <w:numId w:val="2"/>
        </w:numPr>
        <w:bidi w:val="0"/>
        <w:jc w:val="left"/>
        <w:rPr>
          <w:rFonts w:ascii="Liberation Sans" w:hAnsi="Liberation Sans"/>
          <w:b w:val="false"/>
          <w:b w:val="false"/>
          <w:bCs w:val="false"/>
          <w:sz w:val="16"/>
        </w:rPr>
      </w:pPr>
      <w:r>
        <w:rPr>
          <w:rFonts w:ascii="Liberation Sans" w:hAnsi="Liberation Sans"/>
          <w:b w:val="false"/>
          <w:bCs w:val="false"/>
          <w:sz w:val="16"/>
        </w:rPr>
        <w:t>Insiders of securities issuer</w:t>
      </w:r>
    </w:p>
    <w:p>
      <w:pPr>
        <w:pStyle w:val="Normal"/>
        <w:numPr>
          <w:ilvl w:val="0"/>
          <w:numId w:val="2"/>
        </w:numPr>
        <w:bidi w:val="0"/>
        <w:jc w:val="left"/>
        <w:rPr>
          <w:rFonts w:ascii="Liberation Sans" w:hAnsi="Liberation Sans"/>
          <w:b w:val="false"/>
          <w:b w:val="false"/>
          <w:bCs w:val="false"/>
          <w:sz w:val="16"/>
        </w:rPr>
      </w:pPr>
      <w:r>
        <w:rPr>
          <w:rFonts w:ascii="Liberation Sans" w:hAnsi="Liberation Sans"/>
          <w:b w:val="false"/>
          <w:bCs w:val="false"/>
          <w:sz w:val="16"/>
        </w:rPr>
        <w:t>income &gt;= $200k, joint=$300k</w:t>
      </w:r>
    </w:p>
    <w:p>
      <w:pPr>
        <w:pStyle w:val="Normal"/>
        <w:numPr>
          <w:ilvl w:val="1"/>
          <w:numId w:val="2"/>
        </w:numPr>
        <w:bidi w:val="0"/>
        <w:jc w:val="left"/>
        <w:rPr>
          <w:rFonts w:ascii="Liberation Sans" w:hAnsi="Liberation Sans"/>
          <w:b w:val="false"/>
          <w:b w:val="false"/>
          <w:bCs w:val="false"/>
          <w:sz w:val="16"/>
        </w:rPr>
      </w:pPr>
      <w:r>
        <w:rPr>
          <w:rFonts w:ascii="Liberation Sans" w:hAnsi="Liberation Sans"/>
          <w:b w:val="false"/>
          <w:bCs w:val="false"/>
          <w:sz w:val="16"/>
        </w:rPr>
        <w:t>or net worth &gt;= $1m</w:t>
      </w:r>
    </w:p>
    <w:p>
      <w:pPr>
        <w:pStyle w:val="Normal"/>
        <w:numPr>
          <w:ilvl w:val="0"/>
          <w:numId w:val="2"/>
        </w:numPr>
        <w:bidi w:val="0"/>
        <w:jc w:val="left"/>
        <w:rPr>
          <w:rFonts w:ascii="Liberation Sans" w:hAnsi="Liberation Sans"/>
          <w:b w:val="false"/>
          <w:b w:val="false"/>
          <w:bCs w:val="false"/>
          <w:sz w:val="16"/>
        </w:rPr>
      </w:pPr>
      <w:r>
        <w:rPr>
          <w:rFonts w:ascii="Liberation Sans" w:hAnsi="Liberation Sans"/>
          <w:b w:val="false"/>
          <w:bCs w:val="false"/>
          <w:sz w:val="16"/>
        </w:rPr>
        <w:t>holders in good standing of series 7,65,82</w:t>
      </w:r>
    </w:p>
    <w:p>
      <w:pPr>
        <w:pStyle w:val="Normal"/>
        <w:bidi w:val="0"/>
        <w:jc w:val="left"/>
        <w:rPr>
          <w:rFonts w:ascii="Liberation Sans" w:hAnsi="Liberation Sans"/>
          <w:b w:val="false"/>
          <w:b w:val="false"/>
          <w:bCs w:val="false"/>
          <w:sz w:val="20"/>
        </w:rPr>
      </w:pPr>
      <w:r>
        <w:rPr>
          <w:rFonts w:ascii="Liberation Sans" w:hAnsi="Liberation Sans"/>
          <w:b w:val="false"/>
          <w:bCs w:val="false"/>
          <w:sz w:val="20"/>
        </w:rPr>
        <w:t>Final Prospectus Delivery:</w:t>
      </w:r>
    </w:p>
    <w:tbl>
      <w:tblPr>
        <w:tblW w:w="1710" w:type="dxa"/>
        <w:jc w:val="left"/>
        <w:tblInd w:w="55" w:type="dxa"/>
        <w:tblLayout w:type="fixed"/>
        <w:tblCellMar>
          <w:top w:w="55" w:type="dxa"/>
          <w:left w:w="55" w:type="dxa"/>
          <w:bottom w:w="55" w:type="dxa"/>
          <w:right w:w="55" w:type="dxa"/>
        </w:tblCellMar>
      </w:tblPr>
      <w:tblGrid>
        <w:gridCol w:w="450"/>
        <w:gridCol w:w="540"/>
        <w:gridCol w:w="720"/>
      </w:tblGrid>
      <w:tr>
        <w:trPr/>
        <w:tc>
          <w:tcPr>
            <w:tcW w:w="450" w:type="dxa"/>
            <w:tcBorders>
              <w:top w:val="single" w:sz="4" w:space="0" w:color="000000"/>
              <w:left w:val="single" w:sz="4" w:space="0" w:color="000000"/>
              <w:bottom w:val="single" w:sz="4" w:space="0" w:color="000000"/>
            </w:tcBorders>
          </w:tcPr>
          <w:p>
            <w:pPr>
              <w:pStyle w:val="TableContents"/>
              <w:bidi w:val="0"/>
              <w:jc w:val="left"/>
              <w:rPr>
                <w:rFonts w:ascii="Liberation Sans" w:hAnsi="Liberation Sans"/>
                <w:sz w:val="12"/>
              </w:rPr>
            </w:pPr>
            <w:r>
              <w:rPr>
                <w:rFonts w:ascii="Liberation Sans" w:hAnsi="Liberation Sans"/>
                <w:sz w:val="12"/>
              </w:rPr>
            </w:r>
          </w:p>
        </w:tc>
        <w:tc>
          <w:tcPr>
            <w:tcW w:w="540" w:type="dxa"/>
            <w:tcBorders>
              <w:top w:val="single" w:sz="4" w:space="0" w:color="000000"/>
              <w:left w:val="single" w:sz="4" w:space="0" w:color="000000"/>
              <w:bottom w:val="single" w:sz="4" w:space="0" w:color="000000"/>
            </w:tcBorders>
          </w:tcPr>
          <w:p>
            <w:pPr>
              <w:pStyle w:val="TableContents"/>
              <w:bidi w:val="0"/>
              <w:jc w:val="left"/>
              <w:rPr>
                <w:rFonts w:ascii="Liberation Sans" w:hAnsi="Liberation Sans"/>
                <w:b/>
                <w:b/>
                <w:bCs/>
                <w:sz w:val="12"/>
              </w:rPr>
            </w:pPr>
            <w:r>
              <w:rPr>
                <w:rFonts w:ascii="Liberation Sans" w:hAnsi="Liberation Sans"/>
                <w:b/>
                <w:bCs/>
                <w:sz w:val="12"/>
              </w:rPr>
              <w:t>NMS</w:t>
            </w:r>
          </w:p>
        </w:tc>
        <w:tc>
          <w:tcPr>
            <w:tcW w:w="720"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Liberation Sans" w:hAnsi="Liberation Sans"/>
                <w:b/>
                <w:b/>
                <w:bCs/>
                <w:sz w:val="12"/>
              </w:rPr>
            </w:pPr>
            <w:r>
              <w:rPr>
                <w:rFonts w:ascii="Liberation Sans" w:hAnsi="Liberation Sans"/>
                <w:b/>
                <w:bCs/>
                <w:sz w:val="12"/>
              </w:rPr>
              <w:t>Non-NMS</w:t>
            </w:r>
          </w:p>
        </w:tc>
      </w:tr>
      <w:tr>
        <w:trPr/>
        <w:tc>
          <w:tcPr>
            <w:tcW w:w="450" w:type="dxa"/>
            <w:tcBorders>
              <w:left w:val="single" w:sz="4" w:space="0" w:color="000000"/>
              <w:bottom w:val="single" w:sz="4" w:space="0" w:color="000000"/>
            </w:tcBorders>
          </w:tcPr>
          <w:p>
            <w:pPr>
              <w:pStyle w:val="TableContents"/>
              <w:bidi w:val="0"/>
              <w:jc w:val="left"/>
              <w:rPr>
                <w:rFonts w:ascii="Liberation Sans" w:hAnsi="Liberation Sans"/>
                <w:b/>
                <w:b/>
                <w:bCs/>
                <w:sz w:val="12"/>
              </w:rPr>
            </w:pPr>
            <w:r>
              <w:rPr>
                <w:rFonts w:ascii="Liberation Sans" w:hAnsi="Liberation Sans"/>
                <w:b/>
                <w:bCs/>
                <w:sz w:val="12"/>
              </w:rPr>
              <w:t>IPO</w:t>
            </w:r>
          </w:p>
        </w:tc>
        <w:tc>
          <w:tcPr>
            <w:tcW w:w="540" w:type="dxa"/>
            <w:tcBorders>
              <w:left w:val="single" w:sz="4" w:space="0" w:color="000000"/>
              <w:bottom w:val="single" w:sz="4" w:space="0" w:color="000000"/>
            </w:tcBorders>
          </w:tcPr>
          <w:p>
            <w:pPr>
              <w:pStyle w:val="TableContents"/>
              <w:bidi w:val="0"/>
              <w:jc w:val="left"/>
              <w:rPr>
                <w:rFonts w:ascii="Liberation Sans" w:hAnsi="Liberation Sans"/>
                <w:sz w:val="12"/>
              </w:rPr>
            </w:pPr>
            <w:r>
              <w:rPr>
                <w:rFonts w:ascii="Liberation Sans" w:hAnsi="Liberation Sans"/>
                <w:sz w:val="12"/>
              </w:rPr>
              <w:t>25</w:t>
            </w:r>
          </w:p>
        </w:tc>
        <w:tc>
          <w:tcPr>
            <w:tcW w:w="720" w:type="dxa"/>
            <w:tcBorders>
              <w:left w:val="single" w:sz="4" w:space="0" w:color="000000"/>
              <w:bottom w:val="single" w:sz="4" w:space="0" w:color="000000"/>
              <w:right w:val="single" w:sz="4" w:space="0" w:color="000000"/>
            </w:tcBorders>
          </w:tcPr>
          <w:p>
            <w:pPr>
              <w:pStyle w:val="TableContents"/>
              <w:bidi w:val="0"/>
              <w:jc w:val="left"/>
              <w:rPr>
                <w:rFonts w:ascii="Liberation Sans" w:hAnsi="Liberation Sans"/>
                <w:sz w:val="12"/>
              </w:rPr>
            </w:pPr>
            <w:r>
              <w:rPr>
                <w:rFonts w:ascii="Liberation Sans" w:hAnsi="Liberation Sans"/>
                <w:sz w:val="12"/>
              </w:rPr>
              <w:t>90</w:t>
            </w:r>
          </w:p>
        </w:tc>
      </w:tr>
      <w:tr>
        <w:trPr/>
        <w:tc>
          <w:tcPr>
            <w:tcW w:w="450" w:type="dxa"/>
            <w:tcBorders>
              <w:left w:val="single" w:sz="4" w:space="0" w:color="000000"/>
              <w:bottom w:val="single" w:sz="4" w:space="0" w:color="000000"/>
            </w:tcBorders>
          </w:tcPr>
          <w:p>
            <w:pPr>
              <w:pStyle w:val="TableContents"/>
              <w:bidi w:val="0"/>
              <w:jc w:val="left"/>
              <w:rPr>
                <w:rFonts w:ascii="Liberation Sans" w:hAnsi="Liberation Sans"/>
                <w:b/>
                <w:b/>
                <w:bCs/>
                <w:sz w:val="12"/>
              </w:rPr>
            </w:pPr>
            <w:r>
              <w:rPr>
                <w:rFonts w:ascii="Liberation Sans" w:hAnsi="Liberation Sans"/>
                <w:b/>
                <w:bCs/>
                <w:sz w:val="12"/>
              </w:rPr>
              <w:t>APO</w:t>
            </w:r>
          </w:p>
        </w:tc>
        <w:tc>
          <w:tcPr>
            <w:tcW w:w="540" w:type="dxa"/>
            <w:tcBorders>
              <w:left w:val="single" w:sz="4" w:space="0" w:color="000000"/>
              <w:bottom w:val="single" w:sz="4" w:space="0" w:color="000000"/>
            </w:tcBorders>
          </w:tcPr>
          <w:p>
            <w:pPr>
              <w:pStyle w:val="TableContents"/>
              <w:bidi w:val="0"/>
              <w:jc w:val="left"/>
              <w:rPr>
                <w:rFonts w:ascii="Liberation Sans" w:hAnsi="Liberation Sans"/>
                <w:sz w:val="12"/>
              </w:rPr>
            </w:pPr>
            <w:r>
              <w:rPr>
                <w:rFonts w:ascii="Liberation Sans" w:hAnsi="Liberation Sans"/>
                <w:sz w:val="12"/>
              </w:rPr>
              <w:t>0</w:t>
            </w:r>
          </w:p>
        </w:tc>
        <w:tc>
          <w:tcPr>
            <w:tcW w:w="720" w:type="dxa"/>
            <w:tcBorders>
              <w:left w:val="single" w:sz="4" w:space="0" w:color="000000"/>
              <w:bottom w:val="single" w:sz="4" w:space="0" w:color="000000"/>
              <w:right w:val="single" w:sz="4" w:space="0" w:color="000000"/>
            </w:tcBorders>
          </w:tcPr>
          <w:p>
            <w:pPr>
              <w:pStyle w:val="TableContents"/>
              <w:bidi w:val="0"/>
              <w:jc w:val="left"/>
              <w:rPr>
                <w:rFonts w:ascii="Liberation Sans" w:hAnsi="Liberation Sans"/>
                <w:sz w:val="12"/>
              </w:rPr>
            </w:pPr>
            <w:r>
              <w:rPr>
                <w:rFonts w:ascii="Liberation Sans" w:hAnsi="Liberation Sans"/>
                <w:sz w:val="12"/>
              </w:rPr>
              <w:t>40</w:t>
            </w:r>
          </w:p>
        </w:tc>
      </w:tr>
    </w:tbl>
    <w:p>
      <w:pPr>
        <w:pStyle w:val="Normal"/>
        <w:bidi w:val="0"/>
        <w:jc w:val="left"/>
        <w:rPr>
          <w:rFonts w:ascii="Liberation Sans" w:hAnsi="Liberation Sans"/>
          <w:b w:val="false"/>
          <w:b w:val="false"/>
          <w:bCs w:val="false"/>
          <w:sz w:val="20"/>
        </w:rPr>
      </w:pPr>
      <w:r>
        <w:rPr>
          <w:rFonts w:ascii="Liberation Sans" w:hAnsi="Liberation Sans"/>
          <w:b w:val="false"/>
          <w:bCs w:val="false"/>
          <w:sz w:val="20"/>
        </w:rPr>
      </w:r>
    </w:p>
    <w:p>
      <w:pPr>
        <w:pStyle w:val="Normal"/>
        <w:bidi w:val="0"/>
        <w:jc w:val="left"/>
        <w:rPr>
          <w:rFonts w:ascii="Liberation Sans" w:hAnsi="Liberation Sans"/>
          <w:b w:val="false"/>
          <w:b w:val="false"/>
          <w:bCs w:val="false"/>
          <w:sz w:val="24"/>
        </w:rPr>
      </w:pPr>
      <w:r>
        <w:rPr>
          <w:rFonts w:ascii="Liberation Sans" w:hAnsi="Liberation Sans"/>
          <w:b w:val="false"/>
          <w:bCs w:val="false"/>
          <w:sz w:val="24"/>
        </w:rPr>
        <w:t>Types of Broker Dealer:</w:t>
      </w:r>
    </w:p>
    <w:p>
      <w:pPr>
        <w:pStyle w:val="Normal"/>
        <w:bidi w:val="0"/>
        <w:jc w:val="left"/>
        <w:rPr>
          <w:rFonts w:ascii="Liberation Sans" w:hAnsi="Liberation Sans"/>
          <w:b w:val="false"/>
          <w:b w:val="false"/>
          <w:bCs w:val="false"/>
          <w:sz w:val="16"/>
        </w:rPr>
      </w:pPr>
      <w:r>
        <w:rPr>
          <w:rFonts w:ascii="Liberation Sans" w:hAnsi="Liberation Sans"/>
          <w:b/>
          <w:bCs/>
          <w:sz w:val="16"/>
        </w:rPr>
        <w:t>Carrying (clearing)</w:t>
      </w:r>
      <w:r>
        <w:rPr>
          <w:rFonts w:ascii="Liberation Sans" w:hAnsi="Liberation Sans"/>
          <w:b w:val="false"/>
          <w:bCs w:val="false"/>
          <w:sz w:val="16"/>
        </w:rPr>
        <w:t xml:space="preserve"> – carries customer accnts, accepts funds and secs</w:t>
      </w:r>
    </w:p>
    <w:p>
      <w:pPr>
        <w:pStyle w:val="Normal"/>
        <w:bidi w:val="0"/>
        <w:jc w:val="left"/>
        <w:rPr>
          <w:rFonts w:ascii="Liberation Sans" w:hAnsi="Liberation Sans"/>
          <w:b w:val="false"/>
          <w:b w:val="false"/>
          <w:bCs w:val="false"/>
          <w:sz w:val="16"/>
        </w:rPr>
      </w:pPr>
      <w:r>
        <w:rPr>
          <w:rFonts w:ascii="Liberation Sans" w:hAnsi="Liberation Sans"/>
          <w:b/>
          <w:bCs/>
          <w:sz w:val="16"/>
        </w:rPr>
        <w:t xml:space="preserve">Introducing (fully disclosed) firm </w:t>
      </w:r>
      <w:r>
        <w:rPr>
          <w:rFonts w:ascii="Liberation Sans" w:hAnsi="Liberation Sans"/>
          <w:b w:val="false"/>
          <w:bCs w:val="false"/>
          <w:sz w:val="16"/>
        </w:rPr>
        <w:t>-</w:t>
      </w:r>
      <w:r>
        <w:rPr>
          <w:rFonts w:ascii="Liberation Sans" w:hAnsi="Liberation Sans"/>
          <w:b/>
          <w:bCs/>
          <w:sz w:val="16"/>
        </w:rPr>
        <w:t xml:space="preserve"> </w:t>
      </w:r>
      <w:r>
        <w:rPr>
          <w:rFonts w:ascii="Liberation Sans" w:hAnsi="Liberation Sans"/>
          <w:b w:val="false"/>
          <w:bCs w:val="false"/>
          <w:sz w:val="16"/>
        </w:rPr>
        <w:t>introduces its customers to a clearing firm</w:t>
      </w:r>
    </w:p>
    <w:p>
      <w:pPr>
        <w:pStyle w:val="Normal"/>
        <w:bidi w:val="0"/>
        <w:jc w:val="left"/>
        <w:rPr>
          <w:rFonts w:ascii="Liberation Sans" w:hAnsi="Liberation Sans"/>
          <w:b w:val="false"/>
          <w:b w:val="false"/>
          <w:bCs w:val="false"/>
          <w:sz w:val="16"/>
        </w:rPr>
      </w:pPr>
      <w:r>
        <w:rPr>
          <w:rFonts w:ascii="Liberation Sans" w:hAnsi="Liberation Sans"/>
          <w:b/>
          <w:bCs/>
          <w:sz w:val="16"/>
        </w:rPr>
        <w:t>Prime BD</w:t>
      </w:r>
      <w:r>
        <w:rPr>
          <w:rFonts w:ascii="Liberation Sans" w:hAnsi="Liberation Sans"/>
          <w:b w:val="false"/>
          <w:bCs w:val="false"/>
          <w:sz w:val="16"/>
        </w:rPr>
        <w:t xml:space="preserve"> – handles custody of securities and other services utilizing other BDs for execution services</w:t>
      </w:r>
    </w:p>
    <w:p>
      <w:pPr>
        <w:pStyle w:val="Normal"/>
        <w:bidi w:val="0"/>
        <w:jc w:val="left"/>
        <w:rPr>
          <w:rFonts w:ascii="Liberation Sans" w:hAnsi="Liberation Sans"/>
          <w:b/>
          <w:b/>
          <w:bCs/>
          <w:sz w:val="28"/>
        </w:rPr>
      </w:pPr>
      <w:r>
        <w:rPr>
          <w:rFonts w:ascii="Liberation Sans" w:hAnsi="Liberation Sans"/>
          <w:b/>
          <w:bCs/>
          <w:sz w:val="28"/>
        </w:rPr>
        <w:t>Economics:</w:t>
      </w:r>
    </w:p>
    <w:p>
      <w:pPr>
        <w:pStyle w:val="Normal"/>
        <w:bidi w:val="0"/>
        <w:jc w:val="left"/>
        <w:rPr>
          <w:rFonts w:ascii="Liberation Sans" w:hAnsi="Liberation Sans"/>
          <w:b w:val="false"/>
          <w:b w:val="false"/>
          <w:bCs w:val="false"/>
          <w:sz w:val="20"/>
        </w:rPr>
      </w:pPr>
      <w:r>
        <w:rPr>
          <w:rFonts w:ascii="Liberation Sans" w:hAnsi="Liberation Sans"/>
          <w:b w:val="false"/>
          <w:bCs w:val="false"/>
          <w:sz w:val="20"/>
        </w:rPr>
        <w:t>Leading Indicators:</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M2</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Building Permits</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Avg weekly initial claims for state unemp. Compensation</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Avg work week in manufacturing</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new orders for consumer goods</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machine tool orders</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changes in inventories of durable goods</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changes in sensitive materials prices</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stock prices (S&amp;P 500)</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changes in business and consumer borrowing</w:t>
      </w:r>
    </w:p>
    <w:p>
      <w:pPr>
        <w:pStyle w:val="Normal"/>
        <w:bidi w:val="0"/>
        <w:jc w:val="left"/>
        <w:rPr>
          <w:rFonts w:ascii="Liberation Sans" w:hAnsi="Liberation Sans"/>
          <w:b w:val="false"/>
          <w:b w:val="false"/>
          <w:bCs w:val="false"/>
          <w:sz w:val="20"/>
        </w:rPr>
      </w:pPr>
      <w:r>
        <w:rPr>
          <w:rFonts w:ascii="Liberation Sans" w:hAnsi="Liberation Sans"/>
          <w:b w:val="false"/>
          <w:bCs w:val="false"/>
          <w:sz w:val="20"/>
        </w:rPr>
        <w:t>Coincident Indicators:</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 hours worked/psnl income</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emp. Lvls</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Non agricultural emp.</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Industrial production</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Manufacturing &amp; Trade Sales</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GDP</w:t>
      </w:r>
    </w:p>
    <w:p>
      <w:pPr>
        <w:pStyle w:val="Normal"/>
        <w:bidi w:val="0"/>
        <w:jc w:val="left"/>
        <w:rPr>
          <w:rFonts w:ascii="Liberation Sans" w:hAnsi="Liberation Sans"/>
          <w:b w:val="false"/>
          <w:b w:val="false"/>
          <w:bCs w:val="false"/>
          <w:sz w:val="20"/>
        </w:rPr>
      </w:pPr>
      <w:r>
        <w:rPr>
          <w:rFonts w:ascii="Liberation Sans" w:hAnsi="Liberation Sans"/>
          <w:b w:val="false"/>
          <w:bCs w:val="false"/>
          <w:sz w:val="20"/>
        </w:rPr>
        <w:t>Lagging</w:t>
      </w:r>
      <w:r>
        <w:rPr>
          <w:rFonts w:ascii="Liberation Sans" w:hAnsi="Liberation Sans"/>
          <w:b w:val="false"/>
          <w:bCs w:val="false"/>
          <w:sz w:val="20"/>
        </w:rPr>
        <w:t xml:space="preserve"> Indicators:</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Corporate Profits</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Avg duration of unemp.</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Labor cost per unit of output</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ratio of inventories to sales</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commercial &amp; industrial loans outstanding</w:t>
      </w:r>
    </w:p>
    <w:p>
      <w:pPr>
        <w:pStyle w:val="Normal"/>
        <w:numPr>
          <w:ilvl w:val="0"/>
          <w:numId w:val="3"/>
        </w:numPr>
        <w:bidi w:val="0"/>
        <w:jc w:val="left"/>
        <w:rPr>
          <w:rFonts w:ascii="Liberation Sans" w:hAnsi="Liberation Sans"/>
          <w:b w:val="false"/>
          <w:b w:val="false"/>
          <w:bCs w:val="false"/>
          <w:sz w:val="16"/>
        </w:rPr>
      </w:pPr>
      <w:r>
        <w:rPr>
          <w:rFonts w:ascii="Liberation Sans" w:hAnsi="Liberation Sans"/>
          <w:b w:val="false"/>
          <w:bCs w:val="false"/>
          <w:sz w:val="16"/>
        </w:rPr>
        <w:t>ratio of consumer installment credit to psnl income</w:t>
      </w:r>
    </w:p>
    <w:p>
      <w:pPr>
        <w:pStyle w:val="Normal"/>
        <w:bidi w:val="0"/>
        <w:jc w:val="left"/>
        <w:rPr>
          <w:rFonts w:ascii="Liberation Sans" w:hAnsi="Liberation Sans"/>
          <w:b w:val="false"/>
          <w:b w:val="false"/>
          <w:bCs w:val="false"/>
          <w:sz w:val="24"/>
        </w:rPr>
      </w:pPr>
      <w:r>
        <w:rPr>
          <w:rFonts w:ascii="Liberation Sans" w:hAnsi="Liberation Sans"/>
          <w:b w:val="false"/>
          <w:bCs w:val="false"/>
          <w:sz w:val="24"/>
        </w:rPr>
        <w:t>Balance Sheet:</w:t>
      </w:r>
    </w:p>
    <w:p>
      <w:pPr>
        <w:pStyle w:val="Normal"/>
        <w:numPr>
          <w:ilvl w:val="0"/>
          <w:numId w:val="4"/>
        </w:numPr>
        <w:bidi w:val="0"/>
        <w:jc w:val="left"/>
        <w:rPr>
          <w:rFonts w:ascii="Liberation Sans" w:hAnsi="Liberation Sans"/>
          <w:b w:val="false"/>
          <w:b w:val="false"/>
          <w:bCs w:val="false"/>
          <w:sz w:val="16"/>
        </w:rPr>
      </w:pPr>
      <w:r>
        <w:rPr>
          <w:rFonts w:ascii="Liberation Sans" w:hAnsi="Liberation Sans"/>
          <w:b w:val="false"/>
          <w:bCs w:val="false"/>
          <w:sz w:val="16"/>
        </w:rPr>
        <w:t>Assets</w:t>
      </w:r>
    </w:p>
    <w:p>
      <w:pPr>
        <w:pStyle w:val="Normal"/>
        <w:numPr>
          <w:ilvl w:val="1"/>
          <w:numId w:val="4"/>
        </w:numPr>
        <w:bidi w:val="0"/>
        <w:jc w:val="left"/>
        <w:rPr>
          <w:rFonts w:ascii="Liberation Sans" w:hAnsi="Liberation Sans"/>
          <w:b w:val="false"/>
          <w:b w:val="false"/>
          <w:bCs w:val="false"/>
          <w:sz w:val="16"/>
        </w:rPr>
      </w:pPr>
      <w:r>
        <w:rPr>
          <w:rFonts w:ascii="Liberation Sans" w:hAnsi="Liberation Sans"/>
          <w:b w:val="false"/>
          <w:bCs w:val="false"/>
          <w:sz w:val="16"/>
        </w:rPr>
        <w:t>Current Assets</w:t>
      </w:r>
    </w:p>
    <w:p>
      <w:pPr>
        <w:pStyle w:val="Normal"/>
        <w:numPr>
          <w:ilvl w:val="1"/>
          <w:numId w:val="4"/>
        </w:numPr>
        <w:bidi w:val="0"/>
        <w:jc w:val="left"/>
        <w:rPr>
          <w:rFonts w:ascii="Liberation Sans" w:hAnsi="Liberation Sans"/>
          <w:b w:val="false"/>
          <w:b w:val="false"/>
          <w:bCs w:val="false"/>
          <w:sz w:val="16"/>
        </w:rPr>
      </w:pPr>
      <w:r>
        <w:rPr>
          <w:rFonts w:ascii="Liberation Sans" w:hAnsi="Liberation Sans"/>
          <w:b w:val="false"/>
          <w:bCs w:val="false"/>
          <w:sz w:val="16"/>
        </w:rPr>
        <w:t>Fixed Assets</w:t>
      </w:r>
    </w:p>
    <w:p>
      <w:pPr>
        <w:pStyle w:val="Normal"/>
        <w:numPr>
          <w:ilvl w:val="1"/>
          <w:numId w:val="4"/>
        </w:numPr>
        <w:bidi w:val="0"/>
        <w:jc w:val="left"/>
        <w:rPr>
          <w:rFonts w:ascii="Liberation Sans" w:hAnsi="Liberation Sans"/>
          <w:b w:val="false"/>
          <w:b w:val="false"/>
          <w:bCs w:val="false"/>
          <w:sz w:val="16"/>
        </w:rPr>
      </w:pPr>
      <w:r>
        <w:rPr>
          <w:rFonts w:ascii="Liberation Sans" w:hAnsi="Liberation Sans"/>
          <w:b w:val="false"/>
          <w:bCs w:val="false"/>
          <w:sz w:val="16"/>
        </w:rPr>
        <w:t>Other Assets</w:t>
      </w:r>
    </w:p>
    <w:p>
      <w:pPr>
        <w:pStyle w:val="Normal"/>
        <w:numPr>
          <w:ilvl w:val="0"/>
          <w:numId w:val="4"/>
        </w:numPr>
        <w:bidi w:val="0"/>
        <w:jc w:val="left"/>
        <w:rPr>
          <w:rFonts w:ascii="Liberation Sans" w:hAnsi="Liberation Sans"/>
          <w:b w:val="false"/>
          <w:b w:val="false"/>
          <w:bCs w:val="false"/>
          <w:sz w:val="16"/>
        </w:rPr>
      </w:pPr>
      <w:r>
        <w:rPr>
          <w:rFonts w:ascii="Liberation Sans" w:hAnsi="Liberation Sans"/>
          <w:b w:val="false"/>
          <w:bCs w:val="false"/>
          <w:sz w:val="16"/>
        </w:rPr>
        <w:t>Liabilities</w:t>
      </w:r>
    </w:p>
    <w:p>
      <w:pPr>
        <w:pStyle w:val="Normal"/>
        <w:numPr>
          <w:ilvl w:val="1"/>
          <w:numId w:val="4"/>
        </w:numPr>
        <w:bidi w:val="0"/>
        <w:jc w:val="left"/>
        <w:rPr>
          <w:rFonts w:ascii="Liberation Sans" w:hAnsi="Liberation Sans"/>
          <w:b w:val="false"/>
          <w:b w:val="false"/>
          <w:bCs w:val="false"/>
          <w:sz w:val="16"/>
        </w:rPr>
      </w:pPr>
      <w:r>
        <w:rPr>
          <w:rFonts w:ascii="Liberation Sans" w:hAnsi="Liberation Sans"/>
          <w:b w:val="false"/>
          <w:bCs w:val="false"/>
          <w:sz w:val="16"/>
        </w:rPr>
        <w:t>Current Liabs</w:t>
      </w:r>
    </w:p>
    <w:p>
      <w:pPr>
        <w:pStyle w:val="Normal"/>
        <w:numPr>
          <w:ilvl w:val="1"/>
          <w:numId w:val="4"/>
        </w:numPr>
        <w:bidi w:val="0"/>
        <w:jc w:val="left"/>
        <w:rPr>
          <w:rFonts w:ascii="Liberation Sans" w:hAnsi="Liberation Sans"/>
          <w:b w:val="false"/>
          <w:b w:val="false"/>
          <w:bCs w:val="false"/>
          <w:sz w:val="16"/>
        </w:rPr>
      </w:pPr>
      <w:r>
        <w:rPr>
          <w:rFonts w:ascii="Liberation Sans" w:hAnsi="Liberation Sans"/>
          <w:b w:val="false"/>
          <w:bCs w:val="false"/>
          <w:sz w:val="16"/>
        </w:rPr>
        <w:t>Long Term Liabs</w:t>
      </w:r>
    </w:p>
    <w:p>
      <w:pPr>
        <w:pStyle w:val="Normal"/>
        <w:numPr>
          <w:ilvl w:val="0"/>
          <w:numId w:val="4"/>
        </w:numPr>
        <w:bidi w:val="0"/>
        <w:jc w:val="left"/>
        <w:rPr>
          <w:rFonts w:ascii="Liberation Sans" w:hAnsi="Liberation Sans"/>
          <w:b w:val="false"/>
          <w:b w:val="false"/>
          <w:bCs w:val="false"/>
          <w:sz w:val="16"/>
        </w:rPr>
      </w:pPr>
      <w:r>
        <w:rPr>
          <w:rFonts w:ascii="Liberation Sans" w:hAnsi="Liberation Sans"/>
          <w:b w:val="false"/>
          <w:bCs w:val="false"/>
          <w:sz w:val="16"/>
        </w:rPr>
        <w:t>Net Worth</w:t>
      </w:r>
    </w:p>
    <w:p>
      <w:pPr>
        <w:pStyle w:val="Normal"/>
        <w:numPr>
          <w:ilvl w:val="1"/>
          <w:numId w:val="4"/>
        </w:numPr>
        <w:bidi w:val="0"/>
        <w:jc w:val="left"/>
        <w:rPr>
          <w:rFonts w:ascii="Liberation Sans" w:hAnsi="Liberation Sans"/>
          <w:b w:val="false"/>
          <w:b w:val="false"/>
          <w:bCs w:val="false"/>
          <w:i/>
          <w:i/>
          <w:iCs/>
          <w:sz w:val="16"/>
        </w:rPr>
      </w:pPr>
      <w:r>
        <w:rPr>
          <w:rFonts w:ascii="Liberation Sans" w:hAnsi="Liberation Sans"/>
          <w:b w:val="false"/>
          <w:bCs w:val="false"/>
          <w:i/>
          <w:iCs/>
          <w:sz w:val="16"/>
        </w:rPr>
        <w:t>Preferred stock</w:t>
      </w:r>
    </w:p>
    <w:p>
      <w:pPr>
        <w:pStyle w:val="Normal"/>
        <w:numPr>
          <w:ilvl w:val="1"/>
          <w:numId w:val="4"/>
        </w:numPr>
        <w:bidi w:val="0"/>
        <w:jc w:val="left"/>
        <w:rPr>
          <w:rFonts w:ascii="Liberation Sans" w:hAnsi="Liberation Sans"/>
          <w:b w:val="false"/>
          <w:b w:val="false"/>
          <w:bCs w:val="false"/>
          <w:i/>
          <w:i/>
          <w:iCs/>
          <w:sz w:val="16"/>
        </w:rPr>
      </w:pPr>
      <w:r>
        <w:rPr>
          <w:rFonts w:ascii="Liberation Sans" w:hAnsi="Liberation Sans"/>
          <w:b w:val="false"/>
          <w:bCs w:val="false"/>
          <w:i/>
          <w:iCs/>
          <w:sz w:val="16"/>
        </w:rPr>
        <w:t>Common Stock</w:t>
      </w:r>
    </w:p>
    <w:p>
      <w:pPr>
        <w:pStyle w:val="Normal"/>
        <w:numPr>
          <w:ilvl w:val="1"/>
          <w:numId w:val="4"/>
        </w:numPr>
        <w:bidi w:val="0"/>
        <w:jc w:val="left"/>
        <w:rPr>
          <w:rFonts w:ascii="Liberation Sans" w:hAnsi="Liberation Sans"/>
          <w:b w:val="false"/>
          <w:b w:val="false"/>
          <w:bCs w:val="false"/>
          <w:sz w:val="16"/>
        </w:rPr>
      </w:pPr>
      <w:r>
        <w:rPr>
          <w:rFonts w:ascii="Liberation Sans" w:hAnsi="Liberation Sans"/>
          <w:b w:val="false"/>
          <w:bCs w:val="false"/>
          <w:i/>
          <w:iCs/>
          <w:sz w:val="16"/>
        </w:rPr>
        <w:t>Capital in excess of par</w:t>
      </w:r>
      <w:r>
        <w:rPr>
          <w:rFonts w:ascii="Liberation Sans" w:hAnsi="Liberation Sans"/>
          <w:b w:val="false"/>
          <w:bCs w:val="false"/>
          <w:sz w:val="16"/>
        </w:rPr>
        <w:t xml:space="preserve"> – moneys received from the sale of common stock in excess of the par</w:t>
      </w:r>
    </w:p>
    <w:p>
      <w:pPr>
        <w:pStyle w:val="Normal"/>
        <w:numPr>
          <w:ilvl w:val="1"/>
          <w:numId w:val="4"/>
        </w:numPr>
        <w:bidi w:val="0"/>
        <w:jc w:val="left"/>
        <w:rPr>
          <w:rFonts w:ascii="Liberation Sans" w:hAnsi="Liberation Sans"/>
          <w:b w:val="false"/>
          <w:b w:val="false"/>
          <w:bCs w:val="false"/>
          <w:i/>
          <w:i/>
          <w:iCs/>
          <w:sz w:val="16"/>
        </w:rPr>
      </w:pPr>
      <w:r>
        <w:rPr>
          <w:rFonts w:ascii="Liberation Sans" w:hAnsi="Liberation Sans"/>
          <w:b w:val="false"/>
          <w:bCs w:val="false"/>
          <w:i/>
          <w:iCs/>
          <w:sz w:val="16"/>
        </w:rPr>
        <w:t>Retained earnings</w:t>
      </w:r>
    </w:p>
    <w:p>
      <w:pPr>
        <w:pStyle w:val="Normal"/>
        <w:numPr>
          <w:ilvl w:val="0"/>
          <w:numId w:val="4"/>
        </w:numPr>
        <w:bidi w:val="0"/>
        <w:jc w:val="left"/>
        <w:rPr>
          <w:rFonts w:ascii="Liberation Sans" w:hAnsi="Liberation Sans"/>
          <w:b/>
          <w:b/>
          <w:bCs/>
          <w:i w:val="false"/>
          <w:i w:val="false"/>
          <w:iCs w:val="false"/>
          <w:sz w:val="16"/>
        </w:rPr>
      </w:pPr>
      <w:r>
        <w:rPr>
          <w:rFonts w:ascii="Liberation Sans" w:hAnsi="Liberation Sans"/>
          <w:b/>
          <w:bCs/>
          <w:i w:val="false"/>
          <w:iCs w:val="false"/>
          <w:sz w:val="16"/>
        </w:rPr>
        <w:t>Ratios</w:t>
      </w:r>
    </w:p>
    <w:p>
      <w:pPr>
        <w:pStyle w:val="Normal"/>
        <w:numPr>
          <w:ilvl w:val="1"/>
          <w:numId w:val="4"/>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Working Capital = Current Assets-Current Liabs</w:t>
      </w:r>
    </w:p>
    <w:p>
      <w:pPr>
        <w:pStyle w:val="Normal"/>
        <w:numPr>
          <w:ilvl w:val="1"/>
          <w:numId w:val="4"/>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Current Ratio = Curr. Assets/Curr. Liabs</w:t>
      </w:r>
    </w:p>
    <w:p>
      <w:pPr>
        <w:pStyle w:val="Normal"/>
        <w:numPr>
          <w:ilvl w:val="1"/>
          <w:numId w:val="4"/>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Quick Ratio/Acid Test = (Curr. Assets – Inventory)/Curr/ Liabs</w:t>
      </w:r>
    </w:p>
    <w:p>
      <w:pPr>
        <w:pStyle w:val="Normal"/>
        <w:numPr>
          <w:ilvl w:val="1"/>
          <w:numId w:val="4"/>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Debt Ratio = LTD/(LTD+Net Worth)</w:t>
      </w:r>
    </w:p>
    <w:p>
      <w:pPr>
        <w:pStyle w:val="Normal"/>
        <w:bidi w:val="0"/>
        <w:jc w:val="left"/>
        <w:rPr>
          <w:rFonts w:ascii="Liberation Sans" w:hAnsi="Liberation Sans"/>
          <w:b w:val="false"/>
          <w:b w:val="false"/>
          <w:bCs w:val="false"/>
          <w:i w:val="false"/>
          <w:i w:val="false"/>
          <w:iCs w:val="false"/>
          <w:sz w:val="24"/>
        </w:rPr>
      </w:pPr>
      <w:r>
        <w:rPr>
          <w:rFonts w:ascii="Liberation Sans" w:hAnsi="Liberation Sans"/>
          <w:b w:val="false"/>
          <w:bCs w:val="false"/>
          <w:i w:val="false"/>
          <w:iCs w:val="false"/>
          <w:sz w:val="24"/>
        </w:rPr>
        <w:t>Exchange Rates:</w:t>
      </w:r>
    </w:p>
    <w:p>
      <w:pPr>
        <w:pStyle w:val="Normal"/>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When the value of the dollar </w:t>
      </w:r>
      <w:r>
        <w:rPr>
          <w:rFonts w:ascii="Liberation Sans" w:hAnsi="Liberation Sans"/>
          <w:b w:val="false"/>
          <w:bCs w:val="false"/>
          <w:i/>
          <w:iCs/>
          <w:sz w:val="16"/>
        </w:rPr>
        <w:t>declines</w:t>
      </w:r>
      <w:r>
        <w:rPr>
          <w:rFonts w:ascii="Liberation Sans" w:hAnsi="Liberation Sans"/>
          <w:b w:val="false"/>
          <w:bCs w:val="false"/>
          <w:i w:val="false"/>
          <w:iCs w:val="false"/>
          <w:sz w:val="16"/>
        </w:rPr>
        <w:t xml:space="preserve"> against another currency, the price of U.S. products decreases in terms of the foreign currency. Exports will tend to increase and imports decrease.</w:t>
      </w:r>
    </w:p>
    <w:p>
      <w:pPr>
        <w:pStyle w:val="Normal"/>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When the value of the dollar </w:t>
      </w:r>
      <w:r>
        <w:rPr>
          <w:rFonts w:ascii="Liberation Sans" w:hAnsi="Liberation Sans"/>
          <w:b w:val="false"/>
          <w:bCs w:val="false"/>
          <w:i/>
          <w:iCs/>
          <w:sz w:val="16"/>
        </w:rPr>
        <w:t>strengthens</w:t>
      </w:r>
      <w:r>
        <w:rPr>
          <w:rFonts w:ascii="Liberation Sans" w:hAnsi="Liberation Sans"/>
          <w:b w:val="false"/>
          <w:bCs w:val="false"/>
          <w:i w:val="false"/>
          <w:iCs w:val="false"/>
          <w:sz w:val="16"/>
        </w:rPr>
        <w:t xml:space="preserve"> against another currency, the price of U.S. products increases in terms of the foreign currency. Exports will tend to decrease and imports increase.</w:t>
      </w:r>
    </w:p>
    <w:p>
      <w:pPr>
        <w:pStyle w:val="Normal"/>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Normal"/>
        <w:bidi w:val="0"/>
        <w:jc w:val="left"/>
        <w:rPr>
          <w:rFonts w:ascii="Liberation Sans" w:hAnsi="Liberation Sans"/>
          <w:b w:val="false"/>
          <w:b w:val="false"/>
          <w:bCs w:val="false"/>
          <w:i w:val="false"/>
          <w:i w:val="false"/>
          <w:iCs w:val="false"/>
          <w:sz w:val="24"/>
        </w:rPr>
      </w:pPr>
      <w:r>
        <w:rPr>
          <w:rFonts w:ascii="Liberation Sans" w:hAnsi="Liberation Sans"/>
          <w:b w:val="false"/>
          <w:bCs w:val="false"/>
          <w:i w:val="false"/>
          <w:iCs w:val="false"/>
          <w:sz w:val="24"/>
        </w:rPr>
        <w:t>Interest Rates:</w:t>
      </w:r>
    </w:p>
    <w:p>
      <w:pPr>
        <w:pStyle w:val="Normal"/>
        <w:bidi w:val="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Fed Funds</w:t>
      </w:r>
      <w:r>
        <w:rPr>
          <w:rFonts w:ascii="Liberation Sans" w:hAnsi="Liberation Sans"/>
          <w:b w:val="false"/>
          <w:bCs w:val="false"/>
          <w:i w:val="false"/>
          <w:iCs w:val="false"/>
          <w:sz w:val="16"/>
        </w:rPr>
        <w:t xml:space="preserve"> – the rate fed. Member banks charge each other for overnight loans </w:t>
      </w:r>
      <w:r>
        <w:rPr>
          <w:rFonts w:ascii="Liberation Sans" w:hAnsi="Liberation Sans"/>
          <w:b w:val="false"/>
          <w:bCs w:val="false"/>
          <w:i w:val="false"/>
          <w:iCs w:val="false"/>
          <w:sz w:val="16"/>
        </w:rPr>
        <w:t xml:space="preserve">(set by the bank making the loan, </w:t>
      </w:r>
      <w:r>
        <w:rPr>
          <w:rFonts w:ascii="Liberation Sans" w:hAnsi="Liberation Sans"/>
          <w:b w:val="false"/>
          <w:bCs w:val="false"/>
          <w:i/>
          <w:iCs/>
          <w:sz w:val="16"/>
        </w:rPr>
        <w:t xml:space="preserve">not </w:t>
      </w:r>
      <w:r>
        <w:rPr>
          <w:rFonts w:ascii="Liberation Sans" w:hAnsi="Liberation Sans"/>
          <w:b w:val="false"/>
          <w:bCs w:val="false"/>
          <w:i w:val="false"/>
          <w:iCs w:val="false"/>
          <w:sz w:val="16"/>
        </w:rPr>
        <w:t>the Fed Reserve)</w:t>
      </w:r>
    </w:p>
    <w:p>
      <w:pPr>
        <w:pStyle w:val="Normal"/>
        <w:bidi w:val="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Prime</w:t>
      </w:r>
      <w:r>
        <w:rPr>
          <w:rFonts w:ascii="Liberation Sans" w:hAnsi="Liberation Sans"/>
          <w:b w:val="false"/>
          <w:bCs w:val="false"/>
          <w:i w:val="false"/>
          <w:iCs w:val="false"/>
          <w:sz w:val="16"/>
        </w:rPr>
        <w:t xml:space="preserve"> – the rate large US money center banks charge their best corporate customers</w:t>
      </w:r>
    </w:p>
    <w:p>
      <w:pPr>
        <w:pStyle w:val="Normal"/>
        <w:bidi w:val="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Discount</w:t>
      </w:r>
      <w:r>
        <w:rPr>
          <w:rFonts w:ascii="Liberation Sans" w:hAnsi="Liberation Sans"/>
          <w:b w:val="false"/>
          <w:bCs w:val="false"/>
          <w:i w:val="false"/>
          <w:iCs w:val="false"/>
          <w:sz w:val="16"/>
        </w:rPr>
        <w:t xml:space="preserve"> – the rate charged by FRB for loans to depository institutions</w:t>
      </w:r>
    </w:p>
    <w:p>
      <w:pPr>
        <w:pStyle w:val="Normal"/>
        <w:bidi w:val="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 xml:space="preserve">Broker call loan </w:t>
      </w:r>
      <w:r>
        <w:rPr>
          <w:rFonts w:ascii="Liberation Sans" w:hAnsi="Liberation Sans"/>
          <w:b w:val="false"/>
          <w:bCs w:val="false"/>
          <w:i w:val="false"/>
          <w:iCs w:val="false"/>
          <w:sz w:val="16"/>
        </w:rPr>
        <w:t>– the rate banks charge broker dealers for funds borrowed to lend to mgn accnt customers</w:t>
      </w:r>
    </w:p>
    <w:p>
      <w:pPr>
        <w:pStyle w:val="Normal"/>
        <w:bidi w:val="0"/>
        <w:jc w:val="left"/>
        <w:rPr>
          <w:rFonts w:ascii="Liberation Sans" w:hAnsi="Liberation Sans"/>
          <w:b w:val="false"/>
          <w:b w:val="false"/>
          <w:bCs w:val="false"/>
          <w:i w:val="false"/>
          <w:i w:val="false"/>
          <w:iCs w:val="false"/>
          <w:sz w:val="24"/>
        </w:rPr>
      </w:pPr>
      <w:r>
        <w:rPr>
          <w:rFonts w:ascii="Liberation Sans" w:hAnsi="Liberation Sans"/>
          <w:b w:val="false"/>
          <w:bCs w:val="false"/>
          <w:i w:val="false"/>
          <w:iCs w:val="false"/>
          <w:sz w:val="24"/>
        </w:rPr>
        <w:t>Securities Acts</w:t>
      </w:r>
      <w:r>
        <w:rPr>
          <w:rFonts w:ascii="Liberation Sans" w:hAnsi="Liberation Sans"/>
          <w:b w:val="false"/>
          <w:bCs w:val="false"/>
          <w:i w:val="false"/>
          <w:iCs w:val="false"/>
          <w:sz w:val="24"/>
        </w:rPr>
        <w:t>:</w:t>
      </w:r>
    </w:p>
    <w:tbl>
      <w:tblPr>
        <w:tblW w:w="3532" w:type="dxa"/>
        <w:jc w:val="left"/>
        <w:tblInd w:w="38" w:type="dxa"/>
        <w:tblLayout w:type="fixed"/>
        <w:tblCellMar>
          <w:top w:w="0" w:type="dxa"/>
          <w:left w:w="30" w:type="dxa"/>
          <w:bottom w:w="0" w:type="dxa"/>
          <w:right w:w="30" w:type="dxa"/>
        </w:tblCellMar>
      </w:tblPr>
      <w:tblGrid>
        <w:gridCol w:w="2065"/>
        <w:gridCol w:w="1467"/>
      </w:tblGrid>
      <w:tr>
        <w:trPr>
          <w:trHeight w:val="256" w:hRule="atLeast"/>
        </w:trPr>
        <w:tc>
          <w:tcPr>
            <w:tcW w:w="2065" w:type="dxa"/>
            <w:tcBorders/>
            <w:vAlign w:val="center"/>
          </w:tcPr>
          <w:p>
            <w:pPr>
              <w:pStyle w:val="Normal"/>
              <w:tabs>
                <w:tab w:val="clear" w:pos="709"/>
              </w:tabs>
              <w:bidi w:val="0"/>
              <w:jc w:val="left"/>
              <w:rPr>
                <w:rFonts w:ascii="Liberation Sans" w:hAnsi="Liberation Sans"/>
                <w:sz w:val="16"/>
              </w:rPr>
            </w:pPr>
            <w:r>
              <w:rPr>
                <w:rFonts w:ascii="Liberation Sans" w:hAnsi="Liberation Sans"/>
                <w:b/>
                <w:sz w:val="16"/>
              </w:rPr>
              <w:t>Act</w:t>
            </w:r>
          </w:p>
        </w:tc>
        <w:tc>
          <w:tcPr>
            <w:tcW w:w="1467" w:type="dxa"/>
            <w:tcBorders/>
            <w:vAlign w:val="center"/>
          </w:tcPr>
          <w:p>
            <w:pPr>
              <w:pStyle w:val="Normal"/>
              <w:tabs>
                <w:tab w:val="clear" w:pos="709"/>
              </w:tabs>
              <w:bidi w:val="0"/>
              <w:jc w:val="left"/>
              <w:rPr>
                <w:rFonts w:ascii="Liberation Sans" w:hAnsi="Liberation Sans"/>
                <w:sz w:val="16"/>
              </w:rPr>
            </w:pPr>
            <w:r>
              <w:rPr>
                <w:rFonts w:ascii="Liberation Sans" w:hAnsi="Liberation Sans"/>
                <w:b/>
                <w:sz w:val="16"/>
              </w:rPr>
              <w:t>Purpose</w:t>
            </w:r>
          </w:p>
        </w:tc>
      </w:tr>
      <w:tr>
        <w:trPr>
          <w:trHeight w:val="1140" w:hRule="atLeast"/>
        </w:trPr>
        <w:tc>
          <w:tcPr>
            <w:tcW w:w="2065"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Securities Act of 1933</w:t>
            </w:r>
          </w:p>
        </w:tc>
        <w:tc>
          <w:tcPr>
            <w:tcW w:w="1467"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Governs the new issuance (primary) market, which involves the money-raising activities of issuers. Requires issuers to register their securities when selling to the public</w:t>
            </w:r>
          </w:p>
        </w:tc>
      </w:tr>
      <w:tr>
        <w:trPr>
          <w:trHeight w:val="916" w:hRule="atLeast"/>
        </w:trPr>
        <w:tc>
          <w:tcPr>
            <w:tcW w:w="2065"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Securities Exchange Act of 1934</w:t>
            </w:r>
          </w:p>
        </w:tc>
        <w:tc>
          <w:tcPr>
            <w:tcW w:w="1467"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Governs trading markets for existing securities and registration requirements of BDs, BD employees, and exchanges</w:t>
            </w:r>
          </w:p>
        </w:tc>
      </w:tr>
      <w:tr>
        <w:trPr>
          <w:trHeight w:val="916" w:hRule="atLeast"/>
        </w:trPr>
        <w:tc>
          <w:tcPr>
            <w:tcW w:w="2065"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Investment Company Act of 1940</w:t>
            </w:r>
          </w:p>
        </w:tc>
        <w:tc>
          <w:tcPr>
            <w:tcW w:w="1467"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Governs the regulation of packaged products such as mutual funds,closed-end funds, and unit investment trusts</w:t>
            </w:r>
          </w:p>
        </w:tc>
      </w:tr>
      <w:tr>
        <w:trPr>
          <w:trHeight w:val="692" w:hRule="atLeast"/>
        </w:trPr>
        <w:tc>
          <w:tcPr>
            <w:tcW w:w="2065"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Investment Advisers Act of 1940</w:t>
            </w:r>
          </w:p>
        </w:tc>
        <w:tc>
          <w:tcPr>
            <w:tcW w:w="1467"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Governs the regulation of firms that earn fees for providing investment advice</w:t>
            </w:r>
          </w:p>
        </w:tc>
      </w:tr>
      <w:tr>
        <w:trPr>
          <w:trHeight w:val="692" w:hRule="atLeast"/>
        </w:trPr>
        <w:tc>
          <w:tcPr>
            <w:tcW w:w="2065"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Securities Investor Protection Act of 1970</w:t>
            </w:r>
          </w:p>
        </w:tc>
        <w:tc>
          <w:tcPr>
            <w:tcW w:w="1467"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(SIPA)Covers the protection thresholds for customers in the event of a BD’s bankruptcy</w:t>
            </w:r>
          </w:p>
        </w:tc>
      </w:tr>
      <w:tr>
        <w:trPr>
          <w:trHeight w:val="916" w:hRule="atLeast"/>
        </w:trPr>
        <w:tc>
          <w:tcPr>
            <w:tcW w:w="2065"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Insider Trading and Securities Fraud</w:t>
            </w:r>
          </w:p>
        </w:tc>
        <w:tc>
          <w:tcPr>
            <w:tcW w:w="1467"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Enforcement Act of 1988Defines penalties for the misuse of material, nonpublic information by both firms and individuals</w:t>
            </w:r>
          </w:p>
        </w:tc>
      </w:tr>
      <w:tr>
        <w:trPr>
          <w:trHeight w:val="1140" w:hRule="atLeast"/>
        </w:trPr>
        <w:tc>
          <w:tcPr>
            <w:tcW w:w="2065"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 xml:space="preserve">The USA PATRIOT Act of 2001 </w:t>
            </w:r>
          </w:p>
        </w:tc>
        <w:tc>
          <w:tcPr>
            <w:tcW w:w="1467"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(Partially based on the Bank Secrecy Act of 1970)Covers anti-money laundering (AML) policies and procedures that must be followed by financial firms</w:t>
            </w:r>
          </w:p>
        </w:tc>
      </w:tr>
      <w:tr>
        <w:trPr>
          <w:trHeight w:val="610" w:hRule="atLeast"/>
        </w:trPr>
        <w:tc>
          <w:tcPr>
            <w:tcW w:w="2065"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TIPC (1991)</w:t>
            </w:r>
          </w:p>
        </w:tc>
        <w:tc>
          <w:tcPr>
            <w:tcW w:w="1467"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Administered by FCC, protects consumers from unwanted telephone solicitations</w:t>
            </w:r>
          </w:p>
        </w:tc>
      </w:tr>
      <w:tr>
        <w:trPr>
          <w:trHeight w:val="610" w:hRule="atLeast"/>
        </w:trPr>
        <w:tc>
          <w:tcPr>
            <w:tcW w:w="2065"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Bank Secrecy Act</w:t>
            </w:r>
          </w:p>
        </w:tc>
        <w:tc>
          <w:tcPr>
            <w:tcW w:w="1467"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Establishes US Treasury as the lead agency for developing AML programs, requires currency transaction reports (CTRs) to be filed for amts &gt; $10k</w:t>
            </w:r>
          </w:p>
        </w:tc>
      </w:tr>
      <w:tr>
        <w:trPr>
          <w:trHeight w:val="610" w:hRule="atLeast"/>
        </w:trPr>
        <w:tc>
          <w:tcPr>
            <w:tcW w:w="2065"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Uniform Secrecy Act</w:t>
            </w:r>
          </w:p>
        </w:tc>
        <w:tc>
          <w:tcPr>
            <w:tcW w:w="1467" w:type="dxa"/>
            <w:tcBorders/>
            <w:vAlign w:val="center"/>
          </w:tcPr>
          <w:p>
            <w:pPr>
              <w:pStyle w:val="Normal"/>
              <w:tabs>
                <w:tab w:val="clear" w:pos="709"/>
              </w:tabs>
              <w:bidi w:val="0"/>
              <w:jc w:val="left"/>
              <w:rPr>
                <w:rFonts w:ascii="Liberation Sans" w:hAnsi="Liberation Sans"/>
                <w:sz w:val="12"/>
              </w:rPr>
            </w:pPr>
            <w:r>
              <w:rPr>
                <w:rFonts w:ascii="Liberation Sans" w:hAnsi="Liberation Sans"/>
                <w:sz w:val="12"/>
              </w:rPr>
              <w:t>Establishes framework for state registration, applies to secs, BDs, Rrs, Inv. Adivsers, and IA reps</w:t>
            </w:r>
          </w:p>
        </w:tc>
      </w:tr>
    </w:tbl>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b w:val="false"/>
          <w:b w:val="false"/>
          <w:bCs w:val="false"/>
          <w:i w:val="false"/>
          <w:i w:val="false"/>
          <w:iCs w:val="false"/>
          <w:sz w:val="24"/>
        </w:rPr>
      </w:pPr>
      <w:r>
        <w:rPr>
          <w:rFonts w:ascii="Liberation Sans" w:hAnsi="Liberation Sans"/>
          <w:b w:val="false"/>
          <w:bCs w:val="false"/>
          <w:i w:val="false"/>
          <w:iCs w:val="false"/>
          <w:sz w:val="24"/>
        </w:rPr>
        <w:t>Record Keeping:</w:t>
      </w:r>
    </w:p>
    <w:p>
      <w:pPr>
        <w:pStyle w:val="Normal"/>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Life:</w:t>
      </w:r>
    </w:p>
    <w:p>
      <w:pPr>
        <w:pStyle w:val="Normal"/>
        <w:numPr>
          <w:ilvl w:val="0"/>
          <w:numId w:val="5"/>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Partnership Agreement</w:t>
      </w:r>
    </w:p>
    <w:p>
      <w:pPr>
        <w:pStyle w:val="Normal"/>
        <w:numPr>
          <w:ilvl w:val="0"/>
          <w:numId w:val="5"/>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Corp[orate charter or articles of incorporation</w:t>
      </w:r>
    </w:p>
    <w:p>
      <w:pPr>
        <w:pStyle w:val="Normal"/>
        <w:numPr>
          <w:ilvl w:val="0"/>
          <w:numId w:val="5"/>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Stock cert. Books</w:t>
      </w:r>
    </w:p>
    <w:p>
      <w:pPr>
        <w:pStyle w:val="Normal"/>
        <w:numPr>
          <w:ilvl w:val="0"/>
          <w:numId w:val="5"/>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Minutes of BOD meetings</w:t>
      </w:r>
    </w:p>
    <w:p>
      <w:pPr>
        <w:pStyle w:val="Normal"/>
        <w:numPr>
          <w:ilvl w:val="0"/>
          <w:numId w:val="5"/>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Amendments to records</w:t>
      </w:r>
    </w:p>
    <w:p>
      <w:pPr>
        <w:pStyle w:val="Normal"/>
        <w:numPr>
          <w:ilvl w:val="0"/>
          <w:numId w:val="5"/>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Organizational records</w:t>
      </w:r>
    </w:p>
    <w:p>
      <w:pPr>
        <w:pStyle w:val="Normal"/>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Six Years:</w:t>
      </w:r>
    </w:p>
    <w:p>
      <w:pPr>
        <w:pStyle w:val="Normal"/>
        <w:numPr>
          <w:ilvl w:val="0"/>
          <w:numId w:val="6"/>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Blotter (record of original entry)</w:t>
      </w:r>
    </w:p>
    <w:p>
      <w:pPr>
        <w:pStyle w:val="Normal"/>
        <w:numPr>
          <w:ilvl w:val="0"/>
          <w:numId w:val="6"/>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General ledger</w:t>
      </w:r>
    </w:p>
    <w:p>
      <w:pPr>
        <w:pStyle w:val="Normal"/>
        <w:numPr>
          <w:ilvl w:val="0"/>
          <w:numId w:val="6"/>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Stock record</w:t>
      </w:r>
    </w:p>
    <w:p>
      <w:pPr>
        <w:pStyle w:val="Normal"/>
        <w:numPr>
          <w:ilvl w:val="0"/>
          <w:numId w:val="6"/>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Customer Ledger</w:t>
      </w:r>
    </w:p>
    <w:p>
      <w:pPr>
        <w:pStyle w:val="Normal"/>
        <w:numPr>
          <w:ilvl w:val="0"/>
          <w:numId w:val="6"/>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Cust. Acct. Rcds.</w:t>
      </w:r>
    </w:p>
    <w:p>
      <w:pPr>
        <w:pStyle w:val="Normal"/>
        <w:numPr>
          <w:ilvl w:val="0"/>
          <w:numId w:val="6"/>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Designation of principals</w:t>
      </w:r>
    </w:p>
    <w:p>
      <w:pPr>
        <w:pStyle w:val="Normal"/>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Four Years:</w:t>
      </w:r>
    </w:p>
    <w:p>
      <w:pPr>
        <w:pStyle w:val="Normal"/>
        <w:numPr>
          <w:ilvl w:val="0"/>
          <w:numId w:val="7"/>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Written complaints</w:t>
      </w:r>
    </w:p>
    <w:p>
      <w:pPr>
        <w:pStyle w:val="Normal"/>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Three Years:</w:t>
      </w:r>
    </w:p>
    <w:p>
      <w:pPr>
        <w:pStyle w:val="Normal"/>
        <w:numPr>
          <w:ilvl w:val="0"/>
          <w:numId w:val="8"/>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Almost all the other records that don’t fit in the above:</w:t>
      </w:r>
    </w:p>
    <w:p>
      <w:pPr>
        <w:pStyle w:val="Normal"/>
        <w:numPr>
          <w:ilvl w:val="0"/>
          <w:numId w:val="8"/>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Advertising</w:t>
      </w:r>
    </w:p>
    <w:p>
      <w:pPr>
        <w:pStyle w:val="Normal"/>
        <w:numPr>
          <w:ilvl w:val="0"/>
          <w:numId w:val="8"/>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Forms U4/U5 for terminated personnel</w:t>
      </w:r>
    </w:p>
    <w:p>
      <w:pPr>
        <w:pStyle w:val="Normal"/>
        <w:numPr>
          <w:ilvl w:val="0"/>
          <w:numId w:val="8"/>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Cust. Confirmations</w:t>
      </w:r>
    </w:p>
    <w:p>
      <w:pPr>
        <w:pStyle w:val="Normal"/>
        <w:numPr>
          <w:ilvl w:val="0"/>
          <w:numId w:val="8"/>
        </w:numPr>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etc.</w:t>
      </w:r>
    </w:p>
    <w:p>
      <w:pPr>
        <w:pStyle w:val="Heading4"/>
        <w:bidi w:val="0"/>
        <w:jc w:val="left"/>
        <w:rPr/>
      </w:pPr>
      <w:r>
        <w:rPr/>
        <w:t>Things to Remember:</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The </w:t>
      </w:r>
      <w:r>
        <w:rPr>
          <w:rFonts w:ascii="Liberation Sans" w:hAnsi="Liberation Sans"/>
          <w:b/>
          <w:bCs/>
          <w:i/>
          <w:iCs/>
          <w:sz w:val="16"/>
        </w:rPr>
        <w:t>transfer agent</w:t>
      </w:r>
      <w:r>
        <w:rPr>
          <w:rFonts w:ascii="Liberation Sans" w:hAnsi="Liberation Sans"/>
          <w:b w:val="false"/>
          <w:bCs w:val="false"/>
          <w:i w:val="false"/>
          <w:iCs w:val="false"/>
          <w:sz w:val="16"/>
        </w:rPr>
        <w:t xml:space="preserve"> for a corporation is responsible for:</w:t>
      </w:r>
    </w:p>
    <w:p>
      <w:pPr>
        <w:pStyle w:val="TextBody"/>
        <w:numPr>
          <w:ilvl w:val="0"/>
          <w:numId w:val="15"/>
        </w:numPr>
        <w:bidi w:val="0"/>
        <w:spacing w:lineRule="auto" w:line="240"/>
        <w:jc w:val="left"/>
        <w:rPr/>
      </w:pPr>
      <w:r>
        <w:rPr>
          <w:rFonts w:ascii="Liberation Sans" w:hAnsi="Liberation Sans"/>
          <w:b w:val="false"/>
          <w:bCs w:val="false"/>
          <w:i w:val="false"/>
          <w:iCs w:val="false"/>
          <w:sz w:val="16"/>
        </w:rPr>
        <w:t>ensuring that its securities are issued in the correct owner's name canceling old certificates and issuing new ones;</w:t>
      </w:r>
    </w:p>
    <w:p>
      <w:pPr>
        <w:pStyle w:val="TextBody"/>
        <w:numPr>
          <w:ilvl w:val="0"/>
          <w:numId w:val="15"/>
        </w:numPr>
        <w:bidi w:val="0"/>
        <w:spacing w:lineRule="auto" w:line="240"/>
        <w:jc w:val="left"/>
        <w:rPr/>
      </w:pPr>
      <w:r>
        <w:rPr>
          <w:rFonts w:ascii="Liberation Sans" w:hAnsi="Liberation Sans"/>
          <w:b w:val="false"/>
          <w:bCs w:val="false"/>
          <w:i w:val="false"/>
          <w:iCs w:val="false"/>
          <w:sz w:val="16"/>
        </w:rPr>
        <w:t>maintaining records of ownership; and handling problems relating to lost, stolen, or destroyed certificates.</w:t>
      </w:r>
    </w:p>
    <w:p>
      <w:pPr>
        <w:pStyle w:val="TextBody"/>
        <w:numPr>
          <w:ilvl w:val="0"/>
          <w:numId w:val="0"/>
        </w:numPr>
        <w:bidi w:val="0"/>
        <w:spacing w:lineRule="auto" w:line="240" w:before="0" w:after="140"/>
        <w:ind w:left="0" w:right="0" w:hanging="0"/>
        <w:jc w:val="left"/>
        <w:rPr/>
      </w:pPr>
      <w:r>
        <w:rPr>
          <w:rFonts w:ascii="Liberation Sans" w:hAnsi="Liberation Sans"/>
          <w:b w:val="false"/>
          <w:bCs w:val="false"/>
          <w:i w:val="false"/>
          <w:iCs w:val="false"/>
          <w:sz w:val="16"/>
        </w:rPr>
        <w:t xml:space="preserve">It is the </w:t>
      </w:r>
      <w:r>
        <w:rPr>
          <w:rFonts w:ascii="Liberation Sans" w:hAnsi="Liberation Sans"/>
          <w:b/>
          <w:bCs/>
          <w:i/>
          <w:iCs/>
          <w:sz w:val="16"/>
        </w:rPr>
        <w:t>registrar</w:t>
      </w:r>
      <w:r>
        <w:rPr>
          <w:rFonts w:ascii="Liberation Sans" w:hAnsi="Liberation Sans"/>
          <w:b/>
          <w:bCs/>
          <w:i w:val="false"/>
          <w:iCs w:val="false"/>
          <w:sz w:val="16"/>
        </w:rPr>
        <w:t xml:space="preserve"> </w:t>
      </w:r>
      <w:r>
        <w:rPr>
          <w:rFonts w:ascii="Liberation Sans" w:hAnsi="Liberation Sans"/>
          <w:b w:val="false"/>
          <w:bCs w:val="false"/>
          <w:i w:val="false"/>
          <w:iCs w:val="false"/>
          <w:sz w:val="16"/>
        </w:rPr>
        <w:t xml:space="preserve">who is responsible for </w:t>
      </w:r>
      <w:r>
        <w:rPr>
          <w:rFonts w:ascii="Liberation Sans" w:hAnsi="Liberation Sans"/>
          <w:b/>
          <w:bCs/>
          <w:i/>
          <w:iCs/>
          <w:sz w:val="16"/>
        </w:rPr>
        <w:t xml:space="preserve">registering </w:t>
      </w:r>
      <w:r>
        <w:rPr>
          <w:rFonts w:ascii="Liberation Sans" w:hAnsi="Liberation Sans"/>
          <w:b w:val="false"/>
          <w:bCs w:val="false"/>
          <w:i w:val="false"/>
          <w:iCs w:val="false"/>
          <w:sz w:val="16"/>
        </w:rPr>
        <w:t>the corporation's securities with the state.</w:t>
      </w:r>
    </w:p>
    <w:p>
      <w:pPr>
        <w:pStyle w:val="Normal"/>
        <w:numPr>
          <w:ilvl w:val="0"/>
          <w:numId w:val="0"/>
        </w:numPr>
        <w:bidi w:val="0"/>
        <w:spacing w:lineRule="auto" w:line="240" w:before="0" w:after="140"/>
        <w:ind w:left="0" w:right="0" w:hanging="0"/>
        <w:jc w:val="left"/>
        <w:rPr>
          <w:rFonts w:ascii="Liberation Sans" w:hAnsi="Liberation Sans"/>
          <w:b w:val="false"/>
          <w:b w:val="false"/>
          <w:bCs w:val="false"/>
          <w:i w:val="false"/>
          <w:i w:val="false"/>
          <w:iCs w:val="false"/>
          <w:sz w:val="20"/>
        </w:rPr>
      </w:pPr>
      <w:r>
        <w:rPr>
          <w:rFonts w:ascii="Liberation Sans" w:hAnsi="Liberation Sans"/>
          <w:b w:val="false"/>
          <w:bCs w:val="false"/>
          <w:i w:val="false"/>
          <w:iCs w:val="false"/>
          <w:sz w:val="20"/>
        </w:rPr>
        <w:t>Regulators</w:t>
      </w:r>
      <w:r>
        <w:rPr>
          <w:rFonts w:ascii="Liberation Sans" w:hAnsi="Liberation Sans"/>
          <w:b w:val="false"/>
          <w:bCs w:val="false"/>
          <w:i w:val="false"/>
          <w:iCs w:val="false"/>
          <w:sz w:val="20"/>
        </w:rPr>
        <w:t>:</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The Office of the Comptroller of the Currency:</w:t>
      </w:r>
    </w:p>
    <w:p>
      <w:pPr>
        <w:pStyle w:val="TextBody"/>
        <w:numPr>
          <w:ilvl w:val="0"/>
          <w:numId w:val="16"/>
        </w:numPr>
        <w:bidi w:val="0"/>
        <w:spacing w:lineRule="auto" w:line="240" w:before="0" w:after="140"/>
        <w:ind w:left="360" w:right="0" w:hanging="360"/>
        <w:jc w:val="left"/>
        <w:rPr/>
      </w:pPr>
      <w:r>
        <w:rPr>
          <w:rFonts w:ascii="Liberation Sans" w:hAnsi="Liberation Sans"/>
          <w:b w:val="false"/>
          <w:bCs w:val="false"/>
          <w:i w:val="false"/>
          <w:iCs w:val="false"/>
          <w:sz w:val="16"/>
        </w:rPr>
        <w:t xml:space="preserve">supervises nearly 1,400 national banks, </w:t>
      </w:r>
    </w:p>
    <w:p>
      <w:pPr>
        <w:pStyle w:val="TextBody"/>
        <w:numPr>
          <w:ilvl w:val="0"/>
          <w:numId w:val="16"/>
        </w:numPr>
        <w:bidi w:val="0"/>
        <w:spacing w:lineRule="auto" w:line="240" w:before="0" w:after="140"/>
        <w:ind w:left="360" w:right="0" w:hanging="360"/>
        <w:jc w:val="left"/>
        <w:rPr/>
      </w:pPr>
      <w:r>
        <w:rPr>
          <w:rFonts w:ascii="Liberation Sans" w:hAnsi="Liberation Sans"/>
          <w:b w:val="false"/>
          <w:bCs w:val="false"/>
          <w:i w:val="false"/>
          <w:iCs w:val="false"/>
          <w:sz w:val="16"/>
        </w:rPr>
        <w:t xml:space="preserve">federal savings associations, and federal branches </w:t>
      </w:r>
    </w:p>
    <w:p>
      <w:pPr>
        <w:pStyle w:val="TextBody"/>
        <w:numPr>
          <w:ilvl w:val="0"/>
          <w:numId w:val="16"/>
        </w:numPr>
        <w:bidi w:val="0"/>
        <w:spacing w:lineRule="auto" w:line="240" w:before="0" w:after="140"/>
        <w:ind w:left="360" w:right="0" w:hanging="360"/>
        <w:jc w:val="left"/>
        <w:rPr/>
      </w:pPr>
      <w:r>
        <w:rPr>
          <w:rFonts w:ascii="Liberation Sans" w:hAnsi="Liberation Sans"/>
          <w:b w:val="false"/>
          <w:bCs w:val="false"/>
          <w:i w:val="false"/>
          <w:iCs w:val="false"/>
          <w:sz w:val="16"/>
        </w:rPr>
        <w:t xml:space="preserve">and agencies of foreign banks operating in the United States. </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The mission of the comptroller is to:</w:t>
      </w:r>
    </w:p>
    <w:p>
      <w:pPr>
        <w:pStyle w:val="TextBody"/>
        <w:numPr>
          <w:ilvl w:val="0"/>
          <w:numId w:val="17"/>
        </w:numPr>
        <w:bidi w:val="0"/>
        <w:spacing w:lineRule="auto" w:line="240" w:before="0" w:after="140"/>
        <w:ind w:left="360" w:right="0" w:hanging="360"/>
        <w:jc w:val="left"/>
        <w:rPr/>
      </w:pPr>
      <w:r>
        <w:rPr>
          <w:rFonts w:ascii="Liberation Sans" w:hAnsi="Liberation Sans"/>
          <w:b w:val="false"/>
          <w:bCs w:val="false"/>
          <w:i w:val="false"/>
          <w:iCs w:val="false"/>
          <w:sz w:val="16"/>
        </w:rPr>
        <w:t xml:space="preserve">ensure that national banks and federal savings associations operate in a safe and sound manner, </w:t>
      </w:r>
    </w:p>
    <w:p>
      <w:pPr>
        <w:pStyle w:val="TextBody"/>
        <w:numPr>
          <w:ilvl w:val="0"/>
          <w:numId w:val="17"/>
        </w:numPr>
        <w:bidi w:val="0"/>
        <w:spacing w:lineRule="auto" w:line="240" w:before="0" w:after="140"/>
        <w:ind w:left="360" w:right="0" w:hanging="360"/>
        <w:jc w:val="left"/>
        <w:rPr/>
      </w:pPr>
      <w:r>
        <w:rPr>
          <w:rFonts w:ascii="Liberation Sans" w:hAnsi="Liberation Sans"/>
          <w:b w:val="false"/>
          <w:bCs w:val="false"/>
          <w:i w:val="false"/>
          <w:iCs w:val="false"/>
          <w:sz w:val="16"/>
        </w:rPr>
        <w:t xml:space="preserve">provide fair access to financial services, treat customers fairly, </w:t>
      </w:r>
    </w:p>
    <w:p>
      <w:pPr>
        <w:pStyle w:val="TextBody"/>
        <w:numPr>
          <w:ilvl w:val="0"/>
          <w:numId w:val="17"/>
        </w:numPr>
        <w:bidi w:val="0"/>
        <w:spacing w:lineRule="auto" w:line="240" w:before="0" w:after="140"/>
        <w:ind w:left="360" w:right="0" w:hanging="360"/>
        <w:jc w:val="left"/>
        <w:rPr/>
      </w:pPr>
      <w:r>
        <w:rPr>
          <w:rFonts w:ascii="Liberation Sans" w:hAnsi="Liberation Sans"/>
          <w:b w:val="false"/>
          <w:bCs w:val="false"/>
          <w:i w:val="false"/>
          <w:iCs w:val="false"/>
          <w:sz w:val="16"/>
        </w:rPr>
        <w:t xml:space="preserve">and comply with applicable laws and regulations. </w:t>
      </w:r>
    </w:p>
    <w:p>
      <w:pPr>
        <w:pStyle w:val="TextBody"/>
        <w:numPr>
          <w:ilvl w:val="0"/>
          <w:numId w:val="17"/>
        </w:numPr>
        <w:bidi w:val="0"/>
        <w:spacing w:lineRule="auto" w:line="240" w:before="0" w:after="140"/>
        <w:ind w:left="360" w:right="0" w:hanging="360"/>
        <w:jc w:val="left"/>
        <w:rPr/>
      </w:pPr>
      <w:r>
        <w:rPr>
          <w:rFonts w:ascii="Liberation Sans" w:hAnsi="Liberation Sans"/>
          <w:b w:val="false"/>
          <w:bCs w:val="false"/>
          <w:i w:val="false"/>
          <w:iCs w:val="false"/>
          <w:sz w:val="16"/>
        </w:rPr>
        <w:t xml:space="preserve">The comptroller also serves as a director of the Federal Deposit Insurance Corporation </w:t>
      </w:r>
      <w:r>
        <w:rPr>
          <w:rFonts w:ascii="Liberation Sans" w:hAnsi="Liberation Sans"/>
          <w:b/>
          <w:bCs/>
          <w:i/>
          <w:iCs/>
          <w:sz w:val="16"/>
        </w:rPr>
        <w:t>(FDIC)</w:t>
      </w:r>
      <w:r>
        <w:rPr>
          <w:rFonts w:ascii="Liberation Sans" w:hAnsi="Liberation Sans"/>
          <w:b w:val="false"/>
          <w:bCs w:val="false"/>
          <w:i w:val="false"/>
          <w:iCs w:val="false"/>
          <w:sz w:val="16"/>
        </w:rPr>
        <w:t>.</w:t>
      </w:r>
    </w:p>
    <w:p>
      <w:pPr>
        <w:pStyle w:val="Normal"/>
        <w:numPr>
          <w:ilvl w:val="0"/>
          <w:numId w:val="0"/>
        </w:numPr>
        <w:bidi w:val="0"/>
        <w:spacing w:lineRule="auto" w:line="240" w:before="0" w:after="140"/>
        <w:ind w:left="0" w:right="0" w:hanging="0"/>
        <w:jc w:val="left"/>
        <w:rPr>
          <w:rFonts w:ascii="Liberation Sans" w:hAnsi="Liberation Sans"/>
          <w:b w:val="false"/>
          <w:b w:val="false"/>
          <w:bCs w:val="false"/>
          <w:i w:val="false"/>
          <w:i w:val="false"/>
          <w:iCs w:val="false"/>
          <w:sz w:val="20"/>
        </w:rPr>
      </w:pPr>
      <w:r>
        <w:rPr>
          <w:rFonts w:ascii="Liberation Sans" w:hAnsi="Liberation Sans"/>
          <w:b w:val="false"/>
          <w:bCs w:val="false"/>
          <w:i w:val="false"/>
          <w:iCs w:val="false"/>
          <w:sz w:val="20"/>
        </w:rPr>
        <w:t>Investment Companies</w:t>
      </w:r>
      <w:r>
        <w:rPr>
          <w:rFonts w:ascii="Liberation Sans" w:hAnsi="Liberation Sans"/>
          <w:b w:val="false"/>
          <w:bCs w:val="false"/>
          <w:i w:val="false"/>
          <w:iCs w:val="false"/>
          <w:sz w:val="20"/>
        </w:rPr>
        <w:t>:</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Investment companies registered under the </w:t>
      </w:r>
      <w:r>
        <w:rPr>
          <w:rFonts w:ascii="Liberation Sans" w:hAnsi="Liberation Sans"/>
          <w:b/>
          <w:bCs/>
          <w:i/>
          <w:iCs/>
          <w:sz w:val="16"/>
        </w:rPr>
        <w:t>Investment Company Act of 1940</w:t>
      </w:r>
      <w:r>
        <w:rPr>
          <w:rFonts w:ascii="Liberation Sans" w:hAnsi="Liberation Sans"/>
          <w:b w:val="false"/>
          <w:bCs w:val="false"/>
          <w:i w:val="false"/>
          <w:iCs w:val="false"/>
          <w:sz w:val="16"/>
        </w:rPr>
        <w:t xml:space="preserve"> offer securities that are deemed to be federally covered, </w:t>
      </w:r>
      <w:r>
        <w:rPr>
          <w:rFonts w:ascii="Liberation Sans" w:hAnsi="Liberation Sans"/>
          <w:b w:val="false"/>
          <w:bCs w:val="false"/>
          <w:i w:val="false"/>
          <w:iCs w:val="false"/>
          <w:sz w:val="16"/>
        </w:rPr>
        <w:t>and s</w:t>
      </w:r>
      <w:r>
        <w:rPr>
          <w:rFonts w:ascii="Liberation Sans" w:hAnsi="Liberation Sans"/>
          <w:b w:val="false"/>
          <w:bCs w:val="false"/>
          <w:i w:val="false"/>
          <w:iCs w:val="false"/>
          <w:sz w:val="16"/>
        </w:rPr>
        <w:t xml:space="preserve">tates do not have jurisdiction over the registration requirements of these securities. </w:t>
      </w:r>
      <w:r>
        <w:rPr>
          <w:rFonts w:ascii="Liberation Sans" w:hAnsi="Liberation Sans"/>
          <w:b w:val="false"/>
          <w:bCs w:val="false"/>
          <w:i w:val="false"/>
          <w:iCs w:val="false"/>
          <w:sz w:val="16"/>
        </w:rPr>
        <w:t>(Uniform Secs Act provides the state secs registration).</w:t>
      </w:r>
      <w:r>
        <w:rPr>
          <w:rFonts w:ascii="Liberation Sans" w:hAnsi="Liberation Sans"/>
          <w:b w:val="false"/>
          <w:bCs w:val="false"/>
          <w:i w:val="false"/>
          <w:iCs w:val="false"/>
          <w:sz w:val="16"/>
        </w:rPr>
        <w:t xml:space="preserve"> </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Note </w:t>
      </w:r>
      <w:r>
        <w:rPr>
          <w:rFonts w:ascii="Liberation Sans" w:hAnsi="Liberation Sans"/>
          <w:b w:val="false"/>
          <w:bCs w:val="false"/>
          <w:i w:val="false"/>
          <w:iCs w:val="false"/>
          <w:sz w:val="16"/>
        </w:rPr>
        <w:t>that the National Securities Markets Improvement Act of 1996 designates certain securities to be federally covered, meaning that the states do not have registration jurisdiction over them.</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The </w:t>
      </w:r>
      <w:r>
        <w:rPr>
          <w:rFonts w:ascii="Liberation Sans" w:hAnsi="Liberation Sans"/>
          <w:b/>
          <w:bCs/>
          <w:i/>
          <w:iCs/>
          <w:sz w:val="16"/>
        </w:rPr>
        <w:t xml:space="preserve">UPC </w:t>
      </w:r>
      <w:r>
        <w:rPr>
          <w:rFonts w:ascii="Liberation Sans" w:hAnsi="Liberation Sans"/>
          <w:b w:val="false"/>
          <w:bCs w:val="false"/>
          <w:i w:val="false"/>
          <w:iCs w:val="false"/>
          <w:sz w:val="16"/>
        </w:rPr>
        <w:t>established uniform trade practices and other guidelines for broker-dealers to follow when they do business with other member firms:</w:t>
      </w:r>
    </w:p>
    <w:p>
      <w:pPr>
        <w:pStyle w:val="TextBody"/>
        <w:numPr>
          <w:ilvl w:val="0"/>
          <w:numId w:val="18"/>
        </w:numPr>
        <w:bidi w:val="0"/>
        <w:spacing w:lineRule="auto" w:line="240" w:before="0" w:after="140"/>
        <w:ind w:left="360" w:right="0" w:hanging="360"/>
        <w:jc w:val="left"/>
        <w:rPr/>
      </w:pPr>
      <w:r>
        <w:rPr>
          <w:rFonts w:ascii="Liberation Sans" w:hAnsi="Liberation Sans"/>
          <w:b w:val="false"/>
          <w:bCs w:val="false"/>
          <w:i w:val="false"/>
          <w:iCs w:val="false"/>
          <w:sz w:val="16"/>
        </w:rPr>
        <w:t>transaction settlement</w:t>
      </w:r>
    </w:p>
    <w:p>
      <w:pPr>
        <w:pStyle w:val="TextBody"/>
        <w:numPr>
          <w:ilvl w:val="0"/>
          <w:numId w:val="18"/>
        </w:numPr>
        <w:bidi w:val="0"/>
        <w:spacing w:lineRule="auto" w:line="240" w:before="0" w:after="140"/>
        <w:ind w:left="360" w:right="0" w:hanging="360"/>
        <w:jc w:val="left"/>
        <w:rPr/>
      </w:pPr>
      <w:r>
        <w:rPr>
          <w:rFonts w:ascii="Liberation Sans" w:hAnsi="Liberation Sans"/>
          <w:b w:val="false"/>
          <w:bCs w:val="false"/>
          <w:i w:val="false"/>
          <w:iCs w:val="false"/>
          <w:sz w:val="16"/>
        </w:rPr>
        <w:t>good delivery</w:t>
      </w:r>
    </w:p>
    <w:p>
      <w:pPr>
        <w:pStyle w:val="TextBody"/>
        <w:numPr>
          <w:ilvl w:val="0"/>
          <w:numId w:val="18"/>
        </w:numPr>
        <w:bidi w:val="0"/>
        <w:spacing w:lineRule="auto" w:line="240" w:before="0" w:after="140"/>
        <w:ind w:left="360" w:right="0" w:hanging="360"/>
        <w:jc w:val="left"/>
        <w:rPr/>
      </w:pPr>
      <w:r>
        <w:rPr>
          <w:rFonts w:ascii="Liberation Sans" w:hAnsi="Liberation Sans"/>
          <w:b w:val="false"/>
          <w:bCs w:val="false"/>
          <w:i w:val="false"/>
          <w:iCs w:val="false"/>
          <w:sz w:val="16"/>
        </w:rPr>
        <w:t>ex-dates</w:t>
      </w:r>
    </w:p>
    <w:p>
      <w:pPr>
        <w:pStyle w:val="TextBody"/>
        <w:numPr>
          <w:ilvl w:val="0"/>
          <w:numId w:val="18"/>
        </w:numPr>
        <w:bidi w:val="0"/>
        <w:spacing w:lineRule="auto" w:line="240" w:before="0" w:after="140"/>
        <w:ind w:left="360" w:right="0" w:hanging="360"/>
        <w:jc w:val="left"/>
        <w:rPr/>
      </w:pPr>
      <w:r>
        <w:rPr>
          <w:rFonts w:ascii="Liberation Sans" w:hAnsi="Liberation Sans"/>
          <w:b w:val="false"/>
          <w:bCs w:val="false"/>
          <w:i w:val="false"/>
          <w:iCs w:val="false"/>
          <w:sz w:val="16"/>
        </w:rPr>
        <w:t>trade confirmations</w:t>
      </w:r>
    </w:p>
    <w:p>
      <w:pPr>
        <w:pStyle w:val="TextBody"/>
        <w:numPr>
          <w:ilvl w:val="0"/>
          <w:numId w:val="18"/>
        </w:numPr>
        <w:bidi w:val="0"/>
        <w:spacing w:lineRule="auto" w:line="240" w:before="0" w:after="140"/>
        <w:ind w:left="360" w:right="0" w:hanging="360"/>
        <w:jc w:val="left"/>
        <w:rPr/>
      </w:pPr>
      <w:r>
        <w:rPr>
          <w:rFonts w:ascii="Liberation Sans" w:hAnsi="Liberation Sans"/>
          <w:b w:val="false"/>
          <w:bCs w:val="false"/>
          <w:i w:val="false"/>
          <w:iCs w:val="false"/>
          <w:sz w:val="16"/>
        </w:rPr>
        <w:t>DK procedures</w:t>
      </w:r>
    </w:p>
    <w:p>
      <w:pPr>
        <w:pStyle w:val="Heading3"/>
        <w:bidi w:val="0"/>
        <w:jc w:val="left"/>
        <w:rPr>
          <w:rFonts w:ascii="Liberation Sans" w:hAnsi="Liberation Sans"/>
        </w:rPr>
      </w:pPr>
      <w:r>
        <w:rPr>
          <w:rFonts w:ascii="Liberation Sans" w:hAnsi="Liberation Sans"/>
        </w:rPr>
        <w:t>Understanding Products &amp; Risks</w:t>
      </w:r>
    </w:p>
    <w:p>
      <w:pPr>
        <w:pStyle w:val="TextBody"/>
        <w:bidi w:val="0"/>
        <w:spacing w:lineRule="auto" w:line="240"/>
        <w:jc w:val="left"/>
        <w:rPr>
          <w:rFonts w:ascii="Liberation Sans" w:hAnsi="Liberation Sans"/>
          <w:b/>
          <w:b/>
          <w:bCs/>
          <w:i/>
          <w:i/>
          <w:iCs/>
        </w:rPr>
      </w:pPr>
      <w:r>
        <w:rPr>
          <w:rFonts w:ascii="Liberation Sans" w:hAnsi="Liberation Sans"/>
          <w:b/>
          <w:bCs/>
          <w:i/>
          <w:iCs/>
        </w:rPr>
        <w:t>(Focus on QuickSheet)</w:t>
      </w:r>
    </w:p>
    <w:p>
      <w:pPr>
        <w:pStyle w:val="TextBody"/>
        <w:bidi w:val="0"/>
        <w:spacing w:lineRule="auto" w:line="240"/>
        <w:jc w:val="left"/>
        <w:rPr>
          <w:rFonts w:ascii="Liberation Sans" w:hAnsi="Liberation Sans"/>
          <w:b/>
          <w:b/>
          <w:bCs/>
          <w:i w:val="false"/>
          <w:i w:val="false"/>
          <w:iCs w:val="false"/>
          <w:sz w:val="20"/>
        </w:rPr>
      </w:pPr>
      <w:r>
        <w:rPr>
          <w:rFonts w:ascii="Liberation Sans" w:hAnsi="Liberation Sans"/>
          <w:b/>
          <w:bCs/>
          <w:i w:val="false"/>
          <w:iCs w:val="false"/>
          <w:sz w:val="20"/>
        </w:rPr>
        <w:t>Municipal Bonds:</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 xml:space="preserve">GO: </w:t>
      </w:r>
      <w:r>
        <w:rPr>
          <w:rFonts w:ascii="Liberation Sans" w:hAnsi="Liberation Sans"/>
          <w:b w:val="false"/>
          <w:bCs w:val="false"/>
          <w:i w:val="false"/>
          <w:iCs w:val="false"/>
          <w:sz w:val="16"/>
        </w:rPr>
        <w:t>Munis issued for Capital improvements that benefit the entire community. These projects do not produce revenues, so principal and interest must be paid with taxes collected by the issuer.</w:t>
      </w:r>
    </w:p>
    <w:p>
      <w:pPr>
        <w:pStyle w:val="TextBody"/>
        <w:numPr>
          <w:ilvl w:val="0"/>
          <w:numId w:val="10"/>
        </w:numPr>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GO bonds are known as full faith and credit issues backed by the muni’s taxing power</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Revenue:</w:t>
      </w:r>
      <w:r>
        <w:rPr>
          <w:rFonts w:ascii="Liberation Sans" w:hAnsi="Liberation Sans"/>
          <w:b w:val="false"/>
          <w:bCs w:val="false"/>
          <w:i w:val="false"/>
          <w:iCs w:val="false"/>
          <w:sz w:val="16"/>
        </w:rPr>
        <w:t xml:space="preserve"> Used to finance any municipal facility that generates sufficient income. Considered self supporting bc Principal and int. pmts are made exclusively from the revenues generated:</w:t>
      </w:r>
    </w:p>
    <w:p>
      <w:pPr>
        <w:pStyle w:val="TextBody"/>
        <w:numPr>
          <w:ilvl w:val="0"/>
          <w:numId w:val="9"/>
        </w:numPr>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Utilities, </w:t>
      </w:r>
      <w:r>
        <w:rPr>
          <w:rFonts w:ascii="Liberation Sans" w:hAnsi="Liberation Sans"/>
          <w:b w:val="false"/>
          <w:bCs w:val="false"/>
          <w:i w:val="false"/>
          <w:iCs w:val="false"/>
          <w:sz w:val="16"/>
        </w:rPr>
        <w:t>Housing, Transportation, Education, Health, Industrial, Sports (stadium facilities)</w:t>
      </w:r>
    </w:p>
    <w:p>
      <w:pPr>
        <w:pStyle w:val="TextBody"/>
        <w:numPr>
          <w:ilvl w:val="0"/>
          <w:numId w:val="9"/>
        </w:numPr>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Not supported by issuer’s auth. To tax. So not subject to statutory debt limits, do not require voter approval</w:t>
      </w:r>
    </w:p>
    <w:p>
      <w:pPr>
        <w:pStyle w:val="TextBody"/>
        <w:bidi w:val="0"/>
        <w:spacing w:lineRule="auto" w:line="240"/>
        <w:jc w:val="left"/>
        <w:rPr>
          <w:rFonts w:ascii="Liberation Sans" w:hAnsi="Liberation Sans"/>
          <w:b/>
          <w:b/>
          <w:bCs/>
          <w:i w:val="false"/>
          <w:i w:val="false"/>
          <w:iCs w:val="false"/>
          <w:sz w:val="16"/>
        </w:rPr>
      </w:pPr>
      <w:r>
        <w:rPr>
          <w:rFonts w:ascii="Liberation Sans" w:hAnsi="Liberation Sans"/>
          <w:b/>
          <w:bCs/>
          <w:i w:val="false"/>
          <w:iCs w:val="false"/>
          <w:sz w:val="16"/>
        </w:rPr>
        <w:t>Investment Company Products:</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The portfolios of both face-amount certificate companies and UITs are </w:t>
      </w:r>
      <w:r>
        <w:rPr>
          <w:rFonts w:ascii="Liberation Sans" w:hAnsi="Liberation Sans"/>
          <w:b/>
          <w:bCs/>
          <w:i/>
          <w:iCs/>
          <w:sz w:val="16"/>
        </w:rPr>
        <w:t>non-managed</w:t>
      </w:r>
      <w:r>
        <w:rPr>
          <w:rFonts w:ascii="Liberation Sans" w:hAnsi="Liberation Sans"/>
          <w:b w:val="false"/>
          <w:bCs w:val="false"/>
          <w:i w:val="false"/>
          <w:iCs w:val="false"/>
          <w:sz w:val="16"/>
        </w:rPr>
        <w:t xml:space="preserve">. The closest they come to management is when the securities to make up the portfolio are selected. After that, the portfolio does not change. </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Closed-end companies have an investment adviser who actively manages the portfolio, buying and selling securities.</w:t>
      </w:r>
    </w:p>
    <w:p>
      <w:pPr>
        <w:pStyle w:val="Heading4"/>
        <w:bidi w:val="0"/>
        <w:jc w:val="left"/>
        <w:rPr/>
      </w:pPr>
      <w:r>
        <w:rPr/>
        <w:t>Things to Remember:</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bCs/>
          <w:i/>
          <w:iCs/>
          <w:sz w:val="16"/>
        </w:rPr>
        <w:t>Unsolicited transactions:</w:t>
      </w:r>
      <w:r>
        <w:rPr>
          <w:rFonts w:ascii="Liberation Sans" w:hAnsi="Liberation Sans"/>
          <w:b w:val="false"/>
          <w:bCs w:val="false"/>
          <w:i w:val="false"/>
          <w:iCs w:val="false"/>
          <w:sz w:val="16"/>
        </w:rPr>
        <w:t xml:space="preserve"> those not recommended by the broker-dealer or registered representative, exempt from the penny stock rules. </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bCs/>
          <w:i/>
          <w:iCs/>
          <w:sz w:val="16"/>
        </w:rPr>
        <w:t>S</w:t>
      </w:r>
      <w:r>
        <w:rPr>
          <w:rFonts w:ascii="Liberation Sans" w:hAnsi="Liberation Sans"/>
          <w:b/>
          <w:bCs/>
          <w:i/>
          <w:iCs/>
          <w:sz w:val="16"/>
        </w:rPr>
        <w:t>olicited transactions:</w:t>
      </w:r>
      <w:r>
        <w:rPr>
          <w:rFonts w:ascii="Liberation Sans" w:hAnsi="Liberation Sans"/>
          <w:b w:val="false"/>
          <w:bCs w:val="false"/>
          <w:i w:val="false"/>
          <w:iCs w:val="false"/>
          <w:sz w:val="16"/>
        </w:rPr>
        <w:t xml:space="preserve"> nonexempt </w:t>
      </w:r>
      <w:r>
        <w:rPr>
          <w:rFonts w:ascii="Liberation Sans" w:hAnsi="Liberation Sans"/>
          <w:b w:val="false"/>
          <w:bCs w:val="false"/>
          <w:i w:val="false"/>
          <w:iCs w:val="false"/>
          <w:sz w:val="16"/>
        </w:rPr>
        <w:t xml:space="preserve">from penny stock rules. </w:t>
      </w:r>
    </w:p>
    <w:p>
      <w:pPr>
        <w:pStyle w:val="TextBody"/>
        <w:bidi w:val="0"/>
        <w:spacing w:lineRule="auto" w:line="240"/>
        <w:jc w:val="left"/>
        <w:rPr/>
      </w:pPr>
      <w:r>
        <w:rPr>
          <w:rFonts w:ascii="Liberation Sans" w:hAnsi="Liberation Sans"/>
          <w:b/>
          <w:bCs/>
          <w:i/>
          <w:iCs/>
          <w:sz w:val="16"/>
        </w:rPr>
        <w:t>Established Customers:</w:t>
      </w:r>
      <w:r>
        <w:rPr>
          <w:rFonts w:ascii="Liberation Sans" w:hAnsi="Liberation Sans"/>
          <w:b w:val="false"/>
          <w:bCs w:val="false"/>
          <w:i w:val="false"/>
          <w:iCs w:val="false"/>
          <w:sz w:val="16"/>
        </w:rPr>
        <w:t xml:space="preserve"> </w:t>
      </w:r>
      <w:r>
        <w:rPr>
          <w:rFonts w:ascii="Liberation Sans" w:hAnsi="Liberation Sans"/>
          <w:b w:val="false"/>
          <w:bCs w:val="false"/>
          <w:i w:val="false"/>
          <w:iCs w:val="false"/>
          <w:sz w:val="16"/>
        </w:rPr>
        <w:t>An established customer is someone who has held an account with the broker-dealer for at least one year (and has made a deposit of funds or securities); or has made at least three penny stock purchases of different issuers on different days.</w:t>
      </w:r>
    </w:p>
    <w:p>
      <w:pPr>
        <w:pStyle w:val="TextBody"/>
        <w:numPr>
          <w:ilvl w:val="0"/>
          <w:numId w:val="19"/>
        </w:numPr>
        <w:bidi w:val="0"/>
        <w:spacing w:lineRule="auto" w:line="240" w:before="0" w:after="0"/>
        <w:ind w:left="449" w:right="0" w:hanging="360"/>
        <w:jc w:val="left"/>
        <w:rPr/>
      </w:pPr>
      <w:r>
        <w:rPr>
          <w:rFonts w:ascii="Liberation Sans" w:hAnsi="Liberation Sans"/>
          <w:b w:val="false"/>
          <w:bCs w:val="false"/>
          <w:i w:val="false"/>
          <w:iCs w:val="false"/>
          <w:sz w:val="16"/>
        </w:rPr>
        <w:t xml:space="preserve">Established customers are exempt from the suitability statement requirement but not from the disclosure requirements when penny stocks are being solicited. </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20"/>
        </w:rPr>
      </w:pPr>
      <w:r>
        <w:rPr>
          <w:rFonts w:ascii="Liberation Sans" w:hAnsi="Liberation Sans"/>
          <w:b w:val="false"/>
          <w:bCs w:val="false"/>
          <w:i w:val="false"/>
          <w:iCs w:val="false"/>
          <w:sz w:val="20"/>
        </w:rPr>
        <w:t>Equity:</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Common Stock</w:t>
      </w:r>
      <w:r>
        <w:rPr>
          <w:rFonts w:ascii="Liberation Sans" w:hAnsi="Liberation Sans"/>
          <w:b w:val="false"/>
          <w:bCs w:val="false"/>
          <w:i w:val="false"/>
          <w:iCs w:val="false"/>
          <w:sz w:val="16"/>
        </w:rPr>
        <w:t xml:space="preserve"> – issued to raise capital</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Preferred Stock</w:t>
      </w:r>
      <w:r>
        <w:rPr>
          <w:rFonts w:ascii="Liberation Sans" w:hAnsi="Liberation Sans"/>
          <w:b w:val="false"/>
          <w:bCs w:val="false"/>
          <w:i w:val="false"/>
          <w:iCs w:val="false"/>
          <w:sz w:val="16"/>
        </w:rPr>
        <w:t xml:space="preserve"> – Issued to raise capital</w:t>
      </w:r>
    </w:p>
    <w:p>
      <w:pPr>
        <w:pStyle w:val="TextBody"/>
        <w:numPr>
          <w:ilvl w:val="0"/>
          <w:numId w:val="20"/>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 xml:space="preserve">NonCum </w:t>
      </w:r>
      <w:r>
        <w:rPr>
          <w:rFonts w:ascii="Liberation Sans" w:hAnsi="Liberation Sans"/>
          <w:b w:val="false"/>
          <w:bCs w:val="false"/>
          <w:i w:val="false"/>
          <w:iCs w:val="false"/>
          <w:sz w:val="16"/>
        </w:rPr>
        <w:t>– missed divs not payable</w:t>
      </w:r>
    </w:p>
    <w:p>
      <w:pPr>
        <w:pStyle w:val="TextBody"/>
        <w:numPr>
          <w:ilvl w:val="0"/>
          <w:numId w:val="20"/>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Cumulative</w:t>
      </w:r>
      <w:r>
        <w:rPr>
          <w:rFonts w:ascii="Liberation Sans" w:hAnsi="Liberation Sans"/>
          <w:b w:val="false"/>
          <w:bCs w:val="false"/>
          <w:i w:val="false"/>
          <w:iCs w:val="false"/>
          <w:sz w:val="16"/>
        </w:rPr>
        <w:t xml:space="preserve"> – missed divs paid in arrears</w:t>
      </w:r>
    </w:p>
    <w:p>
      <w:pPr>
        <w:pStyle w:val="TextBody"/>
        <w:numPr>
          <w:ilvl w:val="0"/>
          <w:numId w:val="20"/>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 xml:space="preserve">Callable </w:t>
      </w:r>
      <w:r>
        <w:rPr>
          <w:rFonts w:ascii="Liberation Sans" w:hAnsi="Liberation Sans"/>
          <w:b w:val="false"/>
          <w:bCs w:val="false"/>
          <w:i w:val="false"/>
          <w:iCs w:val="false"/>
          <w:sz w:val="16"/>
        </w:rPr>
        <w:t>– issuer may buy back shares after a specified date &amp; price</w:t>
      </w:r>
    </w:p>
    <w:p>
      <w:pPr>
        <w:pStyle w:val="TextBody"/>
        <w:numPr>
          <w:ilvl w:val="1"/>
          <w:numId w:val="20"/>
        </w:numPr>
        <w:bidi w:val="0"/>
        <w:spacing w:lineRule="auto" w:line="240" w:before="0" w:after="0"/>
        <w:ind w:left="720"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When a corporation calls in preferred shares, the shares stop trading and dividend payments cease on the call date.</w:t>
      </w:r>
    </w:p>
    <w:p>
      <w:pPr>
        <w:pStyle w:val="TextBody"/>
        <w:numPr>
          <w:ilvl w:val="0"/>
          <w:numId w:val="20"/>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Participating:</w:t>
      </w:r>
      <w:r>
        <w:rPr>
          <w:rFonts w:ascii="Liberation Sans" w:hAnsi="Liberation Sans"/>
          <w:b w:val="false"/>
          <w:bCs w:val="false"/>
          <w:i w:val="false"/>
          <w:iCs w:val="false"/>
          <w:sz w:val="16"/>
        </w:rPr>
        <w:t xml:space="preserve"> issuer may pay more than stated dividend</w:t>
      </w:r>
    </w:p>
    <w:p>
      <w:pPr>
        <w:pStyle w:val="TextBody"/>
        <w:numPr>
          <w:ilvl w:val="0"/>
          <w:numId w:val="20"/>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 xml:space="preserve">Adjustable-rate </w:t>
      </w:r>
      <w:r>
        <w:rPr>
          <w:rFonts w:ascii="Liberation Sans" w:hAnsi="Liberation Sans"/>
          <w:b w:val="false"/>
          <w:bCs w:val="false"/>
          <w:i w:val="false"/>
          <w:iCs w:val="false"/>
          <w:sz w:val="16"/>
        </w:rPr>
        <w:t>preferred dividends are tied to benchmark interest rates such as Treasury securities. As these rates fluctuate up and down, so do the dividends on the adjustable shares.</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bCs/>
          <w:i/>
          <w:iCs/>
          <w:sz w:val="16"/>
        </w:rPr>
        <w:t>Rule 144 (part of the Securities Act of 1933)</w:t>
      </w:r>
      <w:r>
        <w:rPr>
          <w:rFonts w:ascii="Liberation Sans" w:hAnsi="Liberation Sans"/>
          <w:b w:val="false"/>
          <w:bCs w:val="false"/>
          <w:i w:val="false"/>
          <w:iCs w:val="false"/>
          <w:sz w:val="16"/>
        </w:rPr>
        <w:t xml:space="preserve"> applies to shares that are sold through a</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nonstandard offering and are subject to resale restrictions and to sales by persons who are classified as control persons (insiders) of the issuer.</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Restricted Stock</w:t>
      </w:r>
      <w:r>
        <w:rPr>
          <w:rFonts w:ascii="Liberation Sans" w:hAnsi="Liberation Sans"/>
          <w:b w:val="false"/>
          <w:bCs w:val="false"/>
          <w:i w:val="false"/>
          <w:iCs w:val="false"/>
          <w:sz w:val="16"/>
        </w:rPr>
        <w:t xml:space="preserve">: </w:t>
      </w:r>
      <w:r>
        <w:rPr>
          <w:rFonts w:ascii="Liberation Sans" w:hAnsi="Liberation Sans"/>
          <w:b w:val="false"/>
          <w:bCs w:val="false"/>
          <w:i w:val="false"/>
          <w:iCs w:val="false"/>
          <w:sz w:val="16"/>
        </w:rPr>
        <w:t>(acquired through private placement)</w:t>
      </w:r>
    </w:p>
    <w:p>
      <w:pPr>
        <w:pStyle w:val="TextBody"/>
        <w:numPr>
          <w:ilvl w:val="0"/>
          <w:numId w:val="21"/>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may not be sold until they’ve been fully paid for 6mo. Then selling can begin</w:t>
      </w:r>
    </w:p>
    <w:p>
      <w:pPr>
        <w:pStyle w:val="TextBody"/>
        <w:numPr>
          <w:ilvl w:val="0"/>
          <w:numId w:val="21"/>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Buyers of stock that was subject to rule 144 when issued and first sold are </w:t>
      </w:r>
      <w:r>
        <w:rPr>
          <w:rFonts w:ascii="Liberation Sans" w:hAnsi="Liberation Sans"/>
          <w:b w:val="false"/>
          <w:bCs w:val="false"/>
          <w:i/>
          <w:iCs/>
          <w:sz w:val="16"/>
        </w:rPr>
        <w:t xml:space="preserve">not </w:t>
      </w:r>
      <w:r>
        <w:rPr>
          <w:rFonts w:ascii="Liberation Sans" w:hAnsi="Liberation Sans"/>
          <w:b w:val="false"/>
          <w:bCs w:val="false"/>
          <w:i w:val="false"/>
          <w:iCs w:val="false"/>
          <w:sz w:val="16"/>
        </w:rPr>
        <w:t>subject to any restrictions if they choose to resell</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Control stocks</w:t>
      </w:r>
      <w:r>
        <w:rPr>
          <w:rFonts w:ascii="Liberation Sans" w:hAnsi="Liberation Sans"/>
          <w:b w:val="false"/>
          <w:bCs w:val="false"/>
          <w:i w:val="false"/>
          <w:iCs w:val="false"/>
          <w:sz w:val="16"/>
        </w:rPr>
        <w:t xml:space="preserve"> are those owned by directors, officers, or persons who own or control 10% or more of the issuer’s voting stock. (famillies aggregate)</w:t>
      </w:r>
    </w:p>
    <w:p>
      <w:pPr>
        <w:pStyle w:val="TextBody"/>
        <w:bidi w:val="0"/>
        <w:spacing w:lineRule="auto" w:line="240"/>
        <w:jc w:val="left"/>
        <w:rPr>
          <w:rFonts w:ascii="Liberation Sans" w:hAnsi="Liberation Sans"/>
          <w:b/>
          <w:b/>
          <w:bCs/>
          <w:i/>
          <w:i/>
          <w:iCs/>
          <w:sz w:val="12"/>
        </w:rPr>
      </w:pPr>
      <w:r>
        <w:rPr>
          <w:rFonts w:ascii="Liberation Sans" w:hAnsi="Liberation Sans"/>
          <w:b/>
          <w:bCs/>
          <w:i/>
          <w:iCs/>
          <w:sz w:val="12"/>
        </w:rPr>
        <w:t>Control Person = Affiliate</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When a control person wants to sell shares (over 90 day period):</w:t>
      </w:r>
    </w:p>
    <w:p>
      <w:pPr>
        <w:pStyle w:val="TextBody"/>
        <w:numPr>
          <w:ilvl w:val="0"/>
          <w:numId w:val="22"/>
        </w:numPr>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complete form 144</w:t>
      </w:r>
    </w:p>
    <w:p>
      <w:pPr>
        <w:pStyle w:val="TextBody"/>
        <w:numPr>
          <w:ilvl w:val="0"/>
          <w:numId w:val="22"/>
        </w:numPr>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Max(1% O/S shares of Co.,avg weekly trading vol. Over the most recent 4 weeks)</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Control stock would be registered shares held by an affiliate. There is no holding period, but there will always be volume limits for as long as the individual is an affiliate.</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20"/>
        </w:rPr>
      </w:pPr>
      <w:r>
        <w:rPr>
          <w:rFonts w:ascii="Liberation Sans" w:hAnsi="Liberation Sans"/>
          <w:b w:val="false"/>
          <w:bCs w:val="false"/>
          <w:i w:val="false"/>
          <w:iCs w:val="false"/>
          <w:sz w:val="20"/>
        </w:rPr>
        <w:t>Debt Securities</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Bond Maturities – Term, Serial, Balloon</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Bond Features</w:t>
      </w:r>
      <w:r>
        <w:rPr>
          <w:rFonts w:ascii="Liberation Sans" w:hAnsi="Liberation Sans"/>
          <w:b w:val="false"/>
          <w:bCs w:val="false"/>
          <w:i w:val="false"/>
          <w:iCs w:val="false"/>
          <w:sz w:val="16"/>
        </w:rPr>
        <w:t>:</w:t>
      </w:r>
    </w:p>
    <w:p>
      <w:pPr>
        <w:pStyle w:val="TextBody"/>
        <w:numPr>
          <w:ilvl w:val="0"/>
          <w:numId w:val="23"/>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 xml:space="preserve">Callable </w:t>
      </w:r>
      <w:r>
        <w:rPr>
          <w:rFonts w:ascii="Liberation Sans" w:hAnsi="Liberation Sans"/>
          <w:b w:val="false"/>
          <w:bCs w:val="false"/>
          <w:i w:val="false"/>
          <w:iCs w:val="false"/>
          <w:sz w:val="16"/>
        </w:rPr>
        <w:t>(Issuer pers.) - beneficial to issuer, bad for investor, tends to have slightly higher coupon rt. Allows issuer to lower the cost of borrowing</w:t>
      </w:r>
    </w:p>
    <w:p>
      <w:pPr>
        <w:pStyle w:val="TextBody"/>
        <w:numPr>
          <w:ilvl w:val="0"/>
          <w:numId w:val="23"/>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 xml:space="preserve">Puttable </w:t>
      </w:r>
      <w:r>
        <w:rPr>
          <w:rFonts w:ascii="Liberation Sans" w:hAnsi="Liberation Sans"/>
          <w:b w:val="false"/>
          <w:bCs w:val="false"/>
          <w:i w:val="false"/>
          <w:iCs w:val="false"/>
          <w:sz w:val="16"/>
        </w:rPr>
        <w:t>(Investor pers.) - put bonds back to issuer in anticipation of current IR rising, allows investor to reinvest at higher curr. rt.</w:t>
      </w:r>
    </w:p>
    <w:p>
      <w:pPr>
        <w:pStyle w:val="TextBody"/>
        <w:numPr>
          <w:ilvl w:val="0"/>
          <w:numId w:val="23"/>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 xml:space="preserve">Convertible </w:t>
      </w:r>
      <w:r>
        <w:rPr>
          <w:rFonts w:ascii="Liberation Sans" w:hAnsi="Liberation Sans"/>
          <w:b w:val="false"/>
          <w:bCs w:val="false"/>
          <w:i w:val="false"/>
          <w:iCs w:val="false"/>
          <w:sz w:val="16"/>
        </w:rPr>
        <w:t xml:space="preserve">– convert to equity, </w:t>
      </w:r>
      <w:r>
        <w:rPr>
          <w:rFonts w:ascii="Liberation Sans" w:hAnsi="Liberation Sans"/>
          <w:b w:val="false"/>
          <w:bCs w:val="false"/>
          <w:i w:val="false"/>
          <w:iCs w:val="false"/>
          <w:sz w:val="16"/>
        </w:rPr>
        <w:t>Although convertible debentures have many positive features for the investor, the major negative is that, in exchange for those benefits, the investor accepts a lower rate of interest.</w:t>
      </w:r>
    </w:p>
    <w:p>
      <w:pPr>
        <w:pStyle w:val="TextBody"/>
        <w:numPr>
          <w:ilvl w:val="0"/>
          <w:numId w:val="0"/>
        </w:numPr>
        <w:bidi w:val="0"/>
        <w:spacing w:lineRule="auto" w:line="240" w:before="0" w:after="0"/>
        <w:ind w:left="449" w:right="0" w:hanging="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before="0" w:after="0"/>
        <w:ind w:right="0" w:hanging="0"/>
        <w:jc w:val="left"/>
        <w:rPr>
          <w:rFonts w:ascii="Liberation Sans" w:hAnsi="Liberation Sans"/>
          <w:b/>
          <w:b/>
          <w:bCs/>
          <w:i w:val="false"/>
          <w:i w:val="false"/>
          <w:iCs w:val="false"/>
          <w:sz w:val="16"/>
        </w:rPr>
      </w:pPr>
      <w:r>
        <w:rPr>
          <w:rFonts w:ascii="Liberation Sans" w:hAnsi="Liberation Sans"/>
          <w:b/>
          <w:bCs/>
          <w:i w:val="false"/>
          <w:iCs w:val="false"/>
          <w:sz w:val="16"/>
        </w:rPr>
        <w:t>Money Market Securities</w:t>
      </w:r>
    </w:p>
    <w:p>
      <w:pPr>
        <w:pStyle w:val="TextBody"/>
        <w:numPr>
          <w:ilvl w:val="0"/>
          <w:numId w:val="24"/>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T-Bills</w:t>
      </w:r>
    </w:p>
    <w:p>
      <w:pPr>
        <w:pStyle w:val="TextBody"/>
        <w:numPr>
          <w:ilvl w:val="0"/>
          <w:numId w:val="24"/>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REPO</w:t>
      </w:r>
    </w:p>
    <w:p>
      <w:pPr>
        <w:pStyle w:val="TextBody"/>
        <w:numPr>
          <w:ilvl w:val="0"/>
          <w:numId w:val="24"/>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BA</w:t>
      </w:r>
    </w:p>
    <w:p>
      <w:pPr>
        <w:pStyle w:val="TextBody"/>
        <w:numPr>
          <w:ilvl w:val="0"/>
          <w:numId w:val="24"/>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Commercial Paper/Promissory Note</w:t>
      </w:r>
    </w:p>
    <w:p>
      <w:pPr>
        <w:pStyle w:val="TextBody"/>
        <w:numPr>
          <w:ilvl w:val="0"/>
          <w:numId w:val="24"/>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A </w:t>
      </w:r>
      <w:r>
        <w:rPr>
          <w:rFonts w:ascii="Liberation Sans" w:hAnsi="Liberation Sans"/>
          <w:b/>
          <w:bCs/>
          <w:i/>
          <w:iCs/>
          <w:sz w:val="16"/>
        </w:rPr>
        <w:t xml:space="preserve">negotiable CD </w:t>
      </w:r>
      <w:r>
        <w:rPr>
          <w:rFonts w:ascii="Liberation Sans" w:hAnsi="Liberation Sans"/>
          <w:b w:val="false"/>
          <w:bCs w:val="false"/>
          <w:i w:val="false"/>
          <w:iCs w:val="false"/>
          <w:sz w:val="16"/>
        </w:rPr>
        <w:t xml:space="preserve">is an </w:t>
      </w:r>
      <w:r>
        <w:rPr>
          <w:rFonts w:ascii="Liberation Sans" w:hAnsi="Liberation Sans"/>
          <w:b w:val="false"/>
          <w:bCs w:val="false"/>
          <w:i/>
          <w:iCs/>
          <w:sz w:val="16"/>
        </w:rPr>
        <w:t>unsecured</w:t>
      </w:r>
      <w:r>
        <w:rPr>
          <w:rFonts w:ascii="Liberation Sans" w:hAnsi="Liberation Sans"/>
          <w:b w:val="false"/>
          <w:bCs w:val="false"/>
          <w:i w:val="false"/>
          <w:iCs w:val="false"/>
          <w:sz w:val="16"/>
        </w:rPr>
        <w:t xml:space="preserve"> money market instrument issued by banks. Negotiable means that it can be traded in the secondary market and unsecured means that it is backed only by a promise to pay—a bank's good faith and credit.</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b/>
          <w:bCs/>
          <w:i w:val="false"/>
          <w:i w:val="false"/>
          <w:iCs w:val="false"/>
          <w:sz w:val="16"/>
        </w:rPr>
      </w:pPr>
      <w:r>
        <w:rPr>
          <w:rFonts w:ascii="Liberation Sans" w:hAnsi="Liberation Sans"/>
          <w:b/>
          <w:bCs/>
          <w:i w:val="false"/>
          <w:iCs w:val="false"/>
          <w:sz w:val="16"/>
        </w:rPr>
        <w:t>Munis</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numPr>
          <w:ilvl w:val="0"/>
          <w:numId w:val="25"/>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Interest from a GNMA certificate is taxed at all levels. </w:t>
      </w:r>
    </w:p>
    <w:p>
      <w:pPr>
        <w:pStyle w:val="TextBody"/>
        <w:numPr>
          <w:ilvl w:val="0"/>
          <w:numId w:val="25"/>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Municipal bonds are tax free at the federal level. </w:t>
      </w:r>
    </w:p>
    <w:p>
      <w:pPr>
        <w:pStyle w:val="TextBody"/>
        <w:numPr>
          <w:ilvl w:val="0"/>
          <w:numId w:val="25"/>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Treasury issues are tax free at the state level, </w:t>
      </w:r>
      <w:r>
        <w:rPr>
          <w:rFonts w:ascii="Liberation Sans" w:hAnsi="Liberation Sans"/>
          <w:b w:val="false"/>
          <w:bCs w:val="false"/>
          <w:i w:val="false"/>
          <w:iCs w:val="false"/>
          <w:sz w:val="16"/>
        </w:rPr>
        <w:t>taxed at federal level</w:t>
      </w:r>
    </w:p>
    <w:p>
      <w:pPr>
        <w:pStyle w:val="TextBody"/>
        <w:numPr>
          <w:ilvl w:val="0"/>
          <w:numId w:val="25"/>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Issues from a territory of the United States (like Puerto Rico) produce interest that is tax free at the federal, state, and local level.</w:t>
      </w:r>
    </w:p>
    <w:p>
      <w:pPr>
        <w:pStyle w:val="TextBody"/>
        <w:numPr>
          <w:ilvl w:val="0"/>
          <w:numId w:val="25"/>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Municipal bond interest is tax free at the federal level and tax free at the state level if the bondholder is a resident of the same state as the issuer.</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b/>
          <w:bCs/>
          <w:i w:val="false"/>
          <w:i w:val="false"/>
          <w:iCs w:val="false"/>
          <w:sz w:val="16"/>
        </w:rPr>
      </w:pPr>
      <w:r>
        <w:rPr>
          <w:rFonts w:ascii="Liberation Sans" w:hAnsi="Liberation Sans"/>
          <w:b/>
          <w:bCs/>
          <w:i w:val="false"/>
          <w:iCs w:val="false"/>
          <w:sz w:val="16"/>
        </w:rPr>
        <w:t>Investment Company Products (**):</w:t>
      </w:r>
    </w:p>
    <w:p>
      <w:pPr>
        <w:pStyle w:val="TextBody"/>
        <w:numPr>
          <w:ilvl w:val="0"/>
          <w:numId w:val="26"/>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 xml:space="preserve">Closed-end </w:t>
      </w:r>
      <w:r>
        <w:rPr>
          <w:rFonts w:ascii="Liberation Sans" w:hAnsi="Liberation Sans"/>
          <w:b w:val="false"/>
          <w:bCs w:val="false"/>
          <w:i w:val="false"/>
          <w:iCs w:val="false"/>
          <w:sz w:val="16"/>
        </w:rPr>
        <w:t>investment companies are often called publicly traded funds. After the stock is sold in the initial offering, anyone can buy or sell shares in the secondary market (i.e., on an exchange or over the counter) in transactions between private investors.</w:t>
      </w:r>
    </w:p>
    <w:p>
      <w:pPr>
        <w:pStyle w:val="TextBody"/>
        <w:numPr>
          <w:ilvl w:val="0"/>
          <w:numId w:val="26"/>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bCs/>
          <w:i w:val="false"/>
          <w:iCs w:val="false"/>
          <w:sz w:val="16"/>
        </w:rPr>
        <w:t>A bond mutual fund</w:t>
      </w:r>
      <w:r>
        <w:rPr>
          <w:rFonts w:ascii="Liberation Sans" w:hAnsi="Liberation Sans"/>
          <w:b w:val="false"/>
          <w:bCs w:val="false"/>
          <w:i w:val="false"/>
          <w:iCs w:val="false"/>
          <w:sz w:val="16"/>
        </w:rPr>
        <w:t xml:space="preserve"> invests in the bonds of other companies. It may not itself issue bonds or preferred stock. They can only issue common shares. Closed-end companies are much like any other company. They may issue bonds and preferred stock, once they have sold common stock and become a publicly traded company.</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Sales loads go to the underwriters or broker-dealers selling the shares for the fund. Therefore, they are subtracted from the dollars invested and in that light reduce possible returns for investors. </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Management fees and operating expenses are ongoing costs to the fund and, therefore, reduce the dollars that can be invested, again reducing potential returns.</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Class C shares have no sales charge levied at the time of purchase but rather levy a withdrawal from the customer's account every quarter. </w:t>
      </w:r>
      <w:r>
        <w:rPr>
          <w:rFonts w:ascii="Liberation Sans" w:hAnsi="Liberation Sans"/>
          <w:b w:val="false"/>
          <w:bCs w:val="false"/>
          <w:i w:val="false"/>
          <w:iCs w:val="false"/>
          <w:sz w:val="16"/>
        </w:rPr>
        <w:t>T</w:t>
      </w:r>
      <w:r>
        <w:rPr>
          <w:rFonts w:ascii="Liberation Sans" w:hAnsi="Liberation Sans"/>
          <w:b w:val="false"/>
          <w:bCs w:val="false"/>
          <w:i w:val="false"/>
          <w:iCs w:val="false"/>
          <w:sz w:val="16"/>
        </w:rPr>
        <w:t xml:space="preserve">hey would be most suitable for an investor intending to redeem the shares relatively soon. </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Mutual funds are not intended for the speculative investor, those who might trade in and out frequently, and no particular share class is especially suited to the inexperienced investor.</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A closed-end fund does not offer redemptions. Shares must be liquidated in the secondary markets. Rights of accumulation, like breakpoints, allow an investor to qualify for reduced sales charges. The major differences are that:</w:t>
      </w:r>
    </w:p>
    <w:p>
      <w:pPr>
        <w:pStyle w:val="TextBody"/>
        <w:numPr>
          <w:ilvl w:val="0"/>
          <w:numId w:val="11"/>
        </w:numPr>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rights of accumulation are available for subsequent investments (the reduced sales charges will not apply to initial transactions), </w:t>
      </w:r>
    </w:p>
    <w:p>
      <w:pPr>
        <w:pStyle w:val="TextBody"/>
        <w:numPr>
          <w:ilvl w:val="0"/>
          <w:numId w:val="11"/>
        </w:numPr>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allow the investor to use prior share appreciation to qualify for breakpoints, </w:t>
      </w:r>
    </w:p>
    <w:p>
      <w:pPr>
        <w:pStyle w:val="TextBody"/>
        <w:numPr>
          <w:ilvl w:val="0"/>
          <w:numId w:val="11"/>
        </w:numPr>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and do not impose time limits. </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Rights of accumulation allow an investor to combine previous investments in the fund with today's investment to determine today's sales charge.</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When investors deposit money into the fund they buy more shares, so the assets and number of shares increase proportionately and the NAV per share is unchanged. </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In a similar way, when shareholders redeem shares the assets in the fund go down but the number of shares also decrease proportionally, so the NAV per share is unchanged.</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The basic formula is NAV + SC = POP. SC is expressed as a percentage of POP</w:t>
      </w:r>
    </w:p>
    <w:p>
      <w:pPr>
        <w:pStyle w:val="TextBody"/>
        <w:bidi w:val="0"/>
        <w:spacing w:lineRule="auto" w:line="240"/>
        <w:jc w:val="left"/>
        <w:rPr>
          <w:rFonts w:ascii="Liberation Sans" w:hAnsi="Liberation Sans"/>
          <w:b w:val="false"/>
          <w:b w:val="false"/>
          <w:bCs w:val="false"/>
          <w:i w:val="false"/>
          <w:i w:val="false"/>
          <w:iCs w:val="false"/>
          <w:sz w:val="16"/>
        </w:rPr>
      </w:pPr>
      <w:r>
        <w:rPr/>
      </w:r>
    </w:p>
    <w:p>
      <w:pPr>
        <w:pStyle w:val="TextBody"/>
        <w:bidi w:val="0"/>
        <w:spacing w:lineRule="auto" w:line="240"/>
        <w:jc w:val="left"/>
        <w:rPr>
          <w:b/>
          <w:b/>
          <w:bCs/>
        </w:rPr>
      </w:pPr>
      <w:r>
        <w:rPr>
          <w:rFonts w:ascii="Liberation Sans" w:hAnsi="Liberation Sans"/>
          <w:b/>
          <w:bCs/>
          <w:i w:val="false"/>
          <w:iCs w:val="false"/>
          <w:sz w:val="16"/>
        </w:rPr>
        <w:t>G</w:t>
      </w:r>
      <w:r>
        <w:rPr>
          <w:rFonts w:ascii="Liberation Sans" w:hAnsi="Liberation Sans"/>
          <w:b/>
          <w:bCs/>
          <w:i w:val="false"/>
          <w:iCs w:val="false"/>
          <w:sz w:val="16"/>
        </w:rPr>
        <w:t>eneral Partner/Limited Partner (**)</w:t>
      </w:r>
    </w:p>
    <w:p>
      <w:pPr>
        <w:pStyle w:val="TextBody"/>
        <w:bidi w:val="0"/>
        <w:spacing w:lineRule="auto" w:line="240"/>
        <w:jc w:val="left"/>
        <w:rPr/>
      </w:pPr>
      <w:r>
        <w:rPr>
          <w:rFonts w:ascii="Liberation Sans" w:hAnsi="Liberation Sans"/>
          <w:b w:val="false"/>
          <w:bCs w:val="false"/>
          <w:i w:val="false"/>
          <w:iCs w:val="false"/>
          <w:sz w:val="16"/>
        </w:rPr>
        <w:t>All tax consequences of the business flow through proportionality to the investors. All partners will have some tax impact, not just the general or just the limited partners.</w:t>
      </w:r>
    </w:p>
    <w:p>
      <w:pPr>
        <w:pStyle w:val="TextBody"/>
        <w:bidi w:val="0"/>
        <w:spacing w:lineRule="auto" w:line="240"/>
        <w:jc w:val="left"/>
        <w:rPr>
          <w:rFonts w:ascii="Liberation Sans" w:hAnsi="Liberation Sans" w:eastAsia="Noto Sans CJK SC" w:cs="Lohit Devanagari"/>
          <w:b/>
          <w:b/>
          <w:bCs/>
          <w:sz w:val="28"/>
          <w:szCs w:val="28"/>
        </w:rPr>
      </w:pPr>
      <w:r>
        <w:rPr>
          <w:rFonts w:eastAsia="Noto Sans CJK SC" w:cs="Lohit Devanagari" w:ascii="Liberation Sans" w:hAnsi="Liberation Sans"/>
          <w:b/>
          <w:bCs/>
          <w:sz w:val="28"/>
          <w:szCs w:val="28"/>
        </w:rPr>
        <w:t>Understanding Trading, Customer Accounts, &amp; Prohibited Activities</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When a customer owns a position and then sells that position, that is referred to as selling long or selling to close.</w:t>
      </w:r>
    </w:p>
    <w:tbl>
      <w:tblPr>
        <w:tblW w:w="3513" w:type="dxa"/>
        <w:jc w:val="left"/>
        <w:tblInd w:w="-120" w:type="dxa"/>
        <w:tblLayout w:type="fixed"/>
        <w:tblCellMar>
          <w:top w:w="0" w:type="dxa"/>
          <w:left w:w="30" w:type="dxa"/>
          <w:bottom w:w="0" w:type="dxa"/>
          <w:right w:w="30" w:type="dxa"/>
        </w:tblCellMar>
      </w:tblPr>
      <w:tblGrid>
        <w:gridCol w:w="1260"/>
        <w:gridCol w:w="1080"/>
        <w:gridCol w:w="1173"/>
      </w:tblGrid>
      <w:tr>
        <w:trPr>
          <w:trHeight w:val="256" w:hRule="atLeast"/>
        </w:trPr>
        <w:tc>
          <w:tcPr>
            <w:tcW w:w="1260" w:type="dxa"/>
            <w:tcBorders/>
            <w:vAlign w:val="center"/>
          </w:tcPr>
          <w:p>
            <w:pPr>
              <w:pStyle w:val="Normal"/>
              <w:tabs>
                <w:tab w:val="clear" w:pos="709"/>
              </w:tabs>
              <w:bidi w:val="0"/>
              <w:jc w:val="left"/>
              <w:rPr>
                <w:rFonts w:ascii="Liberation Sans" w:hAnsi="Liberation Sans"/>
                <w:b/>
                <w:b/>
                <w:bCs/>
                <w:i w:val="false"/>
                <w:i w:val="false"/>
                <w:iCs w:val="false"/>
                <w:sz w:val="16"/>
              </w:rPr>
            </w:pPr>
            <w:r>
              <w:rPr>
                <w:rFonts w:ascii="Liberation Sans" w:hAnsi="Liberation Sans"/>
                <w:b/>
                <w:bCs/>
                <w:i w:val="false"/>
                <w:iCs w:val="false"/>
                <w:sz w:val="16"/>
              </w:rPr>
              <w:t>Type of Settlement</w:t>
            </w:r>
          </w:p>
        </w:tc>
        <w:tc>
          <w:tcPr>
            <w:tcW w:w="1080" w:type="dxa"/>
            <w:tcBorders/>
            <w:vAlign w:val="center"/>
          </w:tcPr>
          <w:p>
            <w:pPr>
              <w:pStyle w:val="Normal"/>
              <w:tabs>
                <w:tab w:val="clear" w:pos="709"/>
              </w:tabs>
              <w:bidi w:val="0"/>
              <w:jc w:val="left"/>
              <w:rPr>
                <w:rFonts w:ascii="Liberation Sans" w:hAnsi="Liberation Sans"/>
                <w:b/>
                <w:b/>
                <w:bCs/>
                <w:i w:val="false"/>
                <w:i w:val="false"/>
                <w:iCs w:val="false"/>
                <w:sz w:val="16"/>
              </w:rPr>
            </w:pPr>
            <w:r>
              <w:rPr>
                <w:rFonts w:ascii="Liberation Sans" w:hAnsi="Liberation Sans"/>
                <w:b/>
                <w:bCs/>
                <w:i w:val="false"/>
                <w:iCs w:val="false"/>
                <w:sz w:val="16"/>
              </w:rPr>
              <w:t>Type of Security</w:t>
            </w:r>
          </w:p>
        </w:tc>
        <w:tc>
          <w:tcPr>
            <w:tcW w:w="1173" w:type="dxa"/>
            <w:tcBorders/>
            <w:vAlign w:val="bottom"/>
          </w:tcPr>
          <w:p>
            <w:pPr>
              <w:pStyle w:val="Normal"/>
              <w:tabs>
                <w:tab w:val="clear" w:pos="709"/>
              </w:tabs>
              <w:bidi w:val="0"/>
              <w:jc w:val="left"/>
              <w:rPr>
                <w:rFonts w:ascii="Liberation Sans" w:hAnsi="Liberation Sans"/>
                <w:b/>
                <w:b/>
                <w:bCs/>
                <w:i w:val="false"/>
                <w:i w:val="false"/>
                <w:iCs w:val="false"/>
                <w:sz w:val="16"/>
              </w:rPr>
            </w:pPr>
            <w:r>
              <w:rPr>
                <w:rFonts w:ascii="Liberation Sans" w:hAnsi="Liberation Sans"/>
                <w:b/>
                <w:bCs/>
                <w:i w:val="false"/>
                <w:iCs w:val="false"/>
                <w:sz w:val="16"/>
              </w:rPr>
              <w:t>Settlement</w:t>
            </w:r>
          </w:p>
        </w:tc>
      </w:tr>
      <w:tr>
        <w:trPr>
          <w:trHeight w:val="256" w:hRule="atLeast"/>
        </w:trPr>
        <w:tc>
          <w:tcPr>
            <w:tcW w:w="1260" w:type="dxa"/>
            <w:tcBorders/>
            <w:vAlign w:val="center"/>
          </w:tcPr>
          <w:p>
            <w:pPr>
              <w:pStyle w:val="Normal"/>
              <w:tabs>
                <w:tab w:val="clear" w:pos="709"/>
              </w:tabs>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Regular Way</w:t>
            </w:r>
          </w:p>
        </w:tc>
        <w:tc>
          <w:tcPr>
            <w:tcW w:w="1080" w:type="dxa"/>
            <w:tcBorders/>
            <w:vAlign w:val="center"/>
          </w:tcPr>
          <w:p>
            <w:pPr>
              <w:pStyle w:val="Normal"/>
              <w:tabs>
                <w:tab w:val="clear" w:pos="709"/>
              </w:tabs>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Corporate</w:t>
            </w:r>
          </w:p>
        </w:tc>
        <w:tc>
          <w:tcPr>
            <w:tcW w:w="1173" w:type="dxa"/>
            <w:tcBorders/>
            <w:vAlign w:val="bottom"/>
          </w:tcPr>
          <w:p>
            <w:pPr>
              <w:pStyle w:val="Normal"/>
              <w:tabs>
                <w:tab w:val="clear" w:pos="709"/>
              </w:tabs>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T+2</w:t>
            </w:r>
          </w:p>
        </w:tc>
      </w:tr>
      <w:tr>
        <w:trPr>
          <w:trHeight w:val="256" w:hRule="atLeast"/>
        </w:trPr>
        <w:tc>
          <w:tcPr>
            <w:tcW w:w="1260" w:type="dxa"/>
            <w:tcBorders/>
            <w:vAlign w:val="center"/>
          </w:tcPr>
          <w:p>
            <w:pPr>
              <w:pStyle w:val="Normal"/>
              <w:tabs>
                <w:tab w:val="clear" w:pos="709"/>
              </w:tabs>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Regular Way</w:t>
            </w:r>
          </w:p>
        </w:tc>
        <w:tc>
          <w:tcPr>
            <w:tcW w:w="1080" w:type="dxa"/>
            <w:tcBorders/>
            <w:vAlign w:val="center"/>
          </w:tcPr>
          <w:p>
            <w:pPr>
              <w:pStyle w:val="Normal"/>
              <w:tabs>
                <w:tab w:val="clear" w:pos="709"/>
              </w:tabs>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Municipal</w:t>
            </w:r>
          </w:p>
        </w:tc>
        <w:tc>
          <w:tcPr>
            <w:tcW w:w="1173" w:type="dxa"/>
            <w:tcBorders/>
            <w:vAlign w:val="bottom"/>
          </w:tcPr>
          <w:p>
            <w:pPr>
              <w:pStyle w:val="Normal"/>
              <w:tabs>
                <w:tab w:val="clear" w:pos="709"/>
              </w:tabs>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T+2</w:t>
            </w:r>
          </w:p>
        </w:tc>
      </w:tr>
      <w:tr>
        <w:trPr>
          <w:trHeight w:val="256" w:hRule="atLeast"/>
        </w:trPr>
        <w:tc>
          <w:tcPr>
            <w:tcW w:w="1260" w:type="dxa"/>
            <w:tcBorders/>
            <w:vAlign w:val="center"/>
          </w:tcPr>
          <w:p>
            <w:pPr>
              <w:pStyle w:val="Normal"/>
              <w:tabs>
                <w:tab w:val="clear" w:pos="709"/>
              </w:tabs>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Regular Way</w:t>
            </w:r>
          </w:p>
        </w:tc>
        <w:tc>
          <w:tcPr>
            <w:tcW w:w="1080" w:type="dxa"/>
            <w:tcBorders/>
            <w:vAlign w:val="center"/>
          </w:tcPr>
          <w:p>
            <w:pPr>
              <w:pStyle w:val="Normal"/>
              <w:tabs>
                <w:tab w:val="clear" w:pos="709"/>
              </w:tabs>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Gov’t</w:t>
            </w:r>
          </w:p>
        </w:tc>
        <w:tc>
          <w:tcPr>
            <w:tcW w:w="1173" w:type="dxa"/>
            <w:tcBorders/>
            <w:vAlign w:val="bottom"/>
          </w:tcPr>
          <w:p>
            <w:pPr>
              <w:pStyle w:val="Normal"/>
              <w:tabs>
                <w:tab w:val="clear" w:pos="709"/>
              </w:tabs>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T+1</w:t>
            </w:r>
          </w:p>
        </w:tc>
      </w:tr>
      <w:tr>
        <w:trPr>
          <w:trHeight w:val="256" w:hRule="atLeast"/>
        </w:trPr>
        <w:tc>
          <w:tcPr>
            <w:tcW w:w="1260" w:type="dxa"/>
            <w:tcBorders/>
            <w:vAlign w:val="center"/>
          </w:tcPr>
          <w:p>
            <w:pPr>
              <w:pStyle w:val="Normal"/>
              <w:tabs>
                <w:tab w:val="clear" w:pos="709"/>
              </w:tabs>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Cash</w:t>
            </w:r>
          </w:p>
        </w:tc>
        <w:tc>
          <w:tcPr>
            <w:tcW w:w="1080" w:type="dxa"/>
            <w:tcBorders/>
            <w:vAlign w:val="center"/>
          </w:tcPr>
          <w:p>
            <w:pPr>
              <w:pStyle w:val="Normal"/>
              <w:tabs>
                <w:tab w:val="clear" w:pos="709"/>
              </w:tabs>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(All)</w:t>
            </w:r>
          </w:p>
        </w:tc>
        <w:tc>
          <w:tcPr>
            <w:tcW w:w="1173" w:type="dxa"/>
            <w:tcBorders/>
            <w:vAlign w:val="bottom"/>
          </w:tcPr>
          <w:p>
            <w:pPr>
              <w:pStyle w:val="Normal"/>
              <w:tabs>
                <w:tab w:val="clear" w:pos="709"/>
              </w:tabs>
              <w:bidi w:val="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T+0 (Same Day)</w:t>
            </w:r>
          </w:p>
        </w:tc>
      </w:tr>
    </w:tbl>
    <w:p>
      <w:pPr>
        <w:pStyle w:val="Normal"/>
        <w:bidi w:val="0"/>
        <w:jc w:val="left"/>
        <w:rPr/>
      </w:pPr>
      <w:r>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Any entity wishing to solicit proxies to vote a stockholder's shares must register with the SEC.</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All those participating in the solicitation of proxies, whether directly to obtain proxies themselves, or to provide unsolicited advice to shareholders regarding how to vote must register with the SEC.</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In an UTMA account, only one adult can be the custodian for one minor. Joint custodians or joint beneficiaries to a single account are not permitted.</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In a defined benefit plan, the employee is promised a certain amount at retirement and the employer has to put in enough money to meet that promise. Changing rates of return can require changing deposits to meet the promised amounts at retirement.</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Qualified plans require IRS approval and the contributions are tax deductible. Because non-qualified plans' contributions are not deductible they do not require IRS approval.</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A customer may grant trading authority to an RR to place trades in their account without pre-authorization from the customer. Exercising discretion requires specific authorization to place such trades. Discretionary authority is a type of POA granted by the customer to the RR. These trades must be marked as discretionary; failure to</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do so is a serious violation.</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All trades have three key elements </w:t>
      </w:r>
      <w:r>
        <w:rPr>
          <w:rFonts w:ascii="Liberation Sans" w:hAnsi="Liberation Sans"/>
          <w:b w:val="false"/>
          <w:bCs w:val="false"/>
          <w:i w:val="false"/>
          <w:iCs w:val="false"/>
          <w:sz w:val="16"/>
        </w:rPr>
        <w:t>(RR just chooses &gt;=1 of the below)</w:t>
      </w:r>
      <w:r>
        <w:rPr>
          <w:rFonts w:ascii="Liberation Sans" w:hAnsi="Liberation Sans"/>
          <w:b w:val="false"/>
          <w:bCs w:val="false"/>
          <w:i w:val="false"/>
          <w:iCs w:val="false"/>
          <w:sz w:val="16"/>
        </w:rPr>
        <w:t>:</w:t>
      </w:r>
    </w:p>
    <w:p>
      <w:pPr>
        <w:pStyle w:val="TextBody"/>
        <w:numPr>
          <w:ilvl w:val="0"/>
          <w:numId w:val="27"/>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An action (buy or sell)</w:t>
      </w:r>
    </w:p>
    <w:p>
      <w:pPr>
        <w:pStyle w:val="TextBody"/>
        <w:numPr>
          <w:ilvl w:val="0"/>
          <w:numId w:val="27"/>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The amount of the trade (shares or dollars)</w:t>
      </w:r>
    </w:p>
    <w:p>
      <w:pPr>
        <w:pStyle w:val="TextBody"/>
        <w:numPr>
          <w:ilvl w:val="0"/>
          <w:numId w:val="27"/>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The specific asset to be traded (what you are buying or selling)</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It is important to note that discretionary trading is allowed as long as proper authorizations have been received. In order for a discretionary trade to be properly entered:</w:t>
      </w:r>
    </w:p>
    <w:p>
      <w:pPr>
        <w:pStyle w:val="TextBody"/>
        <w:numPr>
          <w:ilvl w:val="0"/>
          <w:numId w:val="28"/>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the client must agree, in writing, to grant a representative discretionary trading authority</w:t>
      </w:r>
    </w:p>
    <w:p>
      <w:pPr>
        <w:pStyle w:val="TextBody"/>
        <w:numPr>
          <w:ilvl w:val="0"/>
          <w:numId w:val="28"/>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a principal of the firm must, in writing, approve the discretionary trading authority.</w:t>
      </w:r>
    </w:p>
    <w:p>
      <w:pPr>
        <w:pStyle w:val="TextBody"/>
        <w:numPr>
          <w:ilvl w:val="0"/>
          <w:numId w:val="28"/>
        </w:numPr>
        <w:bidi w:val="0"/>
        <w:spacing w:lineRule="auto" w:line="240" w:before="0" w:after="0"/>
        <w:ind w:left="449" w:right="0" w:hanging="36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Discretionary trades must be approved by a principal promptly after entry.</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Regulation T, the initial margin requirement currently at 50%, is set by the Federal Reserve Board (FRB).</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Option contracts—calls and puts—are among those securities products that cannot serve as collateral for a margin loan and, therefore, may not be purchased on margin. In the case of options, their unpredictable intrinsic value, diminishing time value, and limited life make them inappropriate for securing any kind of loan.</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For the risk disclosures found in the margin agreement, all of the following would be accurate disclosures:</w:t>
      </w:r>
    </w:p>
    <w:p>
      <w:pPr>
        <w:pStyle w:val="TextBody"/>
        <w:numPr>
          <w:ilvl w:val="0"/>
          <w:numId w:val="12"/>
        </w:numPr>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customers can lose more money than initially deposited.</w:t>
      </w:r>
    </w:p>
    <w:p>
      <w:pPr>
        <w:pStyle w:val="TextBody"/>
        <w:numPr>
          <w:ilvl w:val="0"/>
          <w:numId w:val="12"/>
        </w:numPr>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customers are not entitled to an extension of time to meet a margin call.</w:t>
      </w:r>
    </w:p>
    <w:p>
      <w:pPr>
        <w:pStyle w:val="TextBody"/>
        <w:numPr>
          <w:ilvl w:val="0"/>
          <w:numId w:val="12"/>
        </w:numPr>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firms can increase their in-house margin requirements without advance notice.</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Note: If a maintenance call is not met it is the broker-dealer who determines which securities to sell, not the customer.</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The Conduct Rules permit several types of lending arrangements. Among them; </w:t>
      </w:r>
    </w:p>
    <w:p>
      <w:pPr>
        <w:pStyle w:val="TextBody"/>
        <w:numPr>
          <w:ilvl w:val="0"/>
          <w:numId w:val="13"/>
        </w:numPr>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an immediate family relationship exists between the representative and the customer, </w:t>
      </w:r>
    </w:p>
    <w:p>
      <w:pPr>
        <w:pStyle w:val="TextBody"/>
        <w:numPr>
          <w:ilvl w:val="0"/>
          <w:numId w:val="13"/>
        </w:numPr>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the customer is in the business of lending money, the customer and the representatives are both registered persons with the same firm, </w:t>
      </w:r>
    </w:p>
    <w:p>
      <w:pPr>
        <w:pStyle w:val="TextBody"/>
        <w:numPr>
          <w:ilvl w:val="0"/>
          <w:numId w:val="13"/>
        </w:numPr>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the customer and the representative have a personal relationship or a business relationship outside the broker-customer relationship. </w:t>
      </w:r>
    </w:p>
    <w:p>
      <w:pPr>
        <w:pStyle w:val="TextBody"/>
        <w:numPr>
          <w:ilvl w:val="0"/>
          <w:numId w:val="13"/>
        </w:numPr>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Lending securities for use in short sales can only be done with a signed consent agreement from the customer.</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Regulation T governs customer payment and the extension of credit to clients in margin accounts. An exchange-traded fund (ETF) is a security that is eligible for purchase on credit. IPOs and other new issues—such as mutual fund purchases—may only receive loan value (and credit) after 30 days from issuance. Annuities may not be purchased with margined funds.</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 xml:space="preserve">Under Rule 2210, institutional communication may allow the firm to require pre-use approval or allow for postuse review. </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t>If the firm allows post-use review, then the associates must receive education and training on communications with institutions.</w:t>
      </w:r>
    </w:p>
    <w:p>
      <w:pPr>
        <w:pStyle w:val="Heading3"/>
        <w:bidi w:val="0"/>
        <w:jc w:val="left"/>
        <w:rPr/>
      </w:pPr>
      <w:r>
        <w:rPr/>
        <w:t xml:space="preserve">Overview of Regulatory Framework </w:t>
      </w:r>
      <w:r>
        <w:rPr/>
        <w:t>(**)</w:t>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p>
      <w:pPr>
        <w:pStyle w:val="TextBody"/>
        <w:bidi w:val="0"/>
        <w:spacing w:lineRule="auto" w:line="240"/>
        <w:jc w:val="left"/>
        <w:rPr>
          <w:rFonts w:ascii="Liberation Sans" w:hAnsi="Liberation Sans"/>
          <w:b w:val="false"/>
          <w:b w:val="false"/>
          <w:bCs w:val="false"/>
          <w:i w:val="false"/>
          <w:i w:val="false"/>
          <w:iCs w:val="false"/>
          <w:sz w:val="16"/>
        </w:rPr>
      </w:pPr>
      <w:r>
        <w:rPr>
          <w:rFonts w:ascii="Liberation Sans" w:hAnsi="Liberation Sans"/>
          <w:b w:val="false"/>
          <w:bCs w:val="false"/>
          <w:i w:val="false"/>
          <w:iCs w:val="false"/>
          <w:sz w:val="16"/>
        </w:rPr>
      </w:r>
    </w:p>
    <w:sectPr>
      <w:type w:val="nextPage"/>
      <w:pgSz w:w="12240" w:h="15840"/>
      <w:pgMar w:left="720" w:right="720" w:gutter="0" w:header="0" w:top="720" w:footer="0" w:bottom="720"/>
      <w:pgNumType w:fmt="decimal"/>
      <w:cols w:num="3" w:space="0" w:equalWidth="true" w:sep="true"/>
      <w:formProt w:val="false"/>
      <w:textDirection w:val="lrTb"/>
      <w:rtlGutter/>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LineNumbering">
    <w:name w:val="Line Numbering"/>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2881</TotalTime>
  <Application>LibreOffice/7.3.7.2$Linux_X86_64 LibreOffice_project/30$Build-2</Application>
  <AppVersion>15.0000</AppVersion>
  <Pages>3</Pages>
  <Words>3031</Words>
  <Characters>16006</Characters>
  <CharactersWithSpaces>18677</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2023-07-22T20:27:42Z</dcterms:created>
  <dc:creator/>
  <dc:description/>
  <dc:language>en-US</dc:language>
  <cp:lastModifiedBy/>
  <cp:lastPrinted>2023-07-23T21:20:42Z</cp:lastPrinted>
  <dcterms:modified xsi:type="dcterms:W3CDTF">2023-07-25T19:11:51Z</dcterms:modified>
  <cp:revision>11</cp:revision>
  <dc:subject/>
  <dc:title/>
</cp:coreProperties>
</file>