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80"/>
          <w:szCs w:val="80"/>
        </w:rPr>
        <w:t xml:space="preserve">◉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RadAssist PRO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Ассистент врача-рентгенолога</w:t>
      </w:r>
    </w:p>
    <w:p>
      <w:pPr>
        <w:pBdr>
          <w:top w:val="single" w:color="2E75B6" w:sz="2" w:space="8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2E75B6"/>
          <w:spacing w:val="200"/>
          <w:sz w:val="24"/>
          <w:szCs w:val="24"/>
        </w:rPr>
        <w:t xml:space="preserve">СПЕЦИФИКАЦИЯ ПРОДУКТА</w:t>
      </w:r>
    </w:p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1.0  •  Март 2026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Механика • Фронтенд • Бэкенд • Дизайн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Общее описание продукта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Позиционирование, целевая аудитория и ценностное предложение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RadAssist PRO — мобильное и веб-приложение, разработанное специально для врачей-рентгенологов. Оно объединяет клинические калькуляторы международных шкал, трекер динамики образований и генератор структурированных заключений в единый рабочий инструмент, который интегрируется в повседневную клиническую практику.</w:t>
      </w:r>
    </w:p>
    <w:p>
      <w:pPr>
        <w:pStyle w:val="Heading2"/>
      </w:pPr>
      <w:r>
        <w:t xml:space="preserve">1.1.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Потребность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Рентгенологи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Штатные врачи-рентгенологи поликлиник и стационаров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Быстрый доступ к шкалам без поиска в справочниках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Ординаторы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Врачи-ординаторы лучевой диагностики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Обучение стандартизированным шкалам и протоколам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Заведующие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Руководители отделений лучевой диагностики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Контроль качества заключений, единообразие протоколов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Частные центры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Частные диагностические клиники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Стандартизация и скорость описаний для увеличения пропускной способности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1.2. Ключевое ценностное предложение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Приложение решает три критические проблемы рентгенолога: необходимость запоминать и вычислять баллы по множеству шкал (TI-RADS, BI-RADS, Lung-RADS, Fleischner и др.); отсутствие удобного инструмента для отслеживания динамики образований между исследованиями; трата времени на составление заключений по шаблону вместо аналитической работы.</w:t>
      </w:r>
    </w:p>
    <w:p>
      <w:pPr>
        <w:pStyle w:val="Heading1"/>
      </w:pPr>
      <w:r>
        <w:t xml:space="preserve">2. Механика приложения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Основные модули, пользовательские сценарии и логика работы</w:t>
      </w:r>
    </w:p>
    <w:p>
      <w:pPr>
        <w:pStyle w:val="Heading2"/>
      </w:pPr>
      <w:r>
        <w:t xml:space="preserve">2.1. Модуль клинических калькуляторов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Ядро приложения — интерактивные калькуляторы радиологических шкал. Каждый калькулятор реализует полную логику классификации в соответствии с актуальными клиническими рекомендациями. Врач выбирает параметры через интерфейс, а система мгновенно вычисляет итоговый балл и выдаёт рекомендацию по тактике.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Шкала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 расчёта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Выход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 TI-RADS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Щитовидная железа (УЗИ)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Суммирование баллов по 5 категориям: состав, эхогенность, форма, контуры, эхогенные включения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TR1–TR5 + рекомендация (ТАБ / наблюдение / без действий)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Fleischner 2017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Лёгочные узлы (КТ)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Дерево решений: тип узла → количество → размер → факторы риска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Конкретная тактика наблюдения с интервалами КТ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 BI-RADS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Молочные железы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Выбор категории 0–6 с подробным описанием критериев каждой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Категория + тактика (скрининг / контроль / биопсия)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ACR Lung-RADS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Лёгкие (скрининг КТ)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Классификация по типу и размеру узла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Категория 1–4B + интервал контроля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2.2. Трекер образований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Модуль позволяет вести карточку каждого образования у пациента с хранением всех измерений за период наблюдения. Основные механики: создание карточки образования с указанием локализации и типа; добавление измерений (дата, размер в мм) с автоматическим расчётом объёма по формуле сферы; построение графика динамики размеров; автоматический расчёт времени удвоения объёма (volume doubling time, VDT) по формуле VDT = (Δt × ln2) / (3 × ln(D2/D1)); цветовая индикация роста — жёлтый при увеличении более 10%, зелёный при уменьшении; экспорт данных мониторинга в заключение.</w:t>
      </w:r>
    </w:p>
    <w:p>
      <w:pPr>
        <w:pStyle w:val="Heading2"/>
      </w:pPr>
      <w:r>
        <w:t xml:space="preserve">2.3. Генератор заключений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Модуль формирует структурированный протокол исследования по заданным параметрам. Врач выбирает модальность (КТ, МРТ, рентген, УЗИ, маммография), область исследования, наличие контрастного усиления, вводит описательную часть и заключение. Система автоматически подтягивает данные из трекера образований. Готовый протокол копируется в буфер обмена одним нажатием и вставляется в РИС/PACS.</w:t>
      </w:r>
    </w:p>
    <w:p>
      <w:pPr>
        <w:pStyle w:val="Heading2"/>
      </w:pPr>
      <w:r>
        <w:t xml:space="preserve">2.4. Пользовательские сценарии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Сценарий 1 — Оценка узла щитовидной железы: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Врач открывает калькулятор TI-RADS, последовательно отмечает характеристики узла по каждой из 5 категорий, мгновенно получает балл TR1–TR5 с рекомендацией по ТАБ. Далее сохраняет узел в трекер с размерами.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Сценарий 2 — Контроль лёгочного узла: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Пациент приходит на контрольное КТ. Врач открывает ранее созданную карточку образования, добавляет новые размеры, видит график динамики и VDT. Если VDT &lt; 400 дней — система подсвечивает это. Далее врач через Fleischner определяет дальнейшую тактику.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Сценарий 3 — Формирование заключения: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По завершении описания врач переходит в генератор, выбирает параметры исследования. Данные мониторинга автоматически подставляются в протокол. Врач дописывает заключение и копирует в РИС.</w:t>
      </w:r>
    </w:p>
    <w:p>
      <w:pPr>
        <w:pStyle w:val="Heading1"/>
      </w:pPr>
      <w:r>
        <w:t xml:space="preserve">3. Фронтенд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Технологический стек, архитектура интерфейса и ключевые решения</w:t>
      </w:r>
    </w:p>
    <w:p>
      <w:pPr>
        <w:pStyle w:val="Heading2"/>
      </w:pPr>
      <w:r>
        <w:t xml:space="preserve">3.1.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 выбора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фреймворк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Компонентная архитектура, типизация, большая экосистема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Мобильные приложения (iOS, 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Единая кодовая база с веб-версией, нативная производительность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Стилизация веб-версии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Utility-first подход, быстрая разработка, консистентность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Визуализация данных (графики динамики)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Декларативные SVG-графики, лёгкая интеграция с 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Управление состоянием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Минималистичный, без бойлерплейта, отлично работает с 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Формы и валидация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Производительные формы с типобезопасной валидацией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3.2. Архитектура интерфейса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Интерфейс построен по принципу Single Page Application с табовой навигацией. Главная страница (Dashboard) выполняет роль хаба: отображает ключевые метрики, быстрый доступ к инструментам и последние записи из трекера. Каждый калькулятор — отдельный самодостаточный экран с интерактивными селекторами, мгновенным пересчётом и выделенным блоком результата.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принципы UI: мгновенный отклик — все вычисления происходят на клиенте без обращений к серверу; крупные области нажатия (минимум 44×44pt) для работы в перчатках или на ходу; тёмная тема по умолчанию для снижения нагрузки на глаза при работе в затемнённом помещении; минималистичный интерфейс без декоративных элементов — каждый пиксель функционален.</w:t>
      </w:r>
    </w:p>
    <w:p>
      <w:pPr>
        <w:pStyle w:val="Heading2"/>
      </w:pPr>
      <w:r>
        <w:t xml:space="preserve">3.3. Компонентная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AppShell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Корневой layout, навигация, тема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Responsive, поддержка PWA offline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Метрики, быстрый доступ, уведомления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Виджеты с данными из всех модулей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ScaleCalculator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компонент калькулятора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Принимает конфиг шкалы, рендерит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LesionTracker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образований и измерений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Графики, таблицы, расчёт VDT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ReportBuilder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протоколов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Шаблоны, автозаполнение, экспорт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/ SelectOption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Атомарные UI-компоненты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Переиспользуемые, темизируемые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3.4. Offline-режим и PWA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Приложение функционирует как Progressive Web App (PWA) с полной офлайн-поддержкой. Service Worker кеширует все статические ресурсы и логику калькуляторов. Данные трекера хранятся в IndexedDB и синхронизируются при появлении сети. Это критически важно, так как во многих медицинских учреждениях доступ к интернету ограничен или нестабилен.</w:t>
      </w:r>
    </w:p>
    <w:p>
      <w:pPr>
        <w:pStyle w:val="Heading1"/>
      </w:pPr>
      <w:r>
        <w:t xml:space="preserve">4. Бэкенд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Серверная архитектура, хранение данных и интеграции</w:t>
      </w:r>
    </w:p>
    <w:p>
      <w:pPr>
        <w:pStyle w:val="Heading2"/>
      </w:pPr>
      <w:r>
        <w:t xml:space="preserve">4.1.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API-сервер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Высокая производительность, JSON Schema валидация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Основная БД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ACID, JSONB для гибких схем, надёжность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и сессии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Быстрое кеширование справочников и шкал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JWT, SSO, MFA, готовая интеграция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/ MinIO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файлов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Экспортированные отчёты, бэкапы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K8s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Деплой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Горизонтальное масштабирование, воспроизводимость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4.2. Схема данных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Основные сущности базы данных и связи между ними: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Связи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role, clinic_id, subscription_tier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→ lesions,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pseudonym, birth_year, sex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→ lesions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patient_id, name, type, location,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1:N → measurements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measurements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lesion_id, date, size_mm, volume_mm3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→ lesion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patient_id, modality, region, content,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→ user, patient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scale_results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scale_type, input_json, score, result,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→ user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tier, started_at, expires_at, payment_provider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N:1 → user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4.3. API-эндпоинты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(v1) с JSON Schema валидацией на каждом эндпоинте: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/auth/register, 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Регистрация, вход, обновление токена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/lesions, /lesions/:id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образований пациентов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/lesions/:id/measurements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Добавление измерения к образованию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/lesions/:id/dynamics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Расчёт VDT, график, экспорт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/reports/generate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структурированного заключения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/scales/:type/config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Получение конфигурации шкалы (для офлайн-кеша)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/scales/:type/calculate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Серверная валидация расчёта шкалы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GET/PUT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/users/profile, /users/settings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Профиль и настройки пользователя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4.4. Безопасность и приватность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Приложение обрабатывает медицинские данные, поэтому безопасность — приоритет. Реализованы: шифрование данных при передаче (TLS 1.3) и хранении (AES-256); псевдонимизация пациентов — в системе не хранятся ФИО или полная дата рождения, только год и псевдоним; JWT-токены с коротким временем жизни (15 мин) и refresh-ротацией; двухфакторная аутентификация (TOTP); ролевая модель доступа (RBAC) — врач, заведующий, администратор; аудит-лог всех действий с данными; возможность on-premise развёртывания для клиник с жёсткими требованиями к хранению данных.</w:t>
      </w:r>
    </w:p>
    <w:p>
      <w:pPr>
        <w:pStyle w:val="Heading2"/>
      </w:pPr>
      <w:r>
        <w:t xml:space="preserve">4.5. Синхронизация и масштабирование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Данные синхронизируются по модели offline-first: клиент работает с локальной копией в IndexedDB, при наличии сети происходит двухсторонняя синхронизация с разрешением конфликтов по принципу last-write-wins с журналом версий. Бэкенд масштабируется горизонтально через Kubernetes с автоскейлингом по CPU/RAM. PostgreSQL работает в режиме primary-replica для чтения. Redis Cluster обеспечивает кеширование справочников.</w:t>
      </w:r>
    </w:p>
    <w:p>
      <w:pPr>
        <w:pStyle w:val="Heading1"/>
      </w:pPr>
      <w:r>
        <w:t xml:space="preserve">5. Дизайн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Визуальный язык, цветовая палитра, типографика и UX-принципы</w:t>
      </w:r>
    </w:p>
    <w:p>
      <w:pPr>
        <w:pStyle w:val="Heading2"/>
      </w:pPr>
      <w:r>
        <w:t xml:space="preserve">5.1. Концепция дизайна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Визуальная концепция — «Медицинский терминал»: тёмный интерфейс с высококонтрастными акцентами, напоминающий мониторы диагностического оборудования. Этот подход обоснован условиями работы рентгенолога: тёмная тема снижает засветку в затемнённых помещениях для описания; монопространственные шрифты (JetBrains Mono) в данных создают ощущение точности и техничности; минимум декоративных элементов — всё пространство отдано функционалу.</w:t>
      </w:r>
    </w:p>
    <w:p>
      <w:pPr>
        <w:pStyle w:val="Heading2"/>
      </w:pPr>
      <w:r>
        <w:t xml:space="preserve">5.2. Цветовая палитра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Фон основной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#0A0E1A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фон приложения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Фон карточек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#0F172A (80%)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Контейнеры, карточки, панели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Индиго (Accent)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#6366F1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акцент: кнопки, выделения, бренд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Циан (Data)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#06B6D4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Данные, метрики, числовые значения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#22C55E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Позитивные результаты (TR1, BI-RADS 1–2)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#EAB308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Предупреждение, умеренный риск (TR3, BI-RADS 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#F97316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Повышенный риск (TR4, BI-RADS 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 риск, требует внимания (TR5, BI-RADS 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 основной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#E2E8F0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Заголовки и основной текст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 вторичный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#64748B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Подписи, метки, второстепенная информация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Цвета риска (зелёный → жёлтый → оранжевый → красный) напрямую соответствуют уровням клинической срочности, что формирует интуитивную ассоциацию у врача без необходимости чтения текста.</w:t>
      </w:r>
    </w:p>
    <w:p>
      <w:pPr>
        <w:pStyle w:val="Heading2"/>
      </w:pPr>
      <w:r>
        <w:t xml:space="preserve">5.3. Типографика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Шрифт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 (400–700)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Заголовки, подписи, кнопки, описания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Отличная читаемость, нейтральный, профессиональный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JetBrains Mono (300–700)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Числовые данные, баллы, шкалы, протоколы, таблицы измерений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Табулярные цифры, чёткое различие символов, ощущение точности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5.4. Сетка и компоновка</w:t>
      </w: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Макет основан на системе карточек с единым стилем: скруглённые углы 10px, граница 1px с прозрачностью, мягкая тень. Контент организован в одну колонку (max-width: 900px) для удобства на планшетах и десктопах. Мобильная версия использует стэковый layout с горизонтальным скроллом вкладок. Отступы внутри карточек — 20px, между карточками — 10–12px. Кнопки-селекторы в калькуляторах занимают всю ширину для удобства нажатия, имеют чёткую визуальную обратную связь (подсветка фона и границы при выборе).</w:t>
      </w:r>
    </w:p>
    <w:p>
      <w:pPr>
        <w:pStyle w:val="Heading2"/>
      </w:pPr>
      <w:r>
        <w:t xml:space="preserve">5.5. UX-принципы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Мгновенная обратная связь.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Все вычисления происходят на клиенте в реальном времени. Нажатие на опцию мгновенно пересчитывает итоговый балл. Нет кнопок «Рассчитать» — результат всегда актуален.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Прогрессивное раскрытие.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Калькуляторы не показывают все поля сразу. Например, Fleischner запрашивает факторы риска только когда они влияют на результат (солидный узел, &lt;8 мм). Это снижает когнитивную нагрузку.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Визуальная иерархия риска.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Результат всегда выделен: крупный шрифт, цветная индикация, выделенная карточка с эффектом свечения (glow). Врач мгновенно считывает уровень тревоги.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Минимум кликов до результата.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От открытия калькулятора до получения рекомендации — 4–5 нажатий. Сохранение данных в трекер — ещё 2 нажатия.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Отсутствие отвлекающих элементов.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Ни рекламы, ни баннеров, ни всплывающих окон с предложениями — только рабочий инструмент. Монетизация реализована через уровни подписки, а не через навязчивый UX.</w:t>
      </w:r>
    </w:p>
    <w:p>
      <w:pPr>
        <w:pStyle w:val="Heading1"/>
      </w:pPr>
      <w:r>
        <w:t xml:space="preserve">6. Модель монетизации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Freemium-подписка с тремя уровнями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(990 ₽/мес)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 (4 990 ₽/мес)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Калькуляторы шкал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TI-RADS + Fleischner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шкалы (8+)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шкалы + кастомные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Трекер образований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 5 образований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Генератор заключений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Базовый шаблон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шаблоны + кастомные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Командные шаблоны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расчётов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дней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 ограничений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Копирование текста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DOCX, 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DOCX, PDF, DICOM SR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Офлайн-режим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Только калькуляторы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Полный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Пользователей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 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Аналитика отделения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Дашборд заведующего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Техподдержка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Приоритетная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Выделенный менеджер</w:t>
            </w:r>
          </w:p>
        </w:tc>
      </w:tr>
    </w:tbl>
    <w:p>
      <w:pPr>
        <w:spacing w:after="100"/>
      </w:pPr>
    </w:p>
    <w:p>
      <w:pPr>
        <w:spacing w:after="16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Дополнительные источники дохода: B2B-лицензии для крупных медицинских сетей с on-premise развёртыванием и кастомными интеграциями (PACS, РИС); партнёрство с производителями оборудования (встраивание RadAssist в консоли рабочих станций); образовательная платформа (платные курсы по стандартизированным шкалам с интерактивными кейсами).</w:t>
      </w:r>
    </w:p>
    <w:p>
      <w:pPr>
        <w:pStyle w:val="Heading1"/>
      </w:pPr>
      <w:r>
        <w:t xml:space="preserve">7. Дорожная карта</w:t>
      </w:r>
    </w:p>
    <w:p>
      <w:pPr>
        <w:spacing w:after="20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Поэтапное развитие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TI-RADS, Fleischner, базовый трекер, генератор заключений, PWA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BI-RADS, Lung-RADS, мобильное приложение (iOS/Android), подписка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LI-RADS, PI-RADS, RECIST 1.1, командные шаблоны, Clinic-тариф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AI-ассистент (подсказки по дифференциальному диагнозу), интеграция с PACS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DICOM SR-экспорт, аналитика отделения, B2B-модуль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 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AI-предзаполнение заключений, голосовой ввод, мультиязычность</w:t>
            </w:r>
          </w:p>
        </w:tc>
      </w:tr>
    </w:tbl>
    <w:p>
      <w:pPr>
        <w:spacing w:after="200"/>
      </w:pP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Конец документа —</w:t>
      </w:r>
    </w:p>
    <w:sectPr>
      <w:headerReference w:type="default" r:id="rId6"/>
      <w:footerReference w:type="default" r:id="rId7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RadAssist PRO</w:t>
    </w:r>
    <w:r>
      <w:rPr>
        <w:rFonts w:ascii="Arial" w:cs="Arial" w:eastAsia="Arial" w:hAnsi="Arial"/>
        <w:color w:val="666666"/>
        <w:sz w:val="18"/>
        <w:szCs w:val="18"/>
      </w:rPr>
      <w:t xml:space="preserve">  •  Спецификация продукта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2026-03-09T13:59:01.390Z</dcterms:created>
  <dcterms:modified xsi:type="dcterms:W3CDTF">2026-03-09T13:59:01.391Z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